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3680" w:right="3680" w:hanging="3672"/>
        <w:spacing w:after="0" w:line="403" w:lineRule="auto"/>
        <w:tabs>
          <w:tab w:leader="none" w:pos="65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2020</w:t>
      </w:r>
    </w:p>
    <w:p>
      <w:pPr>
        <w:spacing w:after="0" w:line="30"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9"/>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6" w:right="339" w:bottom="42"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796" w:right="339" w:bottom="42"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796" w:right="339" w:bottom="42"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96" w:right="339" w:bottom="42"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84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27,581,625</w:t>
            </w:r>
          </w:p>
        </w:tc>
      </w:tr>
      <w:tr>
        <w:trPr>
          <w:trHeight w:val="27"/>
        </w:trPr>
        <w:tc>
          <w:tcPr>
            <w:tcW w:w="5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6"/>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as of February 1, 2021</w:t>
            </w:r>
          </w:p>
        </w:tc>
      </w:tr>
      <w:tr>
        <w:trPr>
          <w:trHeight w:val="297"/>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4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gridSpan w:val="2"/>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103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1034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II—OTHER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w:t>
              </w:r>
            </w:hyperlink>
          </w:p>
        </w:tc>
        <w:tc>
          <w:tcPr>
            <w:tcW w:w="9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9540" w:type="dxa"/>
            <w:vAlign w:val="bottom"/>
          </w:tcPr>
          <w:p>
            <w:pPr>
              <w:ind w:left="478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9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2020</w:t>
            </w: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30,149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Inventory, net</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18,975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94,277</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9,547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8,565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 net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Right-of-use assets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5,657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124,109</w:t>
            </w:r>
          </w:p>
        </w:tc>
      </w:tr>
      <w:tr>
        <w:trPr>
          <w:trHeight w:val="197"/>
        </w:trPr>
        <w:tc>
          <w:tcPr>
            <w:tcW w:w="80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22,091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 portion</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Derivative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current portion</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40,009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40,960</w:t>
            </w:r>
          </w:p>
        </w:tc>
      </w:tr>
      <w:tr>
        <w:trPr>
          <w:trHeight w:val="216"/>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long term portion</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long term portion</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52,129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51,890</w:t>
            </w:r>
          </w:p>
        </w:tc>
      </w:tr>
      <w:tr>
        <w:trPr>
          <w:trHeight w:val="209"/>
        </w:trPr>
        <w:tc>
          <w:tcPr>
            <w:tcW w:w="80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1,120,333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1,053,507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(993,697)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(978,635)</w:t>
            </w:r>
          </w:p>
        </w:tc>
      </w:tr>
      <w:tr>
        <w:trPr>
          <w:trHeight w:val="209"/>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72,219</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23,632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17,915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45,697</w:t>
            </w:r>
          </w:p>
        </w:tc>
      </w:tr>
      <w:tr>
        <w:trPr>
          <w:trHeight w:val="216"/>
        </w:trPr>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38,770</w:t>
            </w:r>
          </w:p>
        </w:tc>
      </w:tr>
      <w:tr>
        <w:trPr>
          <w:trHeight w:val="209"/>
        </w:trPr>
        <w:tc>
          <w:tcPr>
            <w:tcW w:w="5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6,927</w:t>
            </w:r>
          </w:p>
        </w:tc>
      </w:tr>
      <w:tr>
        <w:trPr>
          <w:trHeight w:val="216"/>
        </w:trPr>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6,920</w:t>
            </w: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16,726</w:t>
            </w: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09"/>
        </w:trPr>
        <w:tc>
          <w:tcPr>
            <w:tcW w:w="512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23,901</w:t>
            </w:r>
          </w:p>
        </w:tc>
      </w:tr>
      <w:tr>
        <w:trPr>
          <w:trHeight w:val="216"/>
        </w:trPr>
        <w:tc>
          <w:tcPr>
            <w:tcW w:w="5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(6,619)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(15,681)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(16,974)</w:t>
            </w:r>
          </w:p>
        </w:tc>
      </w:tr>
      <w:tr>
        <w:trPr>
          <w:trHeight w:val="216"/>
        </w:trPr>
        <w:tc>
          <w:tcPr>
            <w:tcW w:w="5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4,648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 (benefit)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(11,180)</w:t>
            </w:r>
          </w:p>
        </w:tc>
      </w:tr>
      <w:tr>
        <w:trPr>
          <w:trHeight w:val="216"/>
        </w:trPr>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0"/>
        </w:trPr>
        <w:tc>
          <w:tcPr>
            <w:tcW w:w="5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(11,209)</w:t>
            </w:r>
          </w:p>
        </w:tc>
      </w:tr>
      <w:tr>
        <w:trPr>
          <w:trHeight w:val="196"/>
        </w:trPr>
        <w:tc>
          <w:tcPr>
            <w:tcW w:w="5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(0.54)</w:t>
            </w: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(0.65)</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r>
      <w:tr>
        <w:trPr>
          <w:trHeight w:val="197"/>
        </w:trPr>
        <w:tc>
          <w:tcPr>
            <w:tcW w:w="5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20,786</w:t>
            </w: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25,470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21,203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23,011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20,894</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currency translation (loss) gain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5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FOR THE THREE AND NINE MONTHS ENDED DECEMBER 31, 2020 AND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2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22,902</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$ 1,053,507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(978,635)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 net of forfeitures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8"/>
                <w:szCs w:val="18"/>
                <w:color w:val="auto"/>
              </w:rPr>
              <w:t>23,408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$ 1,054,499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(982,052)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10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 net of forfeitures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880" w:type="dxa"/>
            <w:vAlign w:val="bottom"/>
          </w:tcPr>
          <w:p>
            <w:pPr>
              <w:jc w:val="right"/>
              <w:spacing w:after="0"/>
              <w:rPr>
                <w:sz w:val="20"/>
                <w:szCs w:val="20"/>
                <w:color w:val="auto"/>
              </w:rPr>
            </w:pPr>
            <w:r>
              <w:rPr>
                <w:rFonts w:ascii="Arial" w:cs="Arial" w:eastAsia="Arial" w:hAnsi="Arial"/>
                <w:sz w:val="18"/>
                <w:szCs w:val="18"/>
                <w:color w:val="auto"/>
              </w:rPr>
              <w:t>23,458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$ 1,055,548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(985,764)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net of forfeitures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offering</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3,670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51,440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Issuance of common stock - NEPSI</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$ 1,120,333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(993,697)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122,918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2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21,652</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$ 1,044,622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(961,539)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81,193</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Issuance of common stock - warrant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$ 1,045,244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(965,078)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$ 1,045,833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(965,903)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76,686</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Issuance of common stock - warrant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18"/>
        </w:trPr>
        <w:tc>
          <w:tcPr>
            <w:tcW w:w="3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ectPr>
          <w:pgSz w:w="11900" w:h="16900" w:orient="portrait"/>
          <w:cols w:equalWidth="0" w:num="1">
            <w:col w:w="11240"/>
          </w:cols>
          <w:pgMar w:left="320" w:top="58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(6,845)</w:t>
            </w: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(6,845)</w:t>
            </w: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$ 1,052,621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(2,666)  $</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(972,748)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77,188</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Nine Months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(15,062)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fair value of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(4,648)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interest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non-cash items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Unrealized foreign exchange loss/(gain) on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(8,661)</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7,419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(6,968)</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(7,894)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2,648</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(17,779)</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Proceeds from the sale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 of marketable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Sale of marketable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25,006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acquisition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other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(34,888)</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Employee taxes paid related to net settlement of equity awards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Proceeds from public equity offering,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51,477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exercise of employee stock options and ESPP</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50,649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5,674</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(46,963)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74,142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31,235</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Issuance of common stock in connection with the purchase of Northeast Power Systems, Inc.</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12,433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Issuance of common stock to Hercules to settle warrant liability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2020 and 2019 and the financial position at December 31, 2020;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2020, and notes thereto, included in the Company’s Annual Report on Form 10-K for the year ended March 31, 2020 filed with the SEC on June 2,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historically experienced recurring operating losses and as of December 31, 2020, the Company had an accumulated deficit of $993.7 million. In addition, the Company has historically experienced recurring negative operating cash flows. At December 31, 2020, the Company had cash, cash equivalents, and marketable securities of $78.1 million. Marketable securities include certificate of deposits with maturities between three and nine months. Cash used in operations for the nine months ended December 31, 2020 was $4.9 million.</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December 2015, the Company entered into a set of strategic agreements valued at approximately $210.0 million with Inox Wind Ltd. (“Inox” or “Inox Wind”), which includes a multi-year supply contract pursuant to which the Company will supply electrical control systems ("ECS") to Inox and a license agreement allowing Inox to manufacture a limited number of ECS. After Inox purchases the specified number of ECS required under the terms of the supply contract, Inox agreed that the Company will continue as Inox’s preferred supplier and Inox will be required to purchase from the Company a majority of its ECS requirements for an additional three-year period. Pursuant to these strategic agreements, Inox must forecast future purchase orders of sets of ECS which become firm orders three months prior to shipment, and Inox must post letters of credit before the Company will ship such orders. Inox had been delinquent on its obligation to post letters of credit for sets of ECS that Inox forecasted to purchase under the terms of the supply contract. On May 29, 2020, the Company sent written notice to Inox notifying Inox of its default under the supply contract due to Inox’s failure to post letters of credit in the amount of €6.0 million for the payment of ECS that Inox is obligated to purchase under the terms of the supply contract. If Inox failed to post letters of credit in the amount of €6.0 million in accordance with the terms of the supply contract within the ninety day cure period after receipt of the default notice, then the Company could have terminated the supply contract by providing written notice of such termination to Inox. On September 2, 2020, Inox delivered approved letters of credit in the amount of €1.3 million for the payment of a portion of the ECS that Inox was obligated to purchase under the terms of the supply contract. On September 11, 2020, the Company notified Inox that due to (i) the Company’s business relationship with Inox, and (ii) Inox’s delivery of approved letters of credit in the amount of €1.3 million as described above, the Company gave Inox until October 5, 2020 to regain compliance with the terms of the supply contract by providing approved letters of credit in the amount of €4.7 million for payment of the remaining ECS that Inox currently was obligated to purchase under the terms of the supply contract. On October 1, 2020, Inox delivered approved letters of credit for payment of the remaining ECS that Inox was obligated to purchase under the terms of the supply contract and cured the default set forth in the May 29, 2020 default notice.</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October 1, 2020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(i) shares of capital stock of Northeast Power Systems, Inc., a New York corporation (“NEPSI”), and</w:t>
      </w:r>
    </w:p>
    <w:p>
      <w:pPr>
        <w:spacing w:after="0" w:line="2" w:lineRule="exact"/>
        <w:rPr>
          <w:sz w:val="20"/>
          <w:szCs w:val="20"/>
          <w:color w:val="auto"/>
        </w:rPr>
      </w:pPr>
    </w:p>
    <w:p>
      <w:pPr>
        <w:jc w:val="both"/>
        <w:ind w:firstLine="8"/>
        <w:spacing w:after="0" w:line="292" w:lineRule="auto"/>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membership interests of Northeast Power Realty, LLC, a New York limited liability company, which holds the real property that serves as NEPSI’s headquarters (the "Acquisition"). NEPSI is a U.S.-based global provider of medium-voltage metal-enclosed power capacitor banks and harmonic filter banks for use on electric power systems. NEPSI is now a wholly-owned subsidiary of the Company and is operated by its Grid business unit. The purchase price was $26.0 million in cash and 873,657 restricted shares of common stock of the Company. As part of the transaction, the selling stockholders may receive up to an additional 1,000,000 shares of common stock of the Company upon the achievement of certain specified revenue objectives in the future.</w:t>
      </w:r>
    </w:p>
    <w:p>
      <w:pPr>
        <w:spacing w:after="0" w:line="1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22, 2020, the Company entered into an underwriting agreement with Oppenheimer &amp; Co. Inc., as representative of the several underwriters named therein, relating to the issuance and sale (the “Offering”) of 3,670,000 shares of the Company’s common stock at a public offering price of $15.00 per share. The net proceeds to the Company from the Offering were approximately $51.5 million, after deducting underwriting discounts and commissions and offering expenses payable by the Company. The Offering closed on October 26, 2020. In addition, the Company had granted the underwriters a 30-day option to purchase up to an additional 550,500 shares of common stock at the public offering price which was not exercised.</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ectPr>
          <w:pgSz w:w="11900" w:h="16838" w:orient="portrait"/>
          <w:cols w:equalWidth="0" w:num="1">
            <w:col w:w="11240"/>
          </w:cols>
          <w:pgMar w:left="320" w:top="580" w:right="339" w:bottom="72" w:gutter="0" w:footer="0" w:header="0"/>
        </w:sectPr>
      </w:pPr>
    </w:p>
    <w:bookmarkStart w:id="9" w:name="page10"/>
    <w:bookmarkEnd w:id="9"/>
    <w:p>
      <w:pPr>
        <w:jc w:val="both"/>
        <w:ind w:firstLine="648"/>
        <w:spacing w:after="0" w:line="293" w:lineRule="auto"/>
        <w:rPr>
          <w:sz w:val="20"/>
          <w:szCs w:val="20"/>
          <w:color w:val="auto"/>
        </w:rPr>
      </w:pPr>
      <w:r>
        <w:rPr>
          <w:rFonts w:ascii="Arial" w:cs="Arial" w:eastAsia="Arial" w:hAnsi="Arial"/>
          <w:sz w:val="16"/>
          <w:szCs w:val="16"/>
          <w:color w:val="auto"/>
        </w:rPr>
        <w:t>While the COVID-19 pandemic continues to rapidly evolve, the Company continues to assess the impact of the COVID-19 pandemic to best mitigate risk and continue the operations of the Company’s business. The extent to which the outbreak impacts the Company’s business, liquidity, results of operations and financial condition will depend on future developments, which are highly uncertain and cannot be predicted with confidence, including new information that may emerge concerning the severity of the COVID-19 pandemic and the actions to contain it or treat its impact, among others. If the Company, its customers or suppliers experience prolonged shutdowns or other business disruptions, the Company’s business, liquidity, results of operations and financial condition are likely to be materially adversely affected, and the Company’s ability to access the capital markets may be limited.</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nine months ended December 31, 2020. The Company’s liquidity is highly dependent on its ability to increase revenues, including its ability to collect revenues under its agreements with Inox, its ability to control its operating costs, and its ability to raise additional capital, if necessary. The impact of the COVID-19 pandemic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NEPSI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Note 1, Nature of the Business and Operations and Liquidity, on the Acquisition Date, the Company acquired all of the issued and outstanding shares of capital stock of NEPSI and membership interests of Northeast Power Realty, LLC, a New York limited liability company, which holds the real property that serves as NEPSI’s headquarters. NEPSI is a U.S.-based global provider of medium-voltage metal-enclosed power capacitor banks and harmonic filter banks for use on electric power systems. Prior to the Acquisition, the Company had purchased $0.4 million of products from NEPSI in fiscal year 2019 for which NEPSI was paid and had recorded revenue.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Acquisition completed by the Company during the nine months ended December 31, 2020 has been accounted for under the purchase method of accounting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allocated the purchase price to the assets acquired and liabilities assumed at their estimated fair values as of the date of acquisition. The excess of the purchase price paid by the Company over the estimated fair value of net assets acquired has been recorded as goodwill. As NEPSI was previously a private company, the adoption of Accounting Standards Codification ("ASC 606") was completed as part of the Acquisition. See Note 3 "Revenue Recognition" for further details. There were no leases acquired and the Acquisition had no impact to the Company's reporting under ASC 842.</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Acquisition Date, in addition to the $26.0 million cash, the Company valued the Company’s common stock, using $14.23 per share, which was the closing price on the day that the Company acquired NEPSI and $4.0 million of contingent consideration for the earnout liability valued as of the Acquisition Date. Acquisition costs of $0.3 million were recorded in selling, general and administrative ("SG&amp;A") costs for the three and nine months ended December 31,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"Warrants and Derivative Liabilities" for further details and a summary of key assumptions used to determine fair value in each period.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three and nine months periods ended December 31, 2020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w:t>
      </w:r>
    </w:p>
    <w:p>
      <w:pPr>
        <w:sectPr>
          <w:pgSz w:w="11900" w:h="16942" w:orient="portrait"/>
          <w:cols w:equalWidth="0" w:num="1">
            <w:col w:w="11240"/>
          </w:cols>
          <w:pgMar w:left="320" w:top="823" w:right="339" w:bottom="0" w:gutter="0" w:footer="0" w:header="0"/>
        </w:sectPr>
      </w:pPr>
    </w:p>
    <w:bookmarkStart w:id="11" w:name="page12"/>
    <w:bookmarkEnd w:id="11"/>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 SG&amp;A.</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Goodwill represents the value associated with the acquired workforce and expected synergies related to the business combination of the two companies. Goodwill resulting from the Acquisition was assigned to the Company’s Grid segment. Goodwill recognized in the Acquisition is not deductible for tax purposes. This purchase price allocation is preliminary and has not been finalized as the analysis on the assets and liabilities acquired, primarily the tax related liability may require further adjustments to our purchase accounting that could result in a measurement period adjustment that would impact our reported net assets and goodwill as of October 1, 2020. Material changes, if any, to the preliminary allocation summarized above will be reported once the related uncertainties are resolved, but no later than October 1, 2021. The $1.7 million of deferred tax liability is primarily related to inventory step up and intangibles.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and nine months ended December 31, 2020 and 2019 is presented as if the Acquisition had occurred on April 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23,632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(8,769)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(6,988)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(15,469)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(7,879)</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25,470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23,594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21,660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21,768</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 forma amounts include the historical operating results of the Company and NEPSI with appropriate adjustments that give effect to acquisition related costs, income taxes, intangible amortization resulting from the Acquisition and certain conforming accounting policies of the Company. The three and nine month periods ended December 31, 2020 include $2.7 million decrease in operating loss and net loss for the change in fair value on the contingent consideration. The pro forma amounts are not necessarily indicative of the operating results that would have occurred if the Acquisition and related transactions had been completed at the beginning of the applicable periods presented. In addition, the pro forma amounts are not necessarily indicative of operating results in future periods.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unaudited consolidated results for the three and nine months ended December 31, 2020, NEPSI’s operations are included in the Company’s consolidated results from the date of Acquisition of October 1, 2020. NEPSI contributed $6.6 million of revenue and $0.1 million in net income for the Company for the three and nine month periods ended December 31, 2020. Amortization expense of $0.5 million is included in the three and nine months ended December 31, 2020 as a result of the NEPSI acquired intangible assets. In addition, $1.0 million for the step-up basis assigned to acquired inventory was charged to cost of revenues in the three and nine months ended December 31,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nine months ended December 31, 2020, 78% and 79% of revenue, respectively, was recognized at the point in time when control transferred to the customer, with the remainder being recognized over time. In the three and nine months ended December 31, 2019, 57% and 69%, respectively, of revenue was recognized at the point in time when control transferred to the customer, with the remainder being recognized over time.</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Acquisition of NEPSI, the Company evaluated all open NEPSI contracts at the date of the Acquisition against a five-step model in accordance with ASC 606 as NEPSI, as a private company, had deferred adopting ASC606 prior to the Acquisition, as permitted. The Company identified two NEPSI revenue streams which are (1) the sale of its major components which falls under the equipment and systems product line and (2) the sale of spare parts, which falls under the service product line. Further details on each of these product lines can be found below. The Company does not expect a material impact to its consolidated statements of operations on an ongoing basis resulting from the adoption of the ASC 606 standard for the NEPSI business, and NEPSI revenue streams will follow the existing policies noted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three and nine months ended December 31, 2020, the Company recorded $1.1 million and $1.8 million in grant revenue, respectively, which is included in the Company’s</w:t>
      </w:r>
    </w:p>
    <w:p>
      <w:pPr>
        <w:sectPr>
          <w:pgSz w:w="11900" w:h="16855" w:orient="portrait"/>
          <w:cols w:equalWidth="0" w:num="1">
            <w:col w:w="11240"/>
          </w:cols>
          <w:pgMar w:left="320" w:top="125" w:right="339" w:bottom="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Grid segment revenue. In the three and nine months ended December 31, 2019, the Company recorded $3.9 million and $5.3 million in grant revenue, respectively, which is included in the Company’s Grid segment revenue.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31, 2020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1"/>
              </w:rPr>
              <w:t>31, 2020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Grid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Wind</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Grid</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Equipment and systems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15,930</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47,729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12,828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Services and technology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17,086</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14,812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6,736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17,086</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14,812</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98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31, 2019</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1"/>
              </w:rPr>
              <w:t>31, 2019</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Grid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Wind</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Grid</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Equipment and systems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14,040</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7,742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Services and technology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15,232</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36,577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9,120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15,232</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36,577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9,120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2020, and 2019,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 term portion of "Deferred revenue" in the Company’s condensed consolidated balance sheets,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balances acquired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(8,255)</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42,785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2"/>
              </w:rPr>
              <w:t>Increase (decrease) due to recognition of revenue based on transfer of control of performance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(48,274)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r>
      <w:tr>
        <w:trPr>
          <w:trHeight w:val="20"/>
        </w:trPr>
        <w:tc>
          <w:tcPr>
            <w:tcW w:w="6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Ending balance as of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4,201</w:t>
            </w: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24,378</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584"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Program Costs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Liabilities</w:t>
            </w: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9,820</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 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4,613</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23,143</w:t>
            </w:r>
          </w:p>
        </w:tc>
      </w:tr>
      <w:tr>
        <w:trPr>
          <w:trHeight w:val="413"/>
        </w:trPr>
        <w:tc>
          <w:tcPr>
            <w:tcW w:w="686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December 31, 2020, the Company had outstanding performance obligations on existing contracts under ASC 606 to be recognized in the next twelve months of approximately $51.1 million. There are also approximately $7.2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customers who represented 10% or more of the Company’s total revenues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2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Reportable</w:t>
            </w:r>
          </w:p>
        </w:tc>
        <w:tc>
          <w:tcPr>
            <w:tcW w:w="276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December 31,</w:t>
            </w: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22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Wind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Grid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Vestas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Grid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EPC Services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Grid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&lt;10%</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nine months ended December 31, 2020 and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100" w:type="dxa"/>
            <w:vAlign w:val="bottom"/>
            <w:gridSpan w:val="4"/>
          </w:tcPr>
          <w:p>
            <w:pPr>
              <w:jc w:val="right"/>
              <w:ind w:right="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60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179</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0"/>
        </w:trPr>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839</w:t>
            </w:r>
          </w:p>
        </w:tc>
        <w:tc>
          <w:tcPr>
            <w:tcW w:w="220" w:type="dxa"/>
            <w:vAlign w:val="bottom"/>
          </w:tcPr>
          <w:p>
            <w:pPr>
              <w:spacing w:after="0"/>
              <w:rPr>
                <w:sz w:val="18"/>
                <w:szCs w:val="18"/>
                <w:color w:val="auto"/>
              </w:rPr>
            </w:pPr>
          </w:p>
        </w:tc>
        <w:tc>
          <w:tcPr>
            <w:tcW w:w="780" w:type="dxa"/>
            <w:vAlign w:val="bottom"/>
          </w:tcPr>
          <w:p>
            <w:pPr>
              <w:jc w:val="right"/>
              <w:ind w:right="62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r>
      <w:tr>
        <w:trPr>
          <w:trHeight w:val="20"/>
        </w:trPr>
        <w:tc>
          <w:tcPr>
            <w:tcW w:w="6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issued 27,341 shares of immediately vested common stock and 697,167 shares of restricted stock awards during the nine months ended December 31, 2020 and issued 13,174 shares of immediately vested common stock and 366,000 shares of restricted stock awards during the nine months ended December 31, 2019.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less than $0.1 million at December 31, 2020. This expense will be recognized over a weighted average expense period of approximately 0.4 years. The total unrecognized compensation cost for unvested outstanding restricted stock was $5.2 million at December 31, 2020. This expense will be recognized over a weighted-average expense period of approximately 1.9 years.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did not grant any stock options during the nine months ended December 31, 2020. The Company granted 5,939 stock options during the nine months ended December 31, 2019. The stock options granted during the nine months ended December 31, 2019 will vest over 2 years. The weighted average assumptions used in the Black Scholes valuation model for stock options granted during the nine months ended December 31, 2019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w w:val="95"/>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Nine Months Ended December</w:t>
            </w:r>
          </w:p>
        </w:tc>
      </w:tr>
      <w:tr>
        <w:trPr>
          <w:trHeight w:val="234"/>
        </w:trPr>
        <w:tc>
          <w:tcPr>
            <w:tcW w:w="5980" w:type="dxa"/>
            <w:vAlign w:val="bottom"/>
          </w:tcPr>
          <w:p>
            <w:pPr>
              <w:spacing w:after="0"/>
              <w:rPr>
                <w:sz w:val="20"/>
                <w:szCs w:val="20"/>
                <w:color w:val="auto"/>
              </w:rPr>
            </w:pPr>
          </w:p>
        </w:tc>
        <w:tc>
          <w:tcPr>
            <w:tcW w:w="21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5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5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520" w:type="dxa"/>
            <w:vAlign w:val="bottom"/>
            <w:gridSpan w:val="3"/>
          </w:tcPr>
          <w:p>
            <w:pPr>
              <w:ind w:left="80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418"/>
        </w:trPr>
        <w:tc>
          <w:tcPr>
            <w:tcW w:w="5980" w:type="dxa"/>
            <w:vAlign w:val="bottom"/>
          </w:tcPr>
          <w:p>
            <w:pPr>
              <w:ind w:left="554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 based restricted stock where the contingency was not met are excluded from the computation of diluted EPS as the effect of their inclusion would be anti-dilutive. For the three and nine months ended December 31, 2020, 1.1 million shares were not included in the calculation of diluted EPS. Of these, 1.0 million relate to shares tied to the derivative liability for which the contingency has not yet been met, and 0.1 million relate to outstanding stock options as they were considered anti-dilutive. For the three and nine months ended December 31, 2019, 0.1 million shares related to outstanding stock options were not included in the calculation of diluted EPS as they were considered anti-dilutive.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nine months ended December 31, 2020 and 2019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(7,933)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(11,209)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decrease in fair value of warrants, net of income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Plus: change in fair value due to exercise of warrants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shares subject to repurchase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Common stock warrants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diluted</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and nine months ended December 31, 2019, the diluted net loss per common share amounts under the treasury stock method were calculated based on the dilutive effect of the total number of shares of common stock related to the warrants issued to Hudson Bay Capital (the “Hudson Warrants”) for 818,181 shares with an exercise price of $7.81. For the three and nine month periods ended December 31, 2019, the average stock price was $8.19 and $9.29 respectively through November 13, 2019 when the Hudson Warrant was partially exercised for 786,000 shares, providing 37,962 and 130,345 dilutive shares respectively. The increase of $0.6 million and the decrease of $4.6 million in the fair value of the warrant liability, respectively, is included in the net loss available to common shareholders for the diluted net loss per common share amount when the impact is dilutive.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140" w:firstLine="486"/>
        <w:spacing w:after="0" w:line="254" w:lineRule="auto"/>
        <w:rPr>
          <w:sz w:val="20"/>
          <w:szCs w:val="20"/>
          <w:color w:val="auto"/>
        </w:rPr>
      </w:pPr>
      <w:r>
        <w:rPr>
          <w:rFonts w:ascii="Arial" w:cs="Arial" w:eastAsia="Arial" w:hAnsi="Arial"/>
          <w:sz w:val="18"/>
          <w:szCs w:val="18"/>
          <w:color w:val="auto"/>
        </w:rPr>
        <w:t>The guidance under ASC 805-30 provides for the recognition of goodwill on the Acquisition Date measured as the excess of the aggregate consideration transferred over the net of the Acquisition Date amounts of net assets acquired and liabilities assumed. The Company's goodwill balance relates to the Acquisition of NEPSI in the current year and ITC in fiscal 2017 and is reported in the Grid business segment. The fair market value of the contingent consideration included in the total consideration transferred was determined using the Monte Carlo model, and all other consideration transferred was calculated using its observable fair market value. The tangible net assets acquired fair market value was based on observable market fair value. The acquired intangible asset fair value was determined using discounted cash flows under an excess in earnings model or relief in royalty method where appropriate.</w:t>
      </w:r>
    </w:p>
    <w:p>
      <w:pPr>
        <w:spacing w:after="0" w:line="195" w:lineRule="exact"/>
        <w:rPr>
          <w:sz w:val="20"/>
          <w:szCs w:val="20"/>
          <w:color w:val="auto"/>
        </w:rPr>
      </w:pPr>
    </w:p>
    <w:p>
      <w:pPr>
        <w:jc w:val="both"/>
        <w:ind w:left="140" w:right="140" w:firstLine="486"/>
        <w:spacing w:after="0" w:line="286"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and whenever events or changes in circumstances indicate that the carrying value of the goodwill might not be recoverable.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620"/>
              <w:spacing w:after="0"/>
              <w:rPr>
                <w:sz w:val="20"/>
                <w:szCs w:val="20"/>
                <w:color w:val="auto"/>
              </w:rPr>
            </w:pPr>
            <w:r>
              <w:rPr>
                <w:rFonts w:ascii="Arial" w:cs="Arial" w:eastAsia="Arial" w:hAnsi="Arial"/>
                <w:sz w:val="18"/>
                <w:szCs w:val="18"/>
                <w:color w:val="auto"/>
              </w:rPr>
              <w:t>The following table provides a roll forward of the changes in our Grid business segment goodwill balance: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Goodwill</w:t>
            </w: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NEPSI Acquisition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32,940</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impairment loss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December 31,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34,659</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identify any triggering events in the three and nine months ended December 31, 2020, that would require interim impairment testing of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December 31, 2020 and March 31, 2020 consisted of the following (in thousands):</w:t>
      </w:r>
    </w:p>
    <w:p>
      <w:pPr>
        <w:sectPr>
          <w:pgSz w:w="11900" w:h="16838" w:orient="portrait"/>
          <w:cols w:equalWidth="0" w:num="1">
            <w:col w:w="11240"/>
          </w:cols>
          <w:pgMar w:left="320" w:top="823" w:right="3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March 31, 2020</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12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8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Trade name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(2,782)</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(2,420)</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3,550</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intangible amortization expense related to customer relationship and core technology and know-how of $0.4 million and $0.6 million in the three and nine months ended December 31, 2020, respectively, and $0.1 and $0.3 million for the three and nine months ended December 31, 2019, respectively. Additionally, in each of the three and nine months ended December 31, 2020 the Company recorded $0.3 million related to intangible amortization related to backlog that is reported in cost of revenues.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8"/>
                <w:szCs w:val="18"/>
                <w:color w:val="auto"/>
              </w:rPr>
            </w:pPr>
          </w:p>
        </w:tc>
      </w:tr>
      <w:tr>
        <w:trPr>
          <w:trHeight w:val="250"/>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pacing w:after="0" w:line="202"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nine months ended December 31, 2020.</w:t>
      </w:r>
    </w:p>
    <w:p>
      <w:pPr>
        <w:spacing w:after="0" w:line="18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right="80" w:firstLine="648"/>
        <w:spacing w:after="0" w:line="289" w:lineRule="auto"/>
        <w:rPr>
          <w:sz w:val="20"/>
          <w:szCs w:val="20"/>
          <w:color w:val="auto"/>
        </w:rPr>
      </w:pPr>
      <w:r>
        <w:rPr>
          <w:rFonts w:ascii="Arial" w:cs="Arial" w:eastAsia="Arial" w:hAnsi="Arial"/>
          <w:sz w:val="16"/>
          <w:szCs w:val="16"/>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recognized no change in the three months ended December 31, 2020 and $0.2 million in unrealized losses on marketable securities, which is recorded in other income (expense), net, for the nine months ended December 31, 2020 and less than a $0.1 million gain which was recognized during the nine months ended December 31, 2020 upon the sale of one of the certificates of deposit. The Company did not recognize any gains or losses on marketable securities in the three and nine months ended December 31, 2019.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left="140" w:right="220" w:firstLine="499"/>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Stock Purchase Agreement that provides that the selling stockholders may receive up to an additional 1,000,000 shares of common stock of the Company upon the achievement of certain specified revenue objectives over varying periods of up to four years following the Acquisition Date. See Note 13, "Warrants and Derivative Liabilities" and Note 2, “NEPSI Acquisition” for further discussion. The Company relied on a Monte Carlo method to determine the fair value of the contingent consideration on the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issued the Hudson Warrants in conjunction with an equity offering to Hudson Bay Capital in November 2014 and issued warrants to purchase 58,823 shares of the Company's common stock in conjunction a Loan and Security Agreement with Hercules Technology Growth Capital, Inc. (“Hercules Warrants”). The Hercules Warrants were exercised on April 8, 2019. The Hudson Warrants were partially exercised on November 13, 2019 and the remaining unexercised warrants expired on November 13, 2019. As of December 31, 2020, the Company has no remaining outstanding warrants.</w:t>
      </w:r>
    </w:p>
    <w:p>
      <w:pPr>
        <w:spacing w:after="0" w:line="15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historically relied on various assumptions in a lattice model to determine the fair value of warrants. The Company had valued the warrants within Level 3 of the valuation hierarchy. See Note 13, “Warrants and Derivative Liabilities,” for a discussion of the warrants and the valuation assumptions used.</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December 31, 2020 and March 31, 2020 (in thousands):</w:t>
      </w:r>
    </w:p>
    <w:p>
      <w:pPr>
        <w:spacing w:after="0" w:line="166" w:lineRule="exact"/>
        <w:rPr>
          <w:sz w:val="20"/>
          <w:szCs w:val="20"/>
          <w:color w:val="auto"/>
        </w:rPr>
      </w:pPr>
    </w:p>
    <w:tbl>
      <w:tblPr>
        <w:tblLayout w:type="fixed"/>
        <w:tblInd w:w="558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Quoted Prices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in Active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160" w:type="dxa"/>
            <w:vAlign w:val="bottom"/>
          </w:tcPr>
          <w:p>
            <w:pPr>
              <w:spacing w:after="0"/>
              <w:rPr>
                <w:sz w:val="18"/>
                <w:szCs w:val="18"/>
                <w:color w:val="auto"/>
              </w:rPr>
            </w:pPr>
          </w:p>
        </w:tc>
      </w:tr>
      <w:tr>
        <w:trPr>
          <w:trHeight w:val="216"/>
        </w:trPr>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Total Carrying</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Markets (Level</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Unobservable</w:t>
            </w:r>
          </w:p>
        </w:tc>
      </w:tr>
      <w:tr>
        <w:trPr>
          <w:trHeight w:val="234"/>
        </w:trPr>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1)</w:t>
            </w:r>
          </w:p>
        </w:tc>
        <w:tc>
          <w:tcPr>
            <w:tcW w:w="146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92"/>
              </w:rPr>
              <w:t>Inputs (Level 2)</w:t>
            </w:r>
          </w:p>
        </w:tc>
        <w:tc>
          <w:tcPr>
            <w:tcW w:w="11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Inputs (Level</w:t>
            </w:r>
          </w:p>
        </w:tc>
        <w:tc>
          <w:tcPr>
            <w:tcW w:w="1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0</wp:posOffset>
            </wp:positionV>
            <wp:extent cx="1722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320"/>
          </w:cols>
          <w:pgMar w:left="320" w:top="823" w:right="25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56,101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10,239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6,730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6,730</w:t>
            </w:r>
          </w:p>
        </w:tc>
      </w:tr>
      <w:tr>
        <w:trPr>
          <w:trHeight w:val="399"/>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35,195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35,195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Contingent</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April 1, 2020</w:t>
            </w:r>
          </w:p>
        </w:tc>
        <w:tc>
          <w:tcPr>
            <w:tcW w:w="5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Issuance of contingent consideration</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 to market adjustment</w:t>
            </w:r>
          </w:p>
        </w:tc>
        <w:tc>
          <w:tcPr>
            <w:tcW w:w="5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5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0" w:type="dxa"/>
            <w:vAlign w:val="bottom"/>
            <w:vMerge w:val="restart"/>
          </w:tcPr>
          <w:p>
            <w:pPr>
              <w:jc w:val="right"/>
              <w:ind w:right="387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8. Accounts Receivable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0" w:type="dxa"/>
            <w:vAlign w:val="bottom"/>
            <w:gridSpan w:val="4"/>
          </w:tcPr>
          <w:p>
            <w:pPr>
              <w:ind w:left="660"/>
              <w:spacing w:after="0"/>
              <w:rPr>
                <w:sz w:val="20"/>
                <w:szCs w:val="20"/>
                <w:color w:val="auto"/>
              </w:rPr>
            </w:pPr>
            <w:r>
              <w:rPr>
                <w:rFonts w:ascii="Arial" w:cs="Arial" w:eastAsia="Arial" w:hAnsi="Arial"/>
                <w:sz w:val="18"/>
                <w:szCs w:val="18"/>
                <w:color w:val="auto"/>
              </w:rPr>
              <w:t>Accounts receivable at December 31, 2020 and March 31, 2020 consisted of the following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5,711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recorded allowance for doubtful accounts of less than $0.1 million for the three and nine months ended December 31, 2020 and no allowance for the three and nine months ended December 31, 2019. The allowances are based on evaluation of customer accounts that are past due.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Inventory, net of reserves, at December 31, 2020 and March 31, 2020 consisted of the following (in thousands):</w:t>
      </w:r>
    </w:p>
    <w:p>
      <w:pPr>
        <w:sectPr>
          <w:pgSz w:w="11900" w:h="16838" w:orient="portrait"/>
          <w:cols w:equalWidth="0" w:num="1">
            <w:col w:w="11240"/>
          </w:cols>
          <w:pgMar w:left="320" w:top="8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r>
      <w:tr>
        <w:trPr>
          <w:trHeight w:val="195"/>
        </w:trPr>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7,651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10,739</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3,497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5,260</w:t>
            </w:r>
          </w:p>
        </w:tc>
      </w:tr>
      <w:tr>
        <w:trPr>
          <w:trHeight w:val="230"/>
        </w:trPr>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1,631</w:t>
            </w: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14,176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18,975</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823" w:right="339" w:bottom="0" w:gutter="0" w:footer="0" w:header="0"/>
          <w:type w:val="continuous"/>
        </w:sectPr>
      </w:pPr>
    </w:p>
    <w:p>
      <w:pPr>
        <w:spacing w:after="0" w:line="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inventory write-downs of $0.4 million and $0.3 million for the three months ended December 31, 2020 and 2019, respectively. The Company recorded inventory write-downs of $1.6 million and $0.5 million for the nine months ended December 31, 2020 and 2019, respectively. These write-downs were based on the Company's evaluation of its inventory on hand for excess quantities and obsolescence.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program costs as of December 31, 2020 and March 31, 2020 primarily represent costs incurred on programs where the Company needs to complete performance obligations before the related revenue and costs will be recognized.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cost and accumulated depreciation of property, plant and equipment at December 31, 2020 and March 31, 2020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41,743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41,737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gross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48,646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(41,823)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(40,081)</w:t>
            </w: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Depreciation expense was $1.2 million and $1.0 million for the three months ended December 31, 2020 and 2019, respectively. Depreciation expense was $2.9 million and $3.1 million for the nine months ended December 31, 2020 and 2019, respectively. The decrease in construction in progress primarily relates to the completion of capital investments in the Company's HTS equipment and leasehold improvements in the Company's leased facilities in Westminster and Ayer, Massachusetts. The increase in land and building relates to the property added as part of the NEPSI Acquisition.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December 31, 2020 and March 31, 2020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10,045</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Advanced deposits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17,015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22,091</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ectPr>
          <w:pgSz w:w="11900" w:h="16838" w:orient="portrait"/>
          <w:cols w:equalWidth="0" w:num="1">
            <w:col w:w="11240"/>
          </w:cols>
          <w:pgMar w:left="320" w:top="823" w:right="339" w:bottom="0" w:gutter="0" w:footer="0" w:header="0"/>
          <w:type w:val="continuous"/>
        </w:sectPr>
      </w:pPr>
    </w:p>
    <w:p>
      <w:pPr>
        <w:spacing w:after="0" w:line="146"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Product warranty activity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Acquired warranty obligations</w:t>
      </w:r>
    </w:p>
    <w:p>
      <w:pPr>
        <w:spacing w:after="0" w:line="9" w:lineRule="exact"/>
        <w:rPr>
          <w:sz w:val="20"/>
          <w:szCs w:val="20"/>
          <w:color w:val="auto"/>
        </w:rPr>
      </w:pPr>
    </w:p>
    <w:p>
      <w:pPr>
        <w:ind w:right="1620"/>
        <w:spacing w:after="0" w:line="273" w:lineRule="auto"/>
        <w:rPr>
          <w:sz w:val="20"/>
          <w:szCs w:val="20"/>
          <w:color w:val="auto"/>
        </w:rPr>
      </w:pPr>
      <w:r>
        <w:rPr>
          <w:rFonts w:ascii="Arial" w:cs="Arial" w:eastAsia="Arial" w:hAnsi="Arial"/>
          <w:sz w:val="18"/>
          <w:szCs w:val="18"/>
          <w:color w:val="auto"/>
        </w:rPr>
        <w:t>Change in accruals for warranties during the period Settlements during the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5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220" w:type="dxa"/>
            <w:vAlign w:val="bottom"/>
          </w:tcPr>
          <w:p>
            <w:pPr>
              <w:spacing w:after="0"/>
              <w:rPr>
                <w:sz w:val="20"/>
                <w:szCs w:val="20"/>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195"/>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2,109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1,641</w:t>
            </w:r>
          </w:p>
        </w:tc>
        <w:tc>
          <w:tcPr>
            <w:tcW w:w="22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2,015</w:t>
            </w:r>
          </w:p>
        </w:tc>
        <w:tc>
          <w:tcPr>
            <w:tcW w:w="22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1,545</w:t>
            </w:r>
          </w:p>
        </w:tc>
        <w:tc>
          <w:tcPr>
            <w:tcW w:w="6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230"/>
        </w:trPr>
        <w:tc>
          <w:tcPr>
            <w:tcW w:w="22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6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-719455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-445135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-161925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2">
            <w:col w:w="5340" w:space="720"/>
            <w:col w:w="5180"/>
          </w:cols>
          <w:pgMar w:left="320" w:top="823" w:right="339"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 w:name="page24"/>
    <w:bookmarkEnd w:id="23"/>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an income tax benefit of $1.5 million and $1.2 million in the three and nine month periods ended December 31, 2020, respectively. The Company recorded income tax expense of $0.1 million in the three months ended December 31, 2019, and less than $0.1 million in the nine months ended December 31, 2019.</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a difference in book and tax basis related to the intangible assets acquired in the Acquisition (see Note 2, "NEPSI Acquisition"), the Company recorded a deferred tax liability of $1.7 million. As a result, the Company was able to benefit from additional deferred tax assets and therefore released a corresponding valuation allowance of $1.7 million during the three and nine months ended December 31, 2020. The purchase price allocation is preliminary and has not been finalized as the analysis on the assets and liabilities acquired, primarily the tax related liability, may require further adjustments to the Company's purchase accounting that could result in measurement period adjustments that would impact the Company's reported net assets and goodwill as of October 1, 2020. Material changes, if any, to the preliminary allocation summarized in Note 2, "NEPSI Acquisition" will be reported once the related uncertainties are resolved, but no later than October 1, 2021. Goodwill recognized in the Acquisition is not deductible for tax purposes.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nine months ended December 31, 2020 and did not have any gross unrecognized tax benefits as of March 31,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 and Derivative Liabilities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left="140" w:right="140" w:firstLine="486"/>
        <w:spacing w:after="0" w:line="279" w:lineRule="auto"/>
        <w:rPr>
          <w:sz w:val="20"/>
          <w:szCs w:val="20"/>
          <w:color w:val="auto"/>
        </w:rPr>
      </w:pPr>
      <w:r>
        <w:rPr>
          <w:rFonts w:ascii="Arial" w:cs="Arial" w:eastAsia="Arial" w:hAnsi="Arial"/>
          <w:sz w:val="17"/>
          <w:szCs w:val="17"/>
          <w:color w:val="auto"/>
        </w:rPr>
        <w:t xml:space="preserve">The Company evaluated the Acquisition earnout payment set forth in the Stock Purchase Agreement (see Note 2, "NEPSI Acquisition"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left="140" w:right="140" w:firstLine="499"/>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October 1,</w:t>
            </w:r>
          </w:p>
        </w:tc>
      </w:tr>
      <w:tr>
        <w:trPr>
          <w:trHeight w:val="234"/>
        </w:trPr>
        <w:tc>
          <w:tcPr>
            <w:tcW w:w="7920" w:type="dxa"/>
            <w:vAlign w:val="bottom"/>
          </w:tcPr>
          <w:p>
            <w:pPr>
              <w:spacing w:after="0"/>
              <w:rPr>
                <w:sz w:val="20"/>
                <w:szCs w:val="20"/>
                <w:color w:val="auto"/>
              </w:rPr>
            </w:pPr>
            <w:r>
              <w:rPr>
                <w:rFonts w:ascii="Arial" w:cs="Arial" w:eastAsia="Arial" w:hAnsi="Arial"/>
                <w:sz w:val="18"/>
                <w:szCs w:val="18"/>
                <w:color w:val="auto"/>
              </w:rPr>
              <w:t>Fiscal Year 2020</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Revenue volatility</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Payment delay (days)</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6"/>
              </w:rPr>
              <w:t>$6.7 million</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6"/>
              </w:rPr>
              <w:t>$4.0 million</w:t>
            </w:r>
          </w:p>
        </w:tc>
      </w:tr>
    </w:tbl>
    <w:p>
      <w:pPr>
        <w:spacing w:after="0" w:line="202" w:lineRule="exact"/>
        <w:rPr>
          <w:sz w:val="20"/>
          <w:szCs w:val="20"/>
          <w:color w:val="auto"/>
        </w:rPr>
      </w:pPr>
    </w:p>
    <w:p>
      <w:pPr>
        <w:ind w:left="140" w:right="140" w:firstLine="486"/>
        <w:spacing w:after="0" w:line="277" w:lineRule="auto"/>
        <w:rPr>
          <w:sz w:val="20"/>
          <w:szCs w:val="20"/>
          <w:color w:val="auto"/>
        </w:rPr>
      </w:pPr>
      <w:r>
        <w:rPr>
          <w:rFonts w:ascii="Arial" w:cs="Arial" w:eastAsia="Arial" w:hAnsi="Arial"/>
          <w:sz w:val="18"/>
          <w:szCs w:val="18"/>
          <w:color w:val="auto"/>
        </w:rPr>
        <w:t>The Company recorded a net loss of $2.7 million resulting from the increase in the fair value of the contingent consideration in both the three and nine months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accounted for its warrants as liabilities due to certain adjustment provisions within the instruments, which required that they be recorded at fair value. The warrants were subject to revaluation at each balance sheet date and any change in fair value was recorded as a change in fair value of warrants until the earlier of its expiration or its exercise at which time the warrant liability was reclassified to equity. The Company calculated the fair value of the warrants utilizing an integrated lattice model. See Note 7, "Fair Value Measurements", for further discussion. As of December 31, 2020, the Company had no remaining outstanding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19, 2014, the Company entered into a second amendment to the Loan and Security Agreement with Hercules (the "Hercules Second Amendment"). In conjunction with the Hercules Second Amendment, the Company issued the Hercules Warrant which replaced the First Warrant and the Second Warrant. The Hercules Warrant was exercisable at any time after its issuance at an exercise price of $7.85 per share, subject to certain price-based and other anti-dilution adjustments, including the equity offering in May 2017, the acquisition of Infinia Technology Corporation ("ITC") with common stock in September 2017 and sales of common stock under the ATM entered into in January 2017. This warrant had a fair value of $0.4 million as of March 31, 2019. On April 8, 2019, Hercules notified the Company of its intent to exercise this warrant on a cashless basis. Hercules received 22,821 shares of the Company's common stock on April 17, 2019. As a result of this exercise the Company recorded a net gain of $0.1 million to change in fair value of warrants, resulting from the decrease in the fair value of the Hercules Warrant during the nine months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2014 Warrant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November 13, 2014, the Company completed an offering of 909,090 units of the Company’s common stock with Hudson Bay Capital. Each unit consisted of one share of the Company’s common stock and 0.9 of a warrant to purchase one share of common stock, or a warrant to purchase in the aggregate 818,181 shares. The Hudson Warrants were exercisable at any time, at an exercise price equal to $7.81 per share, subject to certain price-based and other anti-dilution adjustments including those noted above. On November 13, 2019, Hudson partially exercised the Hudson Warrants for 786,000 restricted shares of Company common stock at $7.81 per share. The remaining 32,181 warrants expired on November 13, 2019. The Company</w:t>
      </w:r>
    </w:p>
    <w:p>
      <w:pPr>
        <w:sectPr>
          <w:pgSz w:w="11900" w:h="16891" w:orient="portrait"/>
          <w:cols w:equalWidth="0" w:num="1">
            <w:col w:w="11240"/>
          </w:cols>
          <w:pgMar w:left="320" w:top="823" w:right="339" w:bottom="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recorded net gains of $0.5 million and $4.6 million to change in fair value of warrants, resulting from the decrease in the fair value of the Hudson Warrants during the three and nine months ended December 31,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April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using the modified retrospective approach. The Company elected the package of practical expedients available in the standard and as a result, did not reassess the lease classification of existing contracts or leases or the initial direct costs associated with existing leases. The Company did not elect the hindsight practical expedient and evaluated lease terms for existing leases. The Company has also elected the practical expedient to not separate lease components and non-lease components and will account for the leases as a single lease component for all classes of leases.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identify any leases that are classified as financing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December 31, 2020 and March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 2020</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3,806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3,359</w:t>
            </w: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3,359</w:t>
            </w: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3,329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3,439</w:t>
            </w: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related to the Company's leases for the three and nine months ended December 31, 2020 and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fixed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costs - variable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 lease costs</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615"/>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fixed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costs - variable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 lease costs</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418"/>
        </w:trPr>
        <w:tc>
          <w:tcPr>
            <w:tcW w:w="8160" w:type="dxa"/>
            <w:vAlign w:val="bottom"/>
            <w:gridSpan w:val="2"/>
          </w:tcPr>
          <w:p>
            <w:pPr>
              <w:ind w:left="660"/>
              <w:spacing w:after="0"/>
              <w:rPr>
                <w:sz w:val="20"/>
                <w:szCs w:val="20"/>
                <w:color w:val="auto"/>
              </w:rPr>
            </w:pPr>
            <w:r>
              <w:rPr>
                <w:rFonts w:ascii="Arial" w:cs="Arial" w:eastAsia="Arial" w:hAnsi="Arial"/>
                <w:sz w:val="18"/>
                <w:szCs w:val="18"/>
                <w:color w:val="auto"/>
                <w:w w:val="90"/>
              </w:rPr>
              <w:t>The Company’s estimated minimum future lease obligations under the Company's leases are as follows: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vMerge w:val="restart"/>
          </w:tcPr>
          <w:p>
            <w:pPr>
              <w:spacing w:after="0"/>
              <w:rPr>
                <w:sz w:val="20"/>
                <w:szCs w:val="20"/>
                <w:color w:val="auto"/>
              </w:rPr>
            </w:pPr>
            <w:r>
              <w:rPr>
                <w:rFonts w:ascii="Arial" w:cs="Arial" w:eastAsia="Arial" w:hAnsi="Arial"/>
                <w:sz w:val="18"/>
                <w:szCs w:val="18"/>
                <w:color w:val="auto"/>
              </w:rPr>
              <w:t>Year ended March 31,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Operating Leases</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bl>
    <w:p>
      <w:pPr>
        <w:sectPr>
          <w:pgSz w:w="11900" w:h="16900" w:orient="portrait"/>
          <w:cols w:equalWidth="0" w:num="1">
            <w:col w:w="11240"/>
          </w:cols>
          <w:pgMar w:left="320" w:top="823" w:right="3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0"/>
                <w:szCs w:val="20"/>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Less: interest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r>
      <w:tr>
        <w:trPr>
          <w:trHeight w:val="249"/>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2020, and March 31, 2020, the Company had $5.6 million of restricted cash included in long-term assets and $0.6 million of restricted cash included in current assets, respectively. These amounts included in restricted cash primarily represent deposits to secure letters of credit for various supply contracts and long-term projects, including the irrevocable letter of credit in the amount of $5.0 million to secure certain of the Company's obligations under the Subcontract Agreement with ComEd. These deposits are held in interest bearing accounts.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16.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17,086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23,632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65,961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45,697</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(5,826)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(9,723)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(3,579)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consist primarily of loss on contingent consideration of $2.7 million in both the three and nine months ended December 31, 2020. Additionally, unallocated corporate expenses consist of stock-based compensation expense of $0.8 million and $0.6 million in the three months ended December 31, 2020 and 2019, respectively, and $2.6 million and $1.2 million in the nine months ended December 31, 2020 and 2019,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December 31, 2020 and March 31, 2020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4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Wind</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4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4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175,047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124,109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60" w:type="dxa"/>
            <w:vAlign w:val="bottom"/>
            <w:vMerge w:val="restart"/>
          </w:tcPr>
          <w:p>
            <w:pPr>
              <w:jc w:val="right"/>
              <w:ind w:right="2210"/>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will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The Company is currently evaluating the impact, if any, that the adoption of ASU 2016-13 may have on its consolidated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The amendments in ASU 2018-13 provide for increased effectiveness of the disclosures made around fair value measurements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consideration for costs and benefits. The ASU is effective for annual reporting periods beginning after December 15, 2019, including interim periods within those periods. As of April 1, 2020, the Company has adopted ASU 2018-13 and noted no material impact on its consolidated financial statements.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The ASU is effective for annual reporting periods beginning after December 15, 2020, including interim periods within those periods. The Company does not expect the impact of the adoption of ASU 2019-12 to be material to its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the timing of our resilient electric grid ("REG") system project with Commonwealth Edison Company, our prospective results of operations or financial position, the benefits of our acquisition of Northeast Power Systems, Inc.,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novel coronavirus (“COVID-19”) pandemic could adversely impact our business, financial condition and results of operations; Our financial condition may have an adverse effect on our customer and supplier relationships; We may experience difficulties re-establishing our HTS wire production capability in our Ayer, Massachusetts facility; Our success is dependent upon attracting and retaining qualified personnel and our inability to do so could significantly damage our business and prospects; Historically, a significant portion of our revenues have been derived from a single customer and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information technology infrastructure; Failure to comply with evolving data privacy and data protection laws and regulations or to otherwise protect personal data, may adversely impact our business and financial results; We rely upon third-party suppliers for the components and subassemblies of many of our Grid and Wind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such as in connection with our acquisition of Northeast Power Systems, Inc.;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Unfavorable results of legal proceedings could have a material adverse effect on our business, operating results and financial condition; We may be unable to adequately prevent disclosure of trade secrets and other proprietary information; Our patents may not provide meaningful protection for our technology, which could result in us losing some or all of our market position; We face risks related to our technologies; We face risks related to our legal proceedings; We face risks related to our common stock; and the important factors discussed under the caption "Risk Factors" in Part 1. Item 1A of our Form 10-K for the fiscal year ended March 31, 2020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American Superconductor®, Amperium®, AMSC®, D-VAR®, PowerModule™, </w:t>
      </w:r>
      <w:r>
        <w:rPr>
          <w:rFonts w:ascii="Arial" w:cs="Arial" w:eastAsia="Arial" w:hAnsi="Arial"/>
          <w:sz w:val="17"/>
          <w:szCs w:val="17"/>
          <w:i w:val="1"/>
          <w:iCs w:val="1"/>
          <w:color w:val="auto"/>
        </w:rPr>
        <w:t>D-VAR VVO®,</w:t>
      </w:r>
      <w:r>
        <w:rPr>
          <w:rFonts w:ascii="Arial" w:cs="Arial" w:eastAsia="Arial" w:hAnsi="Arial"/>
          <w:sz w:val="17"/>
          <w:szCs w:val="17"/>
          <w:color w:val="auto"/>
        </w:rPr>
        <w:t xml:space="preserve"> PQ-IVR®, SeaTitan®, Gridtec Solutions™, Windtec Solutions™, Smarter, Cleaner...Better Energy™ and Orchestrate the Rhythm and Harmony of Power on the Grid™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16"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jc w:val="both"/>
        <w:ind w:left="800" w:hanging="239"/>
        <w:spacing w:after="0" w:line="255" w:lineRule="auto"/>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industrial facilities and renewable energy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jc w:val="both"/>
        <w:ind w:left="800" w:hanging="252"/>
        <w:spacing w:after="0" w:line="275"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2020 refers to the fiscal year beginning on April 1, 2020. Other fiscal years follow similarly.</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have agreed, among other things, to provide the REG system and to supervise ComEd’s installation of the REG system in Chicago. As part of our separate cost sharing arrangement with DHS under the Prime Contract, we expect funding provided by DHS in connection with the Subcontract Agreement to be between $9.0 to $11.0 million, which represents the total amount of revenue we are expected to recognize over the term of the Subcontract Agreement and includes up to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installation,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have delivered the REG project hardware. The REG system is expected to be operational in 2021.</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October 1, 2020,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73"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of capital stock of Northeast Power Systems, Inc., a New York corporation (“NEPSI”), and (ii) membership interests of Northeast Power Realty, LLC, a New York limited liability company, which holds the real property that serves as NEPSI’s headquarters (the "Acquisition"). NEPSI is a U.S.-based global provider of medium-voltage metal-enclosed power capacitor banks and harmonic filter banks for use on electric power systems. As a result of this transaction, NEPSI became a wholly-owned subsidiary and will be operated by our Grid business segment.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NEPSI purchase price was $26.0 million in cash on hand, including cash from the settlement of our $25 million certificate of deposit during the three months ended September 30, 2020, and 873,657 restricted shares of our common stock. As part of the transaction, in the future, the selling stockholders may receive up to an additional 1,000,000 million restricted shares of our common stock upon the achievement of certain specified future revenue objectives during varying periods of up to four years after the closing.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26, 2020, we completed the Offering of 3,670,000 shares of our common stock at a public offering price of $15.00 per share. We received net proceeds of approximately $51.5 million after deducting underwriting discounts and commissions and offering expenses. See Note 1, “Nature of the Business and Operations and Liquidity,” for further information about this offering.</w:t>
      </w:r>
    </w:p>
    <w:p>
      <w:pPr>
        <w:sectPr>
          <w:pgSz w:w="11900" w:h="16838" w:orient="portrait"/>
          <w:cols w:equalWidth="0" w:num="1">
            <w:col w:w="11240"/>
          </w:cols>
          <w:pgMar w:left="320" w:top="584" w:right="339" w:bottom="37"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color w:val="auto"/>
        </w:rPr>
        <w:t>In March 2020, the World Health Organization declared the disease caused by the novel coronavirus, COVID-19 to be a pandemic. COVID-19, has spread throughout the globe, including in the Commonwealth of Massachusetts where our headquarters are located, and in other areas where we have business operations. In response to the outbreak, we have followed the guidelines of the U.S. Centers for Disease Control and Prevention and applicable state government authorities to protect the health and safety of our employees, their families, our suppliers, our customers and our communities. While these existing measures and, COVID-19 generally, have not materially disrupted our business to date, any future actions necessitated by the COVID-19 pandemic may result in disruption to our business.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COVID-19 pandemic continues to rapidly evolve. The extent to which the outbreak impacts our business, liquidity, results of operations and financial condition will depend on future developments, which are highly uncertain and cannot be predicted with confidence, including new information that may emerge concerning the severity of the COVID-19 pandemic and the actions to contain it or treat its impact, among others.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Form 10-K for the fiscal year ended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2020 compared to the three and nine months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increased 32% and 44% to $23.6 million and $66.0 million for the three and nine months ended December 31, 2020, respectively, compared to $17.9 million and $45.7 million for the three and nine months ended December 31, 2019, respectively. Our revenues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17,086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36,577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23,632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65,961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45,697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Grid business unit accounted for 72% and 78% of total revenues for the three and nine months ended December 31, 2020, respectively, compared to 85% and 80% for the three and nine months ended December 31, 2019, respectively. Our Grid business unit revenues increased 12% and 40% to $17.1 million and $51.1 million in the three and nine months ended December 31, 2020, respectively, from $15.2 million and $36.6 million in the three and nine months ended December 31, 2019, respectively. Grid business unit revenue in the three months ended December 31, 2020 was driven by the acquisition of NEPSI and its accompanying revenue and stronger ship protection systems revenue. Grid business unit revenue in the nine months ended December 31, 2020 was driven by stronger D-VAR, VVO and ship protection systems revenue as well as the acquisition of NEPSI.</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Wind business unit accounted for 28% and 22% of total revenues for the three and nine months ended December 31, 2020, respectively, compared to 15% and 20% for the three and nine months ended December 31, 2019, respectively. Revenues in the Wind business unit increased 144% and 62% to $6.5 million and $14.8 million in the three and nine months ended December 31, 2020, from $2.7 million and $9.1 million in the three and nine months ended December 31, 2019. The increase in the three months ending December 31, 2020 was driven by increased shipments of electrical control systems ("ECS") to Inox. The increase in the nine months ending December 31, 2020 was due to increased shipments of ECS to Inox and an increase in spares revenue. As further described in Note 1 “Nature of the Business and Operations and Liquidity,” Inox was delinquent on its obligations to post letters of credit for sets of ECS that Inox has agreed to purchase under the terms of the supply contract, and on May 29, 2020, we sent written notice to Inox notifying Inox of its default under the supply contract due to Inox’s failure to post letters of credit in the amount of €6.0 million for the payment of ECS that Inox is obligated to purchase under the terms of the supply contract. On October 1, 2020, Inox delivered approved letters of credit for payment of the remaining ECS that Inox had been obligated to purchase under the terms of the Supply Contract and cured the default set forth in the May 29, 2020 default notice. Despite curing the default, Inox’s ability to perform under the supply contract has been and may continue in the future to be hampered by the prolonged impacts of the COVID-19 pandemic. Inox has been active in the new central and state government auction regime in India and has a cumulative order book of over 1.4 GW. However,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Cost of revenues increased by 20% and 33% to $19.7 million and $51.4 million for the three and nine months ended December 31, 2020, compared to $16.3 million and $38.8 million for the three and nine months ended December 31, 2019. Gross margin was 17% and 22% for the three and nine months ended December 31, 2020, compared to 9% and 15% for the three and nine months ended December 31, 2019. The increase in gross margin in the three and nine months ended December 31, 2020 was due to higher revenue and a more favorable product mix. Cost of revenues includes amortization expense of $0.3 million in the three and nine months ended December 31, 2020 as a result of the NEPSI acquired backlog intangible asset. In addition, a fair value purchase adjustment of approximately $1.0 million for the step-up basis assigned to acquired inventory, to properly reflect the fair value in purchase accounting, was charged to cost of revenues in the three and nine months ended December 31, 2020. The step up was assigned to acquired work-in-progress and finished goods inventory that was completely delivered in the three and nine months period ended December 31,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("R&amp;D") expenses increased 48% in the three months ended December 31, 2020 to $3.0 million from $2.0 million in the three months ended December 31, 2019. The increase in R&amp;D expense was due to higher overall compensation expense and less allocation of expenses to cost of goods sold for revenue generating projects in the three months ended December 31, 2020 compared to the three months ended December 31, 2019. Research and development expenses increased 19% in the nine months ended December 31, 2020 to $8.2 million from $6.9 million in the nine months ended December 31, 2019. The increase in R&amp;D expense in the nine month period was due to higher overall compensation expense and less allocation of expenses to cost of goods sold for revenue generating projects than in the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Selling, general and administrative ("SG&amp;A") expenses increased 17% in the three months ended December 31, 2020 to $7.1 million from $6.1 million in the three months ended December 31, 2019. The increase in SG&amp;A expense in the three months ended December 31, 2020 was due to higher overall compensation expense, including stock compensation, than in the prior year period. SG&amp;A expenses increased 11% to $18.6 million in the nine months ended December 31, 2020 compared to $16.7 million in the nine months ended December 31, 2019. The increase in SG&amp;A expense in the nine months ended December 31, 2020 was due to higher overall compensation expense, including stock compensation, than in the prior 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amortization expense related to our core technology and know-how, customer relationships, and other intangible assets of $0.4 million and $0.1 million in the three month periods ended December 31, 2020 and 2019, respectively, and $0.6 million and $0.3 million in the nine month periods ended December 31, 2020 and 2019 respectively. The increases in amortization expense in both periods are primarily a result of the acquisition of NEPSI.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left="140" w:right="140" w:firstLine="499"/>
        <w:spacing w:after="0" w:line="263"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loss of $2.7 million in both the three and nine months ended December 31, 2020. The change in the fair value was primarily driven by the change in our stock price, which is a key valuation metric.</w:t>
      </w:r>
    </w:p>
    <w:p>
      <w:pPr>
        <w:sectPr>
          <w:pgSz w:w="11900" w:h="16838" w:orient="portrait"/>
          <w:cols w:equalWidth="0" w:num="1">
            <w:col w:w="11240"/>
          </w:cols>
          <w:pgMar w:left="320" w:top="584" w:right="339" w:bottom="929"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(loss):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Grid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Unallocated corporate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(5,826)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(9,723)</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(2,297)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(1,956)</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(6,015)</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(3,579)</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(5,337)</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(1,236)</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(16,974)</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84" w:right="339" w:bottom="929" w:gutter="0" w:footer="0" w:header="0"/>
          <w:type w:val="continuous"/>
        </w:sectPr>
      </w:pPr>
    </w:p>
    <w:p>
      <w:pPr>
        <w:spacing w:after="0" w:line="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Grid segment generated operating losses of $5.8 million and $8.4 million in the three and nine months ended December 31, 2020, compared to $3.7 million and $9.7 million in the three and nine months ended December 31, 2019. The increase in the Grid business unit operating loss in the three months ended December 31, 2020 was due a less favorable product mix and the impact of the purchase accounting adjustments recorded as part of the NEPSI Acquisition including the inventory step up charge noted above and an adjustment to revenue of $0.3 million less than the contract value, for recognition of the fair value adjustment that reduced acquired customer deposits to properly reflect pre-acquisition activities. The decrease in the Grid business unit operating loss in the nine months ended December 31, 2020 was due to higher revenues and a more favorable product mix.</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Wind segment generated an operating profit of $0.1 million and an operating loss of $2.0 million in the three and nine months ended December 31, 2020, compared to operating losses of $2.3 million and $6.0 million in the three and nine months ended December 31, 2019. The decrease in the Wind business unit operating loss in both periods was due to higher revenues.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consist of a loss on contingent consideration of $2.7 million in both the three and nine months ended December 31, 2020. Additionally, unallocated corporate expenses consisted of stock-based compensation expense of $0.8 million and $0.6 million in the three months ended December 31, 2020 and 2019, respectively. Unallocated corporate expenses consisted of stock-based compensation expense of $2.6 million and $1.2 million in the nine months ended December 31,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warrants outstanding in the three and nine months ended December 31, 2020. The change in fair value of warrants resulted in gains of $0.6 million and $4.6 million in the three and nine months ended December 31, 2019. The change in the fair value was primarily driven by changes in stock price, which is a key valuation metric.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929"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net, was $0.1 million and $0.4 million in the three and nine months ended December 31, 2020, compared to $0.3 million and $1.1 million in the three and nine months ended December 31, 2019. The decreases in interest income in the three and nine months ended December 31, 2020 were related to lower cash balances earning lower interest rates than in the prior periods, as well as interest recorded related to the sale of the Devens facility for the nine months ended December 31, 2019 with no such transaction in the current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expense, net, was $0.3 million and $0.9 million in the three and nine months ended December 31, 2020, compared to other expense, net of $0.9 million and other income, net of less than $0.1 million in the three and nine months ended December 31, 2019. The changes in other expense, net, during both periods was driven by the impacts of fluctuations in foreign currencies during the respective period.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Income tax benefit was $1.5 million and $1.2 in the three and nine months ended December 31, 2020, respectively. Income tax expense was $0.1 million and less than $0.1 million in the three and nine months ended December 31, 2019, respectively. The decrease in income tax expense in both periods is a result of purchase accounting for the acquired intangible assets and the resulting deferred tax liability in the NEPSI Acquisition. The Company recorded a deferred tax liability of $1.7 million, primarily for the difference in book and tax basis on the intangibles during the three months ended December 31, 2020. As a result, the Company was able to benefit additional deferred tax assets and therefore released a corresponding valuation allowance of $1.7 million during the three and nine months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loss was $7.9 million and $15.1 million in the three and nine months ended December 31, 2020, compared to $6.8 million and $11.2 million in the three and nine months ended December 31, 2019. The increases in net loss were driven by the change in fair value of contingent consideration loss in the three and nine months ended December 31, 2020, the gain on fair value of warrants in the prior year period that did not recur in the nine months ended December 31, 2020 as well as the changes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define non-GAAP net loss as net loss before stock-based compensation, amortization of acquisition-related intangibles, acquisition costs, change in fair value of contingent consideration and warrants,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Acquisition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 and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Non-GAAP 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(3,395)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(14,366)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Non-GAAP net loss per share - 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25,470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21,185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23,011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20,786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incurred non-GAAP net losses of $3.4 million and $8.5 million or $0.13 and $0.37 per share, for the three and nine months ended December 31, 2020, compared to $6.7 million and $14.4 million, or $0.32 and $0.69 per share, for the three and nine months ended December 31, 2019. The decrease in the three and nine month non-GAAP net loss was due to lower operating loss driven by higher revenues and a more favorable product mix.</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and reconciliation of our other non-GAAP financial measure, non-GAAP operating cash flow, see below under “Non-GAAP Financial Measure – Non-GAAP Operating Cash Flow.”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December 31, 2020, had an accumulated deficit of $993.7 million.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further reduce our operating and capital spending to enhance liquidity.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above, on October 1, 2020, we acquired NEPSI. The NEPSI purchase price was $26.0 million in cash, including cash from the settlement of our $25 million certificate of deposit during the three months ended September 30, 2020, and 873,657 restricted shares of our common stock. As part of the transaction, the selling stockholders may receive up to an additional 1,000,000 restricted shares of our common stock upon the achievement of certain specified revenue objectives in the future.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above, on October 26, 2020, we completed an offering of 3,670,000 shares of our common stock at a public offering price of $15.00 per share. We received net proceeds of approximately $51.5 million after deducting underwriting discounts and commissions and offering expenses. In addition, we had granted the underwriters a 30-day option to purchase up to an additional 550,500 shares of common stock at the public offering price which they did not exercise.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December 31, 2020, we had cash, cash equivalents, marketable securities and restricted cash of $84.4 million, compared to $66.1 million as of March 31, 2020, an increase of $18.3 million. As of December 31, 2020, we had approximately $2.8 million of cash, cash equivalents, and restricted cash in foreign bank accounts. Our cash, cash equivalents, marketable securities and restricted cash are summarized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35,195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84,381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66,059</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December 31, 2020, net cash used in operating activities was $4.9 million, compared to $17.8 million for the nine months ended December 31, 2019. The decrease in net cash used in operations was due primarily to the overall impact of increased sales activities on the operating accounts in the current year period.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nine months ended December 31, 2020, net cash used in investing activities was $2.6 million, compared to net cash used in investing activities of $34.9 million for the nine months ended December 31, 2019. The decrease in net cash used in investing activities was due primarily to the purchase of the $35.0 million certificate of deposit in the nine months ended December 31, 2019 with no such transaction in the current year period and the sale of the $25.0 million certificate of deposit in the nine months ended December 31, 2020, offset by cash that was used to pay for the Acquisition.</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December 31, 2020, net cash provided by financing activities was $50.6 million compared to net cash provided by financing activities of $5.7 million in the nine months ended December 31, 2019. The increase in net cash provided by financing activities was due primarily to the proceeds from the October 2020 offering.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had $5.6 million of restricted cash included in long-term assets and $0.6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We have no outstanding warrants as of December 31, 2020. Our liquidity is highly dependent on our ability to increase revenues, including our ability to collect revenues under our agreements with Inox,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Operating Cash Flow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define non-GAAP operating cash flow as operating cash flow before the Sinovel settlement (net of legal fees and expenses); and other unusual cash flows or items. We believe non-GAAP operating cash flow assists management and investors in comparing our operating cash flow across reporting periods on a consistent basis by excluding these non-recurring cash items that we do not believe are indicative of our core operating cash flow. A reconciliation of GAAP to non-GAAP operating cash flow is set forth in the table below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386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Sinovel settlement (net of legal fees and expenses)</w:t>
            </w: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of adjustments</w:t>
            </w:r>
          </w:p>
        </w:tc>
        <w:tc>
          <w:tcPr>
            <w:tcW w:w="3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Non-GAAP operating cash flow</w:t>
            </w:r>
          </w:p>
        </w:tc>
        <w:tc>
          <w:tcPr>
            <w:tcW w:w="386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(4,871)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00" w:type="dxa"/>
            <w:vAlign w:val="bottom"/>
            <w:vMerge w:val="restart"/>
          </w:tcPr>
          <w:p>
            <w:pPr>
              <w:jc w:val="right"/>
              <w:ind w:right="2190"/>
              <w:spacing w:after="0"/>
              <w:rPr>
                <w:sz w:val="20"/>
                <w:szCs w:val="20"/>
                <w:color w:val="auto"/>
              </w:rPr>
            </w:pPr>
            <w:r>
              <w:rPr>
                <w:rFonts w:ascii="Arial" w:cs="Arial" w:eastAsia="Arial" w:hAnsi="Arial"/>
                <w:sz w:val="18"/>
                <w:szCs w:val="18"/>
                <w:color w:val="auto"/>
              </w:rPr>
              <w:t>26</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have various contractual arrangements under which we have committed to purchase minimum quantities of goods or services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We are currently evaluating the impact, if any, that the adoption of ASU 2016-13 may have on our consolidated financial statements.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The amendments in ASU 2018-13 provide for increased effectiveness of the disclosures made around fair value measurements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consideration for costs and benefits. The ASU is effective for annual reporting periods beginning after December 15, 2019, including interim periods within those periods. As of April 1, 2020, we have adopted ASU 2018-13 and noted no material impact on our consolidated financial statements.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The ASU is effective for annual reporting periods beginning after December 15, 2020, including interim periods within those periods. We do not expect the impact of the adoption of ASU 2019-12 to be material to our consolidated financial statements.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making this evaluation, our management considered the material weakness in our internal control over financial reporting described below. Based on such evaluation, our Chief Executive Officer and Chief Financial Officer have concluded that our disclosure controls and procedures were not effective at the reasonable assurance level as of such date.</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Material Weakness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During the third quarter of fiscal 2020, in connection with the preparation of our financial statements for this Quarterly Report on Form 10-Q, management identified the following material weakness: we did not maintain proper controls, processes and procedures over the initial purchase accounting and the continuing fair value accounting associated with the NEPSI Acquisition that were adequately designed, documented and executed to support the accurate and timely reporting of our financial results regarding the initial purchase accounting and the continuing fair value accounting associated with the NEPSI Acquisition. Specifically, the modeling assumptions and the calculation performed by our third-party valuation specialist as it relates to fair value accounting reporting for contingent consideration on the purchase accounting for the NEPSI Acquisition included errors resulting in a $1.3 million overstatement in both the fair value of the earnout payment and the preliminary estimated purchase price paid to NEPSI, that we failed to detect, which were reflected in Exhibit 99.3 of our Form 8-K/A filed with the Securities and Exchange Commission (“SEC”) on December 14, 2020. As a result, we made post-closing adjustments necessary to properly reflect the fair value of the contingent consideration liability in the financial statements included in this Quarterly Report on Form 10-Q for the period ended December 31, 2020.</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material weakness, we believe that our financial statements contained in this Quarterly Report on Form 10-Q fairly present our financial position, results of operations and cash flows for the periods covered by this report in all material respects.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management, with the oversight of our audit committee, has initiated steps and plans to take additional measures to remediate the underlying causes of the material weakness, which we currently believe will be primarily through the development and implementation of new procedures, policies, processes, including revising precision level of management review controls and gaining additional assurance regarding timely completion of our outside service providers’ quality control procedures. It is possible that we may determine that additional remediation steps will be necessary in the future.</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material weakness described above, there were no changes in our internal control over financial reporting (as defined in Rules 13a-15(f) and 15d-15(f) under the Exchange Act) during the quarter ended December 31, 2020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noted below, there have been no material changes to the risk factors described in Part I, Item IA of our Annual Report on Form 10-K for the fiscal year ended March 31, 2020, filed with the SEC on June 2, 2020.</w:t>
      </w:r>
    </w:p>
    <w:p>
      <w:pPr>
        <w:spacing w:after="0" w:line="170" w:lineRule="exact"/>
        <w:rPr>
          <w:sz w:val="20"/>
          <w:szCs w:val="20"/>
          <w:color w:val="auto"/>
        </w:rPr>
      </w:pPr>
    </w:p>
    <w:p>
      <w:pPr>
        <w:jc w:val="both"/>
        <w:ind w:left="140" w:right="14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identified a material weakness in our internal control over financial reporting. A material weakness is a deficiency, or a combination of deficiencies, in internal control over financial reporting, such that there is a reasonable possibility that a material misstatement of the financial statements will not be prevented or detected on a timely basis.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preparation of our financial statements for this Quarterly Report on Form 10-Q, we identified that a material weakness in our internal control over financial reporting existed during the quarter ended, and remained unremediated as of December 31, 2020, relating to our failure to maintain proper controls, processes and procedures over the initial purchase accounting and the continuing fair value accounting associated with the NEPSI Acquisition that were adequately designed, documented and executed to support the accurate and timely reporting of our financial results. Specifically, the modeling assumptions and the calculation performed by our third-party valuation specialist as it relates to fair value accounting for contingent consideration on the purchase accounting for the NEPSI Acquisition included errors resulting in a $1.3 million overstatement in both the fair value of the earnout payment and the preliminary estimated purchase price paid to NEPSI that we failed to detect, which were reflected in Exhibit 99.3 of our Form 8-K/A filed with the Securities and Exchange Commission (“SEC”) on December 14, 2020. Subsequently, we made post-closing adjustments necessary to properly reflect the fair value of the contingent consideration liability in the financial statements included in this Quarterly Report on Form 10-Q for the period ended December 31, 2020.</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oversight of our audit committee, has initiated steps and plans to take additional measures to remediate the underlying causes of the material weakness, which we currently believe will be primarily through the development and implementation of new procedures, policies, and processes, including revising precision level of management review controls and gaining additional assurance regarding timely completion of our outside service providers’ quality control procedures. Although we plan to complete implementing the remediation plan as quickly as possible, we cannot at this time estimate how long it will take, and our initiatives may not prove to be successful in remediating this material weakness. If our remedial measures are insufficient to address the material weakness, or if additional material weaknesses or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this material weakness and if we are unable to produce accurate and timely financial statements, our stock price may be adversely affected and we may be unable to maintain compliance with applicable stock exchange listing requirements.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December 31,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34"/>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October 1, 2020 - October 31, 2020</w:t>
            </w:r>
          </w:p>
        </w:tc>
        <w:tc>
          <w:tcPr>
            <w:tcW w:w="1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11,166</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$13.91</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November 1, 2020 - November 30, 2020</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7,321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$13.91</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2020 - December 31, 2020</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18,487</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$13.91</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40" w:right="180" w:hanging="2"/>
        <w:spacing w:after="0" w:line="277" w:lineRule="auto"/>
        <w:tabs>
          <w:tab w:leader="none" w:pos="38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three months ended December 31, 2020, we purchased shares in connection with our stock-based compensation plans, whereby shares of our common stock were tendered by employees for payment of applicable statutory tax withholdings.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9"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40" w:type="dxa"/>
            <w:vAlign w:val="bottom"/>
            <w:gridSpan w:val="16"/>
          </w:tcPr>
          <w:p>
            <w:pPr>
              <w:ind w:left="300"/>
              <w:spacing w:after="0"/>
              <w:rPr>
                <w:sz w:val="20"/>
                <w:szCs w:val="20"/>
                <w:color w:val="auto"/>
              </w:rPr>
            </w:pPr>
            <w:r>
              <w:rPr>
                <w:rFonts w:ascii="Arial" w:cs="Arial" w:eastAsia="Arial" w:hAnsi="Arial"/>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12"/>
          </w:tcPr>
          <w:p>
            <w:pPr>
              <w:ind w:left="96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1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20"/>
                <w:szCs w:val="20"/>
                <w:color w:val="auto"/>
              </w:rPr>
            </w:pPr>
          </w:p>
        </w:tc>
        <w:tc>
          <w:tcPr>
            <w:tcW w:w="5080" w:type="dxa"/>
            <w:vAlign w:val="bottom"/>
            <w:gridSpan w:val="14"/>
          </w:tcPr>
          <w:p>
            <w:pPr>
              <w:ind w:left="174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5"/>
              </w:rPr>
              <w:t>File No.</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760" w:type="dxa"/>
            <w:vAlign w:val="bottom"/>
            <w:tcBorders>
              <w:top w:val="single" w:sz="8" w:color="auto"/>
              <w:bottom w:val="single" w:sz="8" w:color="0000EE"/>
            </w:tcBorders>
            <w:gridSpan w:val="7"/>
          </w:tcPr>
          <w:p>
            <w:pPr>
              <w:spacing w:after="0" w:line="169"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Stock Purchase Agreement, dated October 1, 2020, by and among</w:t>
              </w:r>
            </w:hyperlink>
          </w:p>
        </w:tc>
        <w:tc>
          <w:tcPr>
            <w:tcW w:w="240" w:type="dxa"/>
            <w:vAlign w:val="bottom"/>
            <w:tcBorders>
              <w:top w:val="single" w:sz="8" w:color="auto"/>
            </w:tcBorders>
            <w:gridSpan w:val="6"/>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jc w:val="center"/>
              <w:ind w:right="590"/>
              <w:spacing w:after="0" w:line="196" w:lineRule="exact"/>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7"/>
                <w:szCs w:val="17"/>
                <w:color w:val="auto"/>
              </w:rPr>
            </w:pPr>
          </w:p>
        </w:tc>
        <w:tc>
          <w:tcPr>
            <w:tcW w:w="47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American Superconductor Corporation, Frank J. Steciuk, Paul B.</w:t>
              </w:r>
            </w:hyperlink>
          </w:p>
        </w:tc>
        <w:tc>
          <w:tcPr>
            <w:tcW w:w="3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Steciuk and Peter A. Steciuk.</w:t>
              </w:r>
            </w:hyperlink>
          </w:p>
        </w:tc>
        <w:tc>
          <w:tcPr>
            <w:tcW w:w="2960" w:type="dxa"/>
            <w:vAlign w:val="bottom"/>
            <w:gridSpan w:val="1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19672</w:t>
            </w:r>
          </w:p>
        </w:tc>
        <w:tc>
          <w:tcPr>
            <w:tcW w:w="7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10.1</w:t>
            </w:r>
          </w:p>
        </w:tc>
        <w:tc>
          <w:tcPr>
            <w:tcW w:w="76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10/5/20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Arial" w:cs="Arial" w:eastAsia="Arial" w:hAnsi="Arial"/>
                <w:sz w:val="18"/>
                <w:szCs w:val="18"/>
                <w:color w:val="auto"/>
                <w:w w:val="91"/>
              </w:rPr>
              <w:t>31.1</w:t>
            </w:r>
          </w:p>
        </w:tc>
        <w:tc>
          <w:tcPr>
            <w:tcW w:w="160" w:type="dxa"/>
            <w:vAlign w:val="bottom"/>
          </w:tcPr>
          <w:p>
            <w:pPr>
              <w:spacing w:after="0"/>
              <w:rPr>
                <w:sz w:val="24"/>
                <w:szCs w:val="24"/>
                <w:color w:val="auto"/>
              </w:rPr>
            </w:pPr>
          </w:p>
        </w:tc>
        <w:tc>
          <w:tcPr>
            <w:tcW w:w="48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Chief Executive Officer—Certification pursuant to Rule 13a-14(a)</w:t>
              </w:r>
            </w:hyperlink>
          </w:p>
        </w:tc>
        <w:tc>
          <w:tcPr>
            <w:tcW w:w="28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or Rule 15d-14(a) of the Securities Exchange Act of 1934, as</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gridSpan w:val="14"/>
          </w:tcPr>
          <w:p>
            <w:pPr>
              <w:spacing w:after="0"/>
              <w:rPr>
                <w:rFonts w:ascii="Arial" w:cs="Arial" w:eastAsia="Arial" w:hAnsi="Arial"/>
                <w:sz w:val="18"/>
                <w:szCs w:val="18"/>
                <w:u w:val="single" w:color="auto"/>
                <w:color w:val="0000EE"/>
                <w:w w:val="92"/>
              </w:rPr>
            </w:pPr>
            <w:hyperlink w:anchor="page43">
              <w:r>
                <w:rPr>
                  <w:rFonts w:ascii="Arial" w:cs="Arial" w:eastAsia="Arial" w:hAnsi="Arial"/>
                  <w:sz w:val="18"/>
                  <w:szCs w:val="18"/>
                  <w:u w:val="single" w:color="auto"/>
                  <w:color w:val="0000EE"/>
                  <w:w w:val="92"/>
                </w:rPr>
                <w:t>adopted pursuant to Section 302 of the Sarbanes-Oxley Act of 2002.</w:t>
              </w:r>
            </w:hyperlink>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24"/>
                <w:szCs w:val="24"/>
                <w:color w:val="auto"/>
              </w:rPr>
            </w:pPr>
          </w:p>
        </w:tc>
        <w:tc>
          <w:tcPr>
            <w:tcW w:w="5080" w:type="dxa"/>
            <w:vAlign w:val="bottom"/>
            <w:gridSpan w:val="14"/>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Chief Financial Officer—Certification pursuant to Rule 13a-14(a) or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4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Rule 15d-14(a) of the Securities Exchange Act of 1934, as adopted</w:t>
              </w:r>
            </w:hyperlink>
          </w:p>
        </w:tc>
        <w:tc>
          <w:tcPr>
            <w:tcW w:w="1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pursuant to Section 302 of the Sarbanes-Oxley Act of 2002.</w:t>
              </w:r>
            </w:hyperlink>
          </w:p>
        </w:tc>
        <w:tc>
          <w:tcPr>
            <w:tcW w:w="260" w:type="dxa"/>
            <w:vAlign w:val="bottom"/>
            <w:gridSpan w:val="5"/>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Arial" w:cs="Arial" w:eastAsia="Arial" w:hAnsi="Arial"/>
                <w:sz w:val="18"/>
                <w:szCs w:val="18"/>
                <w:color w:val="auto"/>
                <w:w w:val="91"/>
              </w:rPr>
              <w:t>32.1</w:t>
            </w:r>
          </w:p>
        </w:tc>
        <w:tc>
          <w:tcPr>
            <w:tcW w:w="160" w:type="dxa"/>
            <w:vAlign w:val="bottom"/>
          </w:tcPr>
          <w:p>
            <w:pPr>
              <w:spacing w:after="0"/>
              <w:rPr>
                <w:sz w:val="24"/>
                <w:szCs w:val="24"/>
                <w:color w:val="auto"/>
              </w:rPr>
            </w:pPr>
          </w:p>
        </w:tc>
        <w:tc>
          <w:tcPr>
            <w:tcW w:w="498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Chief Executive Officer—Certification pursuant to Rule13a-14(b) or</w:t>
              </w:r>
            </w:hyperlink>
          </w:p>
        </w:tc>
        <w:tc>
          <w:tcPr>
            <w:tcW w:w="1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Rule 15d-14(b) of the Securities Exchange Act of 1934 and 18</w:t>
              </w:r>
            </w:hyperlink>
          </w:p>
        </w:tc>
        <w:tc>
          <w:tcPr>
            <w:tcW w:w="5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4"/>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5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Arial" w:cs="Arial" w:eastAsia="Arial" w:hAnsi="Arial"/>
                <w:sz w:val="18"/>
                <w:szCs w:val="18"/>
                <w:color w:val="auto"/>
                <w:w w:val="91"/>
              </w:rPr>
              <w:t>32.2</w:t>
            </w:r>
          </w:p>
        </w:tc>
        <w:tc>
          <w:tcPr>
            <w:tcW w:w="160" w:type="dxa"/>
            <w:vAlign w:val="bottom"/>
          </w:tcPr>
          <w:p>
            <w:pPr>
              <w:spacing w:after="0"/>
              <w:rPr>
                <w:sz w:val="24"/>
                <w:szCs w:val="24"/>
                <w:color w:val="auto"/>
              </w:rPr>
            </w:pPr>
          </w:p>
        </w:tc>
        <w:tc>
          <w:tcPr>
            <w:tcW w:w="49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Chief Financial Officer—Certification pursuant to Rule 13a-14(b) or</w:t>
              </w:r>
            </w:hyperlink>
          </w:p>
        </w:tc>
        <w:tc>
          <w:tcPr>
            <w:tcW w:w="12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Rule 15d-14(b) of the Securities Exchange Act of 1934 and 18</w:t>
              </w:r>
            </w:hyperlink>
          </w:p>
        </w:tc>
        <w:tc>
          <w:tcPr>
            <w:tcW w:w="5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4"/>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Sarbanes-Oxley Act of 2002.</w:t>
              </w:r>
            </w:hyperlink>
          </w:p>
        </w:tc>
        <w:tc>
          <w:tcPr>
            <w:tcW w:w="5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98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XBRL Taxonomy Calculation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XBRL Definition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XBRL Taxonomy Label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XBRL Taxonomy Presentation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Balance Sheet as of December 31, 2020 and March 31, 2020 (ii) Condensed Statements of Operations and Income for the three and nine months ended December 31, 2020 and 2019, (iii) Condensed Consolidated Statements of Comprehensive (Loss) Income for the three and nine months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ended December 31, 2020 and 2019, (iv) Condensed Consolidated Statements of Cash Flows for the nine months ended December 31, 2020 and 2019, and (v)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p>
      <w:pPr>
        <w:spacing w:after="0"/>
        <w:tabs>
          <w:tab w:leader="none" w:pos="660" w:val="left"/>
          <w:tab w:leader="none" w:pos="5820" w:val="left"/>
          <w:tab w:leader="none" w:pos="7880" w:val="left"/>
        </w:tabs>
        <w:rPr>
          <w:sz w:val="20"/>
          <w:szCs w:val="20"/>
          <w:color w:val="auto"/>
        </w:rPr>
      </w:pPr>
      <w:r>
        <w:rPr>
          <w:rFonts w:ascii="Arial" w:cs="Arial" w:eastAsia="Arial" w:hAnsi="Arial"/>
          <w:sz w:val="18"/>
          <w:szCs w:val="18"/>
          <w:color w:val="auto"/>
        </w:rPr>
        <w:t>Date:</w:t>
        <w:tab/>
        <w:t>February 3,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John W. Kosiba, Jr.</w:t>
      </w:r>
    </w:p>
    <w:p>
      <w:pPr>
        <w:spacing w:after="0" w:line="9"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8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3, 2021</w:t>
            </w:r>
          </w:p>
        </w:tc>
        <w:tc>
          <w:tcPr>
            <w:tcW w:w="336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b w:val="1"/>
                <w:bCs w:val="1"/>
                <w:color w:val="auto"/>
                <w:w w:val="92"/>
              </w:rPr>
              <w:t>Daniel P. McGahn</w:t>
            </w:r>
          </w:p>
        </w:tc>
      </w:tr>
      <w:tr>
        <w:trPr>
          <w:trHeight w:val="195"/>
        </w:trPr>
        <w:tc>
          <w:tcPr>
            <w:tcW w:w="4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3,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2020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3,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2020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3,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7" Type="http://schemas.openxmlformats.org/officeDocument/2006/relationships/hyperlink" Target="http://www.sec.gov/Archives/edgar/data/880807/000143774920020734/ex_2058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2021-02-03T15:32:55Z</dcterms:created>
  <dcterms:modified xsi:type="dcterms:W3CDTF">2021-02-03T15:32:55Z</dcterms:modified>
</cp:coreProperties>
</file>