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8" w:lineRule="exact"/>
        <w:rPr>
          <w:sz w:val="24"/>
          <w:szCs w:val="24"/>
          <w:color w:val="auto"/>
        </w:rPr>
      </w:pPr>
    </w:p>
    <w:p>
      <w:pPr>
        <w:ind w:left="460"/>
        <w:spacing w:after="0"/>
        <w:tabs>
          <w:tab w:leader="none" w:pos="3280" w:val="left"/>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1" w:lineRule="exact"/>
        <w:rPr>
          <w:sz w:val="24"/>
          <w:szCs w:val="24"/>
          <w:color w:val="auto"/>
        </w:rPr>
      </w:pPr>
    </w:p>
    <w:tbl>
      <w:tblPr>
        <w:tblLayout w:type="fixed"/>
        <w:tblInd w:w="1300" w:type="dxa"/>
        <w:tblCellMar>
          <w:top w:w="0" w:type="dxa"/>
          <w:left w:w="0" w:type="dxa"/>
          <w:bottom w:w="0" w:type="dxa"/>
          <w:right w:w="0" w:type="dxa"/>
        </w:tblCellMar>
      </w:tblPr>
      <w:tr>
        <w:trPr>
          <w:trHeight w:val="229"/>
        </w:trPr>
        <w:tc>
          <w:tcPr>
            <w:tcW w:w="120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4480" w:type="dxa"/>
            <w:vAlign w:val="bottom"/>
            <w:gridSpan w:val="4"/>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85"/>
              </w:rPr>
              <w:t>04-2959321</w:t>
            </w:r>
          </w:p>
        </w:tc>
        <w:tc>
          <w:tcPr>
            <w:tcW w:w="100" w:type="dxa"/>
            <w:vAlign w:val="bottom"/>
          </w:tcPr>
          <w:p>
            <w:pPr>
              <w:spacing w:after="0"/>
              <w:rPr>
                <w:sz w:val="19"/>
                <w:szCs w:val="19"/>
                <w:color w:val="auto"/>
              </w:rPr>
            </w:pPr>
          </w:p>
        </w:tc>
      </w:tr>
      <w:tr>
        <w:trPr>
          <w:trHeight w:val="130"/>
        </w:trPr>
        <w:tc>
          <w:tcPr>
            <w:tcW w:w="1200" w:type="dxa"/>
            <w:vAlign w:val="bottom"/>
          </w:tcPr>
          <w:p>
            <w:pPr>
              <w:ind w:left="720"/>
              <w:spacing w:after="0" w:line="131" w:lineRule="exact"/>
              <w:rPr>
                <w:sz w:val="20"/>
                <w:szCs w:val="20"/>
                <w:color w:val="auto"/>
              </w:rPr>
            </w:pPr>
            <w:r>
              <w:rPr>
                <w:rFonts w:ascii="Arial" w:cs="Arial" w:eastAsia="Arial" w:hAnsi="Arial"/>
                <w:sz w:val="14"/>
                <w:szCs w:val="14"/>
                <w:b w:val="1"/>
                <w:bCs w:val="1"/>
                <w:color w:val="auto"/>
                <w:w w:val="80"/>
              </w:rPr>
              <w:t>(State or</w:t>
            </w:r>
          </w:p>
        </w:tc>
        <w:tc>
          <w:tcPr>
            <w:tcW w:w="5200" w:type="dxa"/>
            <w:vAlign w:val="bottom"/>
            <w:gridSpan w:val="5"/>
          </w:tcPr>
          <w:p>
            <w:pPr>
              <w:ind w:left="60"/>
              <w:spacing w:after="0" w:line="131" w:lineRule="exact"/>
              <w:rPr>
                <w:sz w:val="20"/>
                <w:szCs w:val="20"/>
                <w:color w:val="auto"/>
              </w:rPr>
            </w:pPr>
            <w:r>
              <w:rPr>
                <w:rFonts w:ascii="Arial" w:cs="Arial" w:eastAsia="Arial" w:hAnsi="Arial"/>
                <w:sz w:val="14"/>
                <w:szCs w:val="14"/>
                <w:b w:val="1"/>
                <w:bCs w:val="1"/>
                <w:color w:val="auto"/>
              </w:rPr>
              <w:t>other jurisdiction of</w:t>
            </w:r>
          </w:p>
        </w:tc>
        <w:tc>
          <w:tcPr>
            <w:tcW w:w="560" w:type="dxa"/>
            <w:vAlign w:val="bottom"/>
          </w:tcPr>
          <w:p>
            <w:pPr>
              <w:spacing w:after="0"/>
              <w:rPr>
                <w:sz w:val="11"/>
                <w:szCs w:val="11"/>
                <w:color w:val="auto"/>
              </w:rPr>
            </w:pPr>
          </w:p>
        </w:tc>
        <w:tc>
          <w:tcPr>
            <w:tcW w:w="860" w:type="dxa"/>
            <w:vAlign w:val="bottom"/>
            <w:gridSpan w:val="3"/>
          </w:tcPr>
          <w:p>
            <w:pPr>
              <w:jc w:val="center"/>
              <w:spacing w:after="0" w:line="131" w:lineRule="exact"/>
              <w:rPr>
                <w:sz w:val="20"/>
                <w:szCs w:val="20"/>
                <w:color w:val="auto"/>
              </w:rPr>
            </w:pPr>
            <w:r>
              <w:rPr>
                <w:rFonts w:ascii="Arial" w:cs="Arial" w:eastAsia="Arial" w:hAnsi="Arial"/>
                <w:sz w:val="14"/>
                <w:szCs w:val="14"/>
                <w:b w:val="1"/>
                <w:bCs w:val="1"/>
                <w:color w:val="auto"/>
                <w:w w:val="80"/>
              </w:rPr>
              <w:t>(I.R.S. Employer</w:t>
            </w:r>
          </w:p>
        </w:tc>
        <w:tc>
          <w:tcPr>
            <w:tcW w:w="100" w:type="dxa"/>
            <w:vAlign w:val="bottom"/>
          </w:tcPr>
          <w:p>
            <w:pPr>
              <w:spacing w:after="0"/>
              <w:rPr>
                <w:sz w:val="11"/>
                <w:szCs w:val="11"/>
                <w:color w:val="auto"/>
              </w:rPr>
            </w:pPr>
          </w:p>
        </w:tc>
      </w:tr>
      <w:tr>
        <w:trPr>
          <w:trHeight w:val="174"/>
        </w:trPr>
        <w:tc>
          <w:tcPr>
            <w:tcW w:w="6400" w:type="dxa"/>
            <w:vAlign w:val="bottom"/>
            <w:gridSpan w:val="6"/>
          </w:tcPr>
          <w:p>
            <w:pPr>
              <w:jc w:val="center"/>
              <w:ind w:right="3280"/>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9"/>
              </w:rPr>
              <w:t>Identification No.)</w:t>
            </w:r>
          </w:p>
        </w:tc>
      </w:tr>
      <w:tr>
        <w:trPr>
          <w:trHeight w:val="324"/>
        </w:trPr>
        <w:tc>
          <w:tcPr>
            <w:tcW w:w="3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64 Jackson Road, Devens, Massachusetts</w:t>
            </w:r>
          </w:p>
        </w:tc>
        <w:tc>
          <w:tcPr>
            <w:tcW w:w="3260" w:type="dxa"/>
            <w:vAlign w:val="bottom"/>
            <w:gridSpan w:val="3"/>
          </w:tcPr>
          <w:p>
            <w:pPr>
              <w:spacing w:after="0"/>
              <w:rPr>
                <w:sz w:val="24"/>
                <w:szCs w:val="24"/>
                <w:color w:val="auto"/>
              </w:rPr>
            </w:pPr>
          </w:p>
        </w:tc>
        <w:tc>
          <w:tcPr>
            <w:tcW w:w="7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01434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(Zip Code)</w:t>
            </w:r>
          </w:p>
        </w:tc>
      </w:tr>
      <w:tr>
        <w:trPr>
          <w:trHeight w:val="270"/>
        </w:trPr>
        <w:tc>
          <w:tcPr>
            <w:tcW w:w="3860" w:type="dxa"/>
            <w:vAlign w:val="bottom"/>
            <w:gridSpan w:val="4"/>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(978) 842-3000</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9"/>
        </w:trPr>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80" w:type="dxa"/>
            <w:vAlign w:val="bottom"/>
            <w:gridSpan w:val="4"/>
          </w:tcPr>
          <w:p>
            <w:pPr>
              <w:jc w:val="center"/>
              <w:ind w:left="43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2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980" w:type="dxa"/>
            <w:vAlign w:val="bottom"/>
            <w:gridSpan w:val="2"/>
          </w:tcPr>
          <w:p>
            <w:pPr>
              <w:ind w:left="13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740" w:type="dxa"/>
            <w:vAlign w:val="bottom"/>
          </w:tcPr>
          <w:p>
            <w:pPr>
              <w:spacing w:after="0"/>
              <w:rPr>
                <w:sz w:val="23"/>
                <w:szCs w:val="23"/>
                <w:color w:val="auto"/>
              </w:rPr>
            </w:pPr>
          </w:p>
        </w:tc>
        <w:tc>
          <w:tcPr>
            <w:tcW w:w="3220" w:type="dxa"/>
            <w:vAlign w:val="bottom"/>
          </w:tcPr>
          <w:p>
            <w:pPr>
              <w:jc w:val="center"/>
              <w:ind w:right="742"/>
              <w:spacing w:after="0" w:line="207" w:lineRule="exact"/>
              <w:rPr>
                <w:sz w:val="20"/>
                <w:szCs w:val="20"/>
                <w:color w:val="auto"/>
              </w:rPr>
            </w:pPr>
            <w:r>
              <w:rPr>
                <w:rFonts w:ascii="Arial" w:cs="Arial" w:eastAsia="Arial" w:hAnsi="Arial"/>
                <w:sz w:val="18"/>
                <w:szCs w:val="18"/>
                <w:color w:val="auto"/>
                <w:w w:val="88"/>
              </w:rPr>
              <w:t xml:space="preserve">Non-accelerated filer </w:t>
            </w:r>
            <w:r>
              <w:rPr>
                <w:rFonts w:ascii="MS PGothic" w:cs="MS PGothic" w:eastAsia="MS PGothic" w:hAnsi="MS PGothic"/>
                <w:sz w:val="18"/>
                <w:szCs w:val="18"/>
                <w:color w:val="auto"/>
                <w:w w:val="88"/>
              </w:rPr>
              <w:t>☐</w:t>
            </w:r>
          </w:p>
        </w:tc>
        <w:tc>
          <w:tcPr>
            <w:tcW w:w="2240" w:type="dxa"/>
            <w:vAlign w:val="bottom"/>
          </w:tcPr>
          <w:p>
            <w:pPr>
              <w:ind w:left="120"/>
              <w:spacing w:after="0" w:line="207" w:lineRule="exact"/>
              <w:rPr>
                <w:sz w:val="20"/>
                <w:szCs w:val="20"/>
                <w:color w:val="auto"/>
              </w:rPr>
            </w:pPr>
            <w:r>
              <w:rPr>
                <w:rFonts w:ascii="Arial" w:cs="Arial" w:eastAsia="Arial" w:hAnsi="Arial"/>
                <w:sz w:val="18"/>
                <w:szCs w:val="18"/>
                <w:color w:val="auto"/>
                <w:w w:val="88"/>
              </w:rPr>
              <w:t xml:space="preserve">Smaller reporting company </w:t>
            </w:r>
            <w:r>
              <w:rPr>
                <w:rFonts w:ascii="MS PGothic" w:cs="MS PGothic" w:eastAsia="MS PGothic" w:hAnsi="MS PGothic"/>
                <w:sz w:val="18"/>
                <w:szCs w:val="18"/>
                <w:color w:val="auto"/>
                <w:w w:val="88"/>
              </w:rPr>
              <w:t>☐</w:t>
            </w:r>
          </w:p>
        </w:tc>
      </w:tr>
      <w:tr>
        <w:trPr>
          <w:trHeight w:val="26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960" w:type="dxa"/>
            <w:vAlign w:val="bottom"/>
            <w:gridSpan w:val="2"/>
          </w:tcPr>
          <w:p>
            <w:pPr>
              <w:jc w:val="center"/>
              <w:ind w:right="22"/>
              <w:spacing w:after="0"/>
              <w:rPr>
                <w:sz w:val="20"/>
                <w:szCs w:val="20"/>
                <w:color w:val="auto"/>
              </w:rPr>
            </w:pPr>
            <w:r>
              <w:rPr>
                <w:rFonts w:ascii="Arial" w:cs="Arial" w:eastAsia="Arial" w:hAnsi="Arial"/>
                <w:sz w:val="18"/>
                <w:szCs w:val="18"/>
                <w:color w:val="auto"/>
                <w:w w:val="89"/>
              </w:rPr>
              <w:t>(Do not check if a smaller reporting company)</w:t>
            </w:r>
          </w:p>
        </w:tc>
        <w:tc>
          <w:tcPr>
            <w:tcW w:w="2240" w:type="dxa"/>
            <w:vAlign w:val="bottom"/>
          </w:tcPr>
          <w:p>
            <w:pPr>
              <w:spacing w:after="0"/>
              <w:rPr>
                <w:sz w:val="22"/>
                <w:szCs w:val="22"/>
                <w:color w:val="auto"/>
              </w:rPr>
            </w:pPr>
          </w:p>
        </w:tc>
      </w:tr>
      <w:tr>
        <w:trPr>
          <w:trHeight w:val="317"/>
        </w:trPr>
        <w:tc>
          <w:tcPr>
            <w:tcW w:w="11420" w:type="dxa"/>
            <w:vAlign w:val="bottom"/>
            <w:gridSpan w:val="7"/>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277"/>
        </w:trPr>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940" w:type="dxa"/>
            <w:vAlign w:val="bottom"/>
            <w:gridSpan w:val="4"/>
          </w:tcPr>
          <w:p>
            <w:pPr>
              <w:ind w:left="1580"/>
              <w:spacing w:after="0"/>
              <w:rPr>
                <w:sz w:val="20"/>
                <w:szCs w:val="20"/>
                <w:color w:val="auto"/>
              </w:rPr>
            </w:pPr>
            <w:r>
              <w:rPr>
                <w:rFonts w:ascii="Arial" w:cs="Arial" w:eastAsia="Arial" w:hAnsi="Arial"/>
                <w:sz w:val="18"/>
                <w:szCs w:val="18"/>
                <w:color w:val="auto"/>
              </w:rPr>
              <w:t>Shares outstanding of the Registrant’s common stock:</w:t>
            </w:r>
          </w:p>
        </w:tc>
        <w:tc>
          <w:tcPr>
            <w:tcW w:w="2240" w:type="dxa"/>
            <w:vAlign w:val="bottom"/>
          </w:tcPr>
          <w:p>
            <w:pPr>
              <w:spacing w:after="0"/>
              <w:rPr>
                <w:sz w:val="24"/>
                <w:szCs w:val="24"/>
                <w:color w:val="auto"/>
              </w:rPr>
            </w:pPr>
          </w:p>
        </w:tc>
      </w:tr>
      <w:tr>
        <w:trPr>
          <w:trHeight w:val="312"/>
        </w:trPr>
        <w:tc>
          <w:tcPr>
            <w:tcW w:w="1260" w:type="dxa"/>
            <w:vAlign w:val="bottom"/>
          </w:tcPr>
          <w:p>
            <w:pPr>
              <w:spacing w:after="0"/>
              <w:rPr>
                <w:sz w:val="24"/>
                <w:szCs w:val="24"/>
                <w:color w:val="auto"/>
              </w:rPr>
            </w:pPr>
          </w:p>
        </w:tc>
        <w:tc>
          <w:tcPr>
            <w:tcW w:w="39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7"/>
              </w:rPr>
              <w:t xml:space="preserve">Common Stock, par value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0.01 per share</w:t>
            </w:r>
          </w:p>
        </w:tc>
        <w:tc>
          <w:tcPr>
            <w:tcW w:w="3960" w:type="dxa"/>
            <w:vAlign w:val="bottom"/>
            <w:gridSpan w:val="2"/>
          </w:tcPr>
          <w:p>
            <w:pPr>
              <w:jc w:val="right"/>
              <w:ind w:right="22"/>
              <w:spacing w:after="0"/>
              <w:rPr>
                <w:sz w:val="20"/>
                <w:szCs w:val="20"/>
                <w:color w:val="auto"/>
              </w:rPr>
            </w:pPr>
            <w:r>
              <w:rPr>
                <w:rFonts w:ascii="Arial" w:cs="Arial" w:eastAsia="Arial" w:hAnsi="Arial"/>
                <w:sz w:val="18"/>
                <w:szCs w:val="18"/>
                <w:b w:val="1"/>
                <w:bCs w:val="1"/>
                <w:color w:val="auto"/>
              </w:rPr>
              <w:t>44,101,187</w:t>
            </w:r>
          </w:p>
        </w:tc>
        <w:tc>
          <w:tcPr>
            <w:tcW w:w="2240" w:type="dxa"/>
            <w:vAlign w:val="bottom"/>
          </w:tcPr>
          <w:p>
            <w:pPr>
              <w:spacing w:after="0"/>
              <w:rPr>
                <w:sz w:val="24"/>
                <w:szCs w:val="24"/>
                <w:color w:val="auto"/>
              </w:rPr>
            </w:pPr>
          </w:p>
        </w:tc>
      </w:tr>
      <w:tr>
        <w:trPr>
          <w:trHeight w:val="169"/>
        </w:trPr>
        <w:tc>
          <w:tcPr>
            <w:tcW w:w="12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20" w:type="dxa"/>
            <w:vAlign w:val="bottom"/>
            <w:tcBorders>
              <w:top w:val="single" w:sz="8" w:color="auto"/>
            </w:tcBorders>
          </w:tcPr>
          <w:p>
            <w:pPr>
              <w:jc w:val="center"/>
              <w:ind w:right="879"/>
              <w:spacing w:after="0"/>
              <w:rPr>
                <w:sz w:val="20"/>
                <w:szCs w:val="20"/>
                <w:color w:val="auto"/>
              </w:rPr>
            </w:pPr>
            <w:r>
              <w:rPr>
                <w:rFonts w:ascii="Arial" w:cs="Arial" w:eastAsia="Arial" w:hAnsi="Arial"/>
                <w:sz w:val="14"/>
                <w:szCs w:val="14"/>
                <w:b w:val="1"/>
                <w:bCs w:val="1"/>
                <w:color w:val="auto"/>
                <w:w w:val="80"/>
              </w:rPr>
              <w:t>Class</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Outstanding as of August 3, 2009</w:t>
            </w:r>
          </w:p>
        </w:tc>
      </w:tr>
      <w:tr>
        <w:trPr>
          <w:trHeight w:val="96"/>
        </w:trPr>
        <w:tc>
          <w:tcPr>
            <w:tcW w:w="12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69"/>
        </w:trPr>
        <w:tc>
          <w:tcPr>
            <w:tcW w:w="10900" w:type="dxa"/>
            <w:vAlign w:val="bottom"/>
            <w:gridSpan w:val="17"/>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40" w:type="dxa"/>
            <w:vAlign w:val="bottom"/>
            <w:tcBorders>
              <w:top w:val="single" w:sz="8" w:color="0000EE"/>
            </w:tcBorders>
            <w:gridSpan w:val="3"/>
          </w:tcPr>
          <w:p>
            <w:pPr>
              <w:spacing w:after="0"/>
              <w:rPr>
                <w:sz w:val="24"/>
                <w:szCs w:val="24"/>
                <w:color w:val="auto"/>
              </w:rPr>
            </w:pPr>
          </w:p>
        </w:tc>
        <w:tc>
          <w:tcPr>
            <w:tcW w:w="782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June 30, 2009 and March 31, 2009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Condensed Consolidated Statements of Operations for the three months ended June 30, 2009 and 2008</w:t>
              </w:r>
            </w:hyperlink>
          </w:p>
        </w:tc>
        <w:tc>
          <w:tcPr>
            <w:tcW w:w="19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Comprehensive Income (Loss) for the three months ended June 30, 2009 and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8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 for the three months ended June 30, 2009 and 2008</w:t>
              </w:r>
            </w:hyperlink>
          </w:p>
        </w:tc>
        <w:tc>
          <w:tcPr>
            <w:tcW w:w="5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3360" w:type="dxa"/>
            <w:vAlign w:val="bottom"/>
            <w:tcBorders>
              <w:top w:val="single" w:sz="8" w:color="0000EE"/>
            </w:tcBorders>
            <w:gridSpan w:val="4"/>
          </w:tcPr>
          <w:p>
            <w:pPr>
              <w:spacing w:after="0"/>
              <w:rPr>
                <w:sz w:val="24"/>
                <w:szCs w:val="24"/>
                <w:color w:val="auto"/>
              </w:rPr>
            </w:pPr>
          </w:p>
        </w:tc>
        <w:tc>
          <w:tcPr>
            <w:tcW w:w="190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1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8200" w:type="dxa"/>
            <w:vAlign w:val="bottom"/>
            <w:gridSpan w:val="1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280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II—OTHER INFORMATION</w:t>
              </w:r>
            </w:hyperlink>
          </w:p>
        </w:tc>
        <w:tc>
          <w:tcPr>
            <w:tcW w:w="810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94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62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4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680" w:type="dxa"/>
            <w:vAlign w:val="bottom"/>
            <w:tcBorders>
              <w:top w:val="single" w:sz="8" w:color="0000EE"/>
            </w:tcBorders>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26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96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80" w:type="dxa"/>
            <w:vAlign w:val="bottom"/>
          </w:tcPr>
          <w:p>
            <w:pPr>
              <w:jc w:val="center"/>
              <w:ind w:left="1552"/>
              <w:spacing w:after="0"/>
              <w:rPr>
                <w:sz w:val="20"/>
                <w:szCs w:val="20"/>
                <w:color w:val="auto"/>
              </w:rPr>
            </w:pPr>
            <w:r>
              <w:rPr>
                <w:rFonts w:ascii="Arial" w:cs="Arial" w:eastAsia="Arial" w:hAnsi="Arial"/>
                <w:sz w:val="18"/>
                <w:szCs w:val="18"/>
                <w:b w:val="1"/>
                <w:bCs w:val="1"/>
                <w:color w:val="auto"/>
                <w:w w:val="97"/>
              </w:rPr>
              <w:t>AMERICAN SUPERCONDUCTOR CORPORATION</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80" w:type="dxa"/>
            <w:vAlign w:val="bottom"/>
          </w:tcPr>
          <w:p>
            <w:pPr>
              <w:jc w:val="center"/>
              <w:ind w:left="1552"/>
              <w:spacing w:after="0"/>
              <w:rPr>
                <w:sz w:val="20"/>
                <w:szCs w:val="20"/>
                <w:color w:val="auto"/>
              </w:rPr>
            </w:pPr>
            <w:r>
              <w:rPr>
                <w:rFonts w:ascii="Arial" w:cs="Arial" w:eastAsia="Arial" w:hAnsi="Arial"/>
                <w:sz w:val="18"/>
                <w:szCs w:val="18"/>
                <w:b w:val="1"/>
                <w:bCs w:val="1"/>
                <w:color w:val="auto"/>
                <w:w w:val="99"/>
              </w:rPr>
              <w:t>PART I — FINANCIAL INFORMATION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80" w:type="dxa"/>
            <w:vAlign w:val="bottom"/>
          </w:tcPr>
          <w:p>
            <w:pPr>
              <w:jc w:val="center"/>
              <w:ind w:left="1532"/>
              <w:spacing w:after="0"/>
              <w:rPr>
                <w:sz w:val="20"/>
                <w:szCs w:val="20"/>
                <w:color w:val="auto"/>
              </w:rPr>
            </w:pPr>
            <w:r>
              <w:rPr>
                <w:rFonts w:ascii="Arial" w:cs="Arial" w:eastAsia="Arial" w:hAnsi="Arial"/>
                <w:sz w:val="18"/>
                <w:szCs w:val="18"/>
                <w:b w:val="1"/>
                <w:bCs w:val="1"/>
                <w:color w:val="auto"/>
                <w:w w:val="97"/>
              </w:rPr>
              <w:t>UNAUDITED CONDENSED CONSOLIDATED BALANCE SHEETS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80" w:type="dxa"/>
            <w:vAlign w:val="bottom"/>
          </w:tcPr>
          <w:p>
            <w:pPr>
              <w:jc w:val="center"/>
              <w:ind w:left="1552"/>
              <w:spacing w:after="0"/>
              <w:rPr>
                <w:sz w:val="20"/>
                <w:szCs w:val="20"/>
                <w:color w:val="auto"/>
              </w:rPr>
            </w:pPr>
            <w:r>
              <w:rPr>
                <w:rFonts w:ascii="Arial" w:cs="Arial" w:eastAsia="Arial" w:hAnsi="Arial"/>
                <w:sz w:val="18"/>
                <w:szCs w:val="18"/>
                <w:b w:val="1"/>
                <w:bCs w:val="1"/>
                <w:color w:val="auto"/>
                <w:w w:val="87"/>
              </w:rPr>
              <w:t>(In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ind w:left="3480"/>
              <w:spacing w:after="0"/>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31,389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208,852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212,506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2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30,746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313,695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309,106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81,319</w:t>
            </w:r>
          </w:p>
        </w:tc>
        <w:tc>
          <w:tcPr>
            <w:tcW w:w="0" w:type="dxa"/>
            <w:vAlign w:val="bottom"/>
          </w:tcPr>
          <w:p>
            <w:pPr>
              <w:spacing w:after="0"/>
              <w:rPr>
                <w:sz w:val="1"/>
                <w:szCs w:val="1"/>
                <w:color w:val="auto"/>
              </w:rPr>
            </w:pPr>
          </w:p>
        </w:tc>
      </w:tr>
      <w:tr>
        <w:trPr>
          <w:trHeight w:val="323"/>
        </w:trPr>
        <w:tc>
          <w:tcPr>
            <w:tcW w:w="89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Deferred tax liabilities,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Other</w:t>
            </w:r>
          </w:p>
        </w:tc>
        <w:tc>
          <w:tcPr>
            <w:tcW w:w="8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78,034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87,245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9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661,086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contract costs—warrant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(425,345)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(427,137)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235,661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221,861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313,695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309,106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73,000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39,817</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50,417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10,885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Total cost and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66,609</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42,505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(2,688)</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(1,976)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(2,471)</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 expense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4,658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(4,384)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1,792</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43,789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44,533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1,792</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22"/>
        </w:trPr>
        <w:tc>
          <w:tcPr>
            <w:tcW w:w="99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Unrealized losses on investments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99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4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5,759</w:t>
            </w:r>
          </w:p>
        </w:tc>
        <w:tc>
          <w:tcPr>
            <w:tcW w:w="18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6"/>
              </w:rPr>
              <w:t>For the 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1,792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2,301</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Stock-based compensation expense—non-employee</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Re-valuation of warrant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(13,068)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(10,176)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(1,340)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(14,136)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(12,441)</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Change in restricted cash</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Change in other assets</w:t>
            </w: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7,712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22"/>
        </w:trPr>
        <w:tc>
          <w:tcPr>
            <w:tcW w:w="8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exercise of employee stock options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1,494</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(3,891)</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70,674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67,834</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66,783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Non-cash issuance of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169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contingent consideration in connection with acquisitions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American Superconductor Corporation (the “Company” or “AMSC”) was founded on April 9, 1987. The Company offers an array of proprietary technologies and solutions spanning the electric power infrastructure—from generation to delivery to end use. The Company is a leader in alternative energy, providing proven, megawatt-scale wind turbine designs and electrical control systems. The Company also offers a host of Smart Grid technologies for power grid operators that enhance the reliability, efficiency and capacity of the power grid, and seamlessly integrate renewable energy sources into the power infrastructure. These technologies include superconductor power cable systems, grid-level surge protectors and power electronics-based voltage stabilization systems. The Company operates in two business segments: AMSC Power Systems and AMSC Superconductors.</w:t>
      </w:r>
    </w:p>
    <w:p>
      <w:pPr>
        <w:spacing w:after="0" w:line="12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have been condensed or omitted pursuant to those instructions. The year-end condensed balance sheet data was derived from audited financial statements but does not include all disclosures required by generally accepted accounting principles in the United States of America. The unaudited condensed consolidated financial statements, in the opinion of management, reflect all adjustments (consisting of normal recurring adjustments) necessary for a fair statement of the results for the interim periods ended June 30, 2009 and 2008 and the financial position at June 30, 2009. The unaudited condensed consolidated financial statements include the accounts of the Company and its wholly-owned subsidiaries. All significant intercompany balances and transactions are eliminated in consolidation.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2009 (fiscal 2008) which are contained in the Company’s Annual Report on Form 10-K, filed with the SEC on May 28, 2009.</w:t>
      </w:r>
    </w:p>
    <w:p>
      <w:pPr>
        <w:spacing w:after="0" w:line="10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the first quarter of the fiscal year ending March 31, 2010, the Company corrected bonus expense for an error discovered during the quarter which increased net income by $0.3 million. The $0.3 million error consisted of a $0.4 million overstatement of bonus expense and a related $0.1 million understatement of income tax expense in the fourth quarter of the fiscal year ended March 31, 2009. The adjustment of $0.4 million also had a de minimis impact on certain balance sheet amounts at March 31, 2009. The impact of correcting this error in the fiscal year ended March 31, 2009 would have increased net income by $0.3 million. The Company evaluated this error taking into account both qualitative and quantitative factors and considered the impact of this error in relation to the first quarter of the fiscal year ending March 31, 2010, which is when it was corrected, as well as the period in which it originated. Management believes this error is immaterial to both the consolidated quarterly and annual financial statements for all periods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December 2007, the Financial Accounting Standards Board (“FASB”) issued Statement of Financial Accounting Standards (“SFAS”) No. 160, “</w:t>
      </w:r>
      <w:r>
        <w:rPr>
          <w:rFonts w:ascii="Arial" w:cs="Arial" w:eastAsia="Arial" w:hAnsi="Arial"/>
          <w:sz w:val="18"/>
          <w:szCs w:val="18"/>
          <w:i w:val="1"/>
          <w:iCs w:val="1"/>
          <w:color w:val="auto"/>
        </w:rPr>
        <w:t>Non-controlling Interests in Consolidated Financial Statements, and an Amendment of ARB No. 51</w:t>
      </w:r>
      <w:r>
        <w:rPr>
          <w:rFonts w:ascii="Arial" w:cs="Arial" w:eastAsia="Arial" w:hAnsi="Arial"/>
          <w:sz w:val="18"/>
          <w:szCs w:val="18"/>
          <w:color w:val="auto"/>
        </w:rPr>
        <w:t>.” This statement establishes accounting and reporting standards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non-controlling interest in a subsidiary and for the deconsolidation of a subsidiary. This statement is effective for fiscal years beginning on or after December 15, 2008. On April 1, 2009, the Company adopted the provisions of SFAS No. 160. The adoption of SFAS No. 160 did not have a material effect on its financial condition or results of operations.</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April 2008, the FASB issued Staff Position 142-3 (“FSP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FSP FAS 142-3 amends the factors that should be considered in developing renewal or extension assumptions used to determine the useful life of a recognized intangible asset under Statement of Financial Accounting Standards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was prohibited. The Company adopted the provisions of FSP FAS 142-3 on April 1, 2009. The adoption of FSP FAS 142-3 did not have a material effect on its financial condition or results of operations.</w:t>
      </w:r>
    </w:p>
    <w:p>
      <w:pPr>
        <w:spacing w:after="0" w:line="14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In June 2008, the FASB issued FSP Emerging Issues Task Force (“EITF”) Issue No. 03-6-1, </w:t>
      </w:r>
      <w:r>
        <w:rPr>
          <w:rFonts w:ascii="Arial" w:cs="Arial" w:eastAsia="Arial" w:hAnsi="Arial"/>
          <w:sz w:val="18"/>
          <w:szCs w:val="18"/>
          <w:i w:val="1"/>
          <w:iCs w:val="1"/>
          <w:color w:val="auto"/>
        </w:rPr>
        <w:t>Determining Whether Instruments Granted in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Transactions Are Participating Securities </w:t>
      </w:r>
      <w:r>
        <w:rPr>
          <w:rFonts w:ascii="Arial" w:cs="Arial" w:eastAsia="Arial" w:hAnsi="Arial"/>
          <w:sz w:val="18"/>
          <w:szCs w:val="18"/>
          <w:color w:val="auto"/>
        </w:rPr>
        <w:t>(“FSP EITF No. 03-6-1”).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of this standard, unvested awards of share-based payments with non-forfeitable rights to receive dividends or dividend equivalents are considered participating securities for purposes of calculating earnings per share. FSP EITF No. 03-6-1 is effective for financial statements issued for fiscal years beginning after December 15, 2008, and interim periods within those years. The Company has adopted FSP EITF No. 03-6-1 on April 1, 2009. The adoption of FSP EITF No. 03-6-1 required the Company to modify its prior year weighted average number of shares outstanding but did not have a material effect on its financial condition or results of operations.</w:t>
      </w:r>
    </w:p>
    <w:p>
      <w:pPr>
        <w:spacing w:after="0" w:line="14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In April 2009, the FASB issued FSP SFAS 141(R)-1, </w:t>
      </w:r>
      <w:r>
        <w:rPr>
          <w:rFonts w:ascii="Arial" w:cs="Arial" w:eastAsia="Arial" w:hAnsi="Arial"/>
          <w:sz w:val="16"/>
          <w:szCs w:val="16"/>
          <w:i w:val="1"/>
          <w:iCs w:val="1"/>
          <w:color w:val="auto"/>
        </w:rPr>
        <w:t>Accounting for Assets Acquired and Liabilities Assumed in a Business Combination That Arise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FSP SFAS 141 (R)-1 amends and clarifies SFAS No. 141(R),</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to address application issues on initial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measurement, subsequent measurement and accounting, and disclosure of assets and liabilities arising from contingencies in a business combination. Under FSP FAS 141(R)-1, an acquirer is required to recognize at fair value an asset acquired or liability assumed in a business combination that arises from a contingency if the acquisition date fair value can be determined during the measurement period. If the acquisition date fair value cannot be determined, the acquirer applies the recognition criteria in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and Interpretation No. 14, </w:t>
      </w:r>
      <w:r>
        <w:rPr>
          <w:rFonts w:ascii="Arial" w:cs="Arial" w:eastAsia="Arial" w:hAnsi="Arial"/>
          <w:sz w:val="16"/>
          <w:szCs w:val="16"/>
          <w:i w:val="1"/>
          <w:iCs w:val="1"/>
          <w:color w:val="auto"/>
        </w:rPr>
        <w:t>Reasonable Estimation of the Amount of a Loss</w:t>
      </w:r>
      <w:r>
        <w:rPr>
          <w:rFonts w:ascii="Arial" w:cs="Arial" w:eastAsia="Arial" w:hAnsi="Arial"/>
          <w:sz w:val="16"/>
          <w:szCs w:val="16"/>
          <w:color w:val="auto"/>
        </w:rPr>
        <w:t>, to determine whether the contingency should be recognized as of the acquisition date or after it. The adoption of FSP FAS 141(R)-1 could materially change the accounting for business combinations consummated subsequent to its effective date of April 1, 2009. On April 1, 2009, the Company adopted the provisions of FSP FAS 141(R)-1. The adoption of FSP FAS 141(R)-1 did not have a material effect on its financial condition or results of operations.</w:t>
      </w:r>
    </w:p>
    <w:p>
      <w:pPr>
        <w:spacing w:after="0" w:line="12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 xml:space="preserve">In April 2009, the FASB issued FSP SFAS No. 157-4, </w:t>
      </w:r>
      <w:r>
        <w:rPr>
          <w:rFonts w:ascii="Arial" w:cs="Arial" w:eastAsia="Arial" w:hAnsi="Arial"/>
          <w:sz w:val="18"/>
          <w:szCs w:val="18"/>
          <w:i w:val="1"/>
          <w:iCs w:val="1"/>
          <w:color w:val="auto"/>
        </w:rPr>
        <w:t>Determining Whether a Market Is Not Active and a Transaction Is Not Distressed</w:t>
      </w:r>
      <w:r>
        <w:rPr>
          <w:rFonts w:ascii="Arial" w:cs="Arial" w:eastAsia="Arial" w:hAnsi="Arial"/>
          <w:sz w:val="18"/>
          <w:szCs w:val="18"/>
          <w:color w:val="auto"/>
        </w:rPr>
        <w:t xml:space="preserve"> (“FSP SFAS No. 157-4”). FSP SFAS No. 157-4 provides guidelines for making fair value measurements more consistent with principles presented in SFAS No. 157. FSP SFAS No. 157-4 provides additional authoritative guidance in determining whether a market is active or inactive, whether a transaction is distressed, is applicable to all assets and liabilities and will require enhanced disclosures. FSP SFAS No. 157-4 is effective for periods ending after June 15, 2009. On April 1, 2009, the Company adopted the provisions of FSP SFAS No. 157-4 for its nonfinancial assets and liabilities, including those measured at fair value in impairment testing and those initially measured at fair value in a business combination. The adoption of FSP SFAS No. 157-4 did not have a material effect on its financial condition or results of operations.</w:t>
      </w:r>
    </w:p>
    <w:p>
      <w:pPr>
        <w:spacing w:after="0" w:line="14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107-1 and Accounting Principles Board (“APB”) Opinion 28-1, </w:t>
      </w:r>
      <w:r>
        <w:rPr>
          <w:rFonts w:ascii="Arial" w:cs="Arial" w:eastAsia="Arial" w:hAnsi="Arial"/>
          <w:sz w:val="16"/>
          <w:szCs w:val="16"/>
          <w:i w:val="1"/>
          <w:iCs w:val="1"/>
          <w:color w:val="auto"/>
        </w:rPr>
        <w:t>Interim Disclosures About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FSP SFAS No. 107-1 amends SFAS No. 107,</w:t>
      </w:r>
      <w:r>
        <w:rPr>
          <w:rFonts w:ascii="Arial" w:cs="Arial" w:eastAsia="Arial" w:hAnsi="Arial"/>
          <w:sz w:val="16"/>
          <w:szCs w:val="16"/>
          <w:i w:val="1"/>
          <w:iCs w:val="1"/>
          <w:color w:val="auto"/>
        </w:rPr>
        <w:t xml:space="preserve"> Disclosures About Fair Value of Financial Instruments</w:t>
      </w:r>
      <w:r>
        <w:rPr>
          <w:rFonts w:ascii="Arial" w:cs="Arial" w:eastAsia="Arial" w:hAnsi="Arial"/>
          <w:sz w:val="16"/>
          <w:szCs w:val="16"/>
          <w:color w:val="auto"/>
        </w:rPr>
        <w:t>, to require disclosures about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financial instruments in interim as well as in annual financial statements. APB No. 28-1 amends APB No. 28, Interim Financial Reporting, to require those disclosures in all interim financial statements. FSP SFAS No. 107-1 and APB No. 28-1 are effective for periods ending after June 15, 2009. The Company has adopted FSP SFAS No. 107-1 and APB No. 28-1. The adoption did not have a material impact on its financial condition or results of operations.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115-2, SFAS No. 124-2 and EITF No. 99-20-2, </w:t>
      </w:r>
      <w:r>
        <w:rPr>
          <w:rFonts w:ascii="Arial" w:cs="Arial" w:eastAsia="Arial" w:hAnsi="Arial"/>
          <w:sz w:val="16"/>
          <w:szCs w:val="16"/>
          <w:i w:val="1"/>
          <w:iCs w:val="1"/>
          <w:color w:val="auto"/>
        </w:rPr>
        <w:t>Recognition and Presentation of Other-Than-Temporary</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Impairments</w:t>
      </w:r>
      <w:r>
        <w:rPr>
          <w:rFonts w:ascii="Arial" w:cs="Arial" w:eastAsia="Arial" w:hAnsi="Arial"/>
          <w:sz w:val="16"/>
          <w:szCs w:val="16"/>
          <w:color w:val="auto"/>
        </w:rPr>
        <w:t>. FSP SFAS No. 115-2, SFAS No. 124-2 and EITF No. 99-20-2 provide greater clarity about the credit and noncredit component of an other-than-temporary impairment event and to more effectively communicate when an other-than-temporary impairment event has occurred. FSP SFAS No. 115-2, SFAS No. 124-2 and EITF No. 99-20-2 are effective for periods ending after June 15, 2009. The Company has adopted FSP SFAS No. 115-2, SFAS No. 124-2 and EITF No. 99-20-2 effective April 1, 2009. The adoption did not have a material impact on its financial condition or results of operations.</w:t>
      </w:r>
    </w:p>
    <w:p>
      <w:pPr>
        <w:spacing w:after="0" w:line="2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The Company accounts for its stock-based compensation under the fair value recognition provisions of SFAS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The following table summarizes employee stock-based compensation expense under SFAS No. 123(R) by financial statement line item for the three months ended June 30, 2009 and 2008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6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7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60" w:type="dxa"/>
            <w:vAlign w:val="bottom"/>
            <w:vMerge w:val="continue"/>
          </w:tcPr>
          <w:p>
            <w:pPr>
              <w:spacing w:after="0"/>
              <w:rPr>
                <w:sz w:val="19"/>
                <w:szCs w:val="19"/>
                <w:color w:val="auto"/>
              </w:rPr>
            </w:pPr>
          </w:p>
        </w:tc>
        <w:tc>
          <w:tcPr>
            <w:tcW w:w="60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3,066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2,299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6020" w:type="dxa"/>
            <w:vAlign w:val="bottom"/>
            <w:vMerge w:val="restart"/>
          </w:tcPr>
          <w:p>
            <w:pPr>
              <w:jc w:val="right"/>
              <w:ind w:right="4232"/>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three months ended June 30, 2009, the Company granted approximately 550,000 shares and 125,000 shares of stock options and restricted stock, respectively, to employees under the 2007 Stock Incentive Plan. The fair value of the grants made during the three months ended June 30, 2009 was $11.3 million. The restricted stock awards include approximately 58,000 shares of performance-based restricted stock, which will vest upon achievement of certain financial performance measurements. The remaining shares granted vest upon the passage of time, generally 3 years. For awards that vest upon the passage of time, expense is being recorded over the vesting period. At June 30, 2009, the Company determined that achievement of the performance measures is probable and as such, is recognizing the fair value of the performance-based awards over the estimated performance period of eleven months.</w:t>
      </w:r>
    </w:p>
    <w:p>
      <w:pPr>
        <w:spacing w:after="0" w:line="12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total unrecognized compensation cost for unvested employee stock-based compensation awards outstanding, net of estimated forfeitures, was $19.8 million at June 30, 2009. This expense will be recognized over a weighted-average expense period of 1.6 years.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assumptions used in the Black-Scholes valuation model for stock options granted during the three months ended June 30, 2009 and 2008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5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860" w:type="dxa"/>
            <w:vAlign w:val="bottom"/>
          </w:tcPr>
          <w:p>
            <w:pPr>
              <w:spacing w:after="0"/>
              <w:rPr>
                <w:sz w:val="14"/>
                <w:szCs w:val="14"/>
                <w:color w:val="auto"/>
              </w:rPr>
            </w:pPr>
          </w:p>
        </w:tc>
        <w:tc>
          <w:tcPr>
            <w:tcW w:w="9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860" w:type="dxa"/>
            <w:vAlign w:val="bottom"/>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r>
      <w:tr>
        <w:trPr>
          <w:trHeight w:val="222"/>
        </w:trPr>
        <w:tc>
          <w:tcPr>
            <w:tcW w:w="9860" w:type="dxa"/>
            <w:vAlign w:val="bottom"/>
          </w:tcPr>
          <w:p>
            <w:pPr>
              <w:spacing w:after="0"/>
              <w:rPr>
                <w:sz w:val="20"/>
                <w:szCs w:val="20"/>
                <w:color w:val="auto"/>
              </w:rPr>
            </w:pPr>
            <w:r>
              <w:rPr>
                <w:rFonts w:ascii="Arial" w:cs="Arial" w:eastAsia="Arial" w:hAnsi="Arial"/>
                <w:sz w:val="18"/>
                <w:szCs w:val="18"/>
                <w:color w:val="auto"/>
              </w:rPr>
              <w:t>Dividend yield</w:t>
            </w: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None</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None</w:t>
            </w:r>
          </w:p>
        </w:tc>
      </w:tr>
    </w:tbl>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expected volatility was estimated based on an equal weighting of the historical volatility of the Company’s common stock and the implied volatility of the Company’s traded options. The expected life was estimated based on an analysis of the Company’s historical experience of exercise, cancellation, and expiration patterns. The risk-free interest rate is based on five-year U.S. Treasury rates. The stock-based compensation expense recognized in the unaudited condensed consolidated statements of operations is based on awards that ultimately are expected to vest; therefore, the amount of expense has been reduced for estimated forfeitures. SFAS No. 123(R) requires forfeitures to be estimated at the time of grant and revised, if necessary, in subsequent periods if actual forfeitures differ from those estimates. Forfeitures were estimated based on historical experience. This analysis is re-evaluated periodically and the forfeiture rate is adjusted as necessary.</w:t>
      </w:r>
    </w:p>
    <w:p>
      <w:pPr>
        <w:spacing w:after="0" w:line="23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Net Income (Loss) per Common Share</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Basic earnings per share (“EPS”) is computed by dividing net earnings (loss) by the weighted-average number of common shares outstanding for the period. Diluted EPS is computed by dividing the net earnings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three months ended June 30, 2009 and 2008, common equivalent shares of 1.3 million shares and 3.7 million shares, respectively, were not included in the calculation of diluted EPS as they were considered anti-dilutive.</w:t>
      </w:r>
    </w:p>
    <w:p>
      <w:pPr>
        <w:spacing w:after="0" w:line="11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months ended June 30, 2009 and 2008 (in thousands, except per share data):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For the 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43,857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Shares used in per-share calculation—basic</w:t>
            </w: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43,789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employee equity incentive plans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Shares used in per-share calculation—diluted</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44,533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April 1, 2009, the Company adopted FSP No. EITF 03-6-1, determining whether instruments granted in share-based payment transactions are participating securities. Under this standard, the unvested restricted stock awards that contain non-forfeitable rights to receive dividends or dividend equivalents are considered participating securities, and therefore, are included in the computation of earnings per share pursuant to the two class method. Application of the standard had an insignificant effect on shares outstanding. This standard required retrospective application, and as such, the prior period shares outstanding have been revised resulting in a reduction of net loss per share of $0.01.</w:t>
      </w:r>
    </w:p>
    <w:p>
      <w:pPr>
        <w:spacing w:after="0" w:line="2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157 establishes a valuation hierarchy for disclosure of the inputs to valuation used to measure fair value. This hierarchy prioritizes the inputs into three broad levels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Hierarchy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157 establishes a valuation hierarchy for disclosure of the inputs to valuation used to measure fair value. This hierarchy prioritizes the inputs into three broad levels as follows:</w:t>
      </w:r>
    </w:p>
    <w:p>
      <w:pPr>
        <w:spacing w:after="0" w:line="45" w:lineRule="exact"/>
        <w:rPr>
          <w:sz w:val="20"/>
          <w:szCs w:val="20"/>
          <w:color w:val="auto"/>
        </w:rPr>
      </w:pPr>
    </w:p>
    <w:p>
      <w:pPr>
        <w:jc w:val="both"/>
        <w:ind w:left="1700" w:right="940" w:hanging="769"/>
        <w:spacing w:after="0" w:line="275"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Inputs are unadjusted quoted prices in active markets for identical assets or liabilities that the Company has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access at the measurement date.</w:t>
      </w:r>
    </w:p>
    <w:p>
      <w:pPr>
        <w:spacing w:after="0" w:line="66" w:lineRule="exact"/>
        <w:rPr>
          <w:sz w:val="20"/>
          <w:szCs w:val="20"/>
          <w:color w:val="auto"/>
        </w:rPr>
      </w:pPr>
    </w:p>
    <w:p>
      <w:pPr>
        <w:jc w:val="both"/>
        <w:ind w:left="1700" w:right="920" w:hanging="769"/>
        <w:spacing w:after="0" w:line="258"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Inputs include quoted prices for similar assets and liabilities in active markets, quoted prices for identical or similar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82" w:lineRule="exact"/>
        <w:rPr>
          <w:sz w:val="20"/>
          <w:szCs w:val="20"/>
          <w:color w:val="auto"/>
        </w:rPr>
      </w:pPr>
    </w:p>
    <w:p>
      <w:pPr>
        <w:jc w:val="both"/>
        <w:ind w:left="1700" w:right="940" w:hanging="769"/>
        <w:spacing w:after="0" w:line="339"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Unobservable inputs that reflect the Company’s assumptions that market participants would use in pricing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The Company develops these inputs based on the best information available, including its own data.</w:t>
      </w:r>
    </w:p>
    <w:p>
      <w:pPr>
        <w:spacing w:after="0" w:line="8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June 30, 2009 and 2008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Using Significant Other</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Using Significant</w:t>
            </w:r>
          </w:p>
        </w:tc>
      </w:tr>
      <w:tr>
        <w:trPr>
          <w:trHeight w:val="149"/>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7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June 30, 2009:</w:t>
            </w:r>
          </w:p>
        </w:tc>
        <w:tc>
          <w:tcPr>
            <w:tcW w:w="1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Cash equivalents</w:t>
            </w:r>
          </w:p>
        </w:tc>
        <w:tc>
          <w:tcPr>
            <w:tcW w:w="2280" w:type="dxa"/>
            <w:vAlign w:val="bottom"/>
            <w:gridSpan w:val="3"/>
          </w:tcPr>
          <w:p>
            <w:pPr>
              <w:jc w:val="right"/>
              <w:ind w:right="380"/>
              <w:spacing w:after="0"/>
              <w:rPr>
                <w:sz w:val="20"/>
                <w:szCs w:val="20"/>
                <w:color w:val="auto"/>
              </w:rPr>
            </w:pPr>
            <w:r>
              <w:rPr>
                <w:rFonts w:ascii="Arial" w:cs="Arial" w:eastAsia="Arial" w:hAnsi="Arial"/>
                <w:sz w:val="18"/>
                <w:szCs w:val="18"/>
                <w:color w:val="auto"/>
              </w:rPr>
              <w:t>$32,709</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32,709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28,597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338"/>
        </w:trPr>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74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Using Significant Other</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Using Significant</w:t>
            </w:r>
          </w:p>
        </w:tc>
      </w:tr>
      <w:tr>
        <w:trPr>
          <w:trHeight w:val="149"/>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7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 Inputs</w:t>
            </w:r>
          </w:p>
        </w:tc>
      </w:tr>
      <w:tr>
        <w:trPr>
          <w:trHeight w:val="16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(Level 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(Level 3)</w:t>
            </w: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Cash equivalents</w:t>
            </w:r>
          </w:p>
        </w:tc>
        <w:tc>
          <w:tcPr>
            <w:tcW w:w="2280" w:type="dxa"/>
            <w:vAlign w:val="bottom"/>
            <w:gridSpan w:val="3"/>
          </w:tcPr>
          <w:p>
            <w:pPr>
              <w:jc w:val="right"/>
              <w:ind w:right="380"/>
              <w:spacing w:after="0"/>
              <w:rPr>
                <w:sz w:val="20"/>
                <w:szCs w:val="20"/>
                <w:color w:val="auto"/>
              </w:rPr>
            </w:pPr>
            <w:r>
              <w:rPr>
                <w:rFonts w:ascii="Arial" w:cs="Arial" w:eastAsia="Arial" w:hAnsi="Arial"/>
                <w:sz w:val="18"/>
                <w:szCs w:val="18"/>
                <w:color w:val="auto"/>
              </w:rPr>
              <w:t>$30,483</w:t>
            </w: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30,483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39,255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Cash equivalents consist of highly liquid money market instruments with maturities of three months or less that are regarded as high quality, low risk investments, are measured using such inputs as quoted prices and inputs that are derived principally from or corroborated by observable market data by correlation or other means, and are classified within Level 1 of the valuation hierarchy.</w:t>
      </w:r>
    </w:p>
    <w:p>
      <w:pPr>
        <w:spacing w:after="0" w:line="14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Company’s marketable securities are classified as available-for-sale securities and, accordingly, are recorded at fair value. At June 30, 2009 and March 31, 2009, the Company primarily held U.S. government backed commercial paper. All commercial paper is rated A-1 or higher. The difference between amortized cost and fair value is included in stockholders’ equity. Marketable securities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 valuation hierarchy.</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Effective April 1, 2009, the Company implemented SFAS No. 157 for its nonfinancial assets and liabilities that are measured at fair value on a non-recurring basis. The adoption of SFAS No. 157 for the Company’s nonfinancial assets and liabilities that are measured at fair value on a non-recurring basis did not impact its financial position or results of operations; however, could have an impact in future periods. The Company may have additional disclosure requirements in the event of a completed acquisition or if an impairment of these occurs in a future period.</w:t>
      </w:r>
    </w:p>
    <w:p>
      <w:pPr>
        <w:spacing w:after="0" w:line="22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an amendment of FASB Statement No. 133, (“SFAS 161”). This statement improves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(“SFAS 133”). The Company adopted this new standard effective April 1, 2009.</w:t>
      </w:r>
    </w:p>
    <w:p>
      <w:pPr>
        <w:spacing w:after="0" w:line="14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Company’s foreign currency risk management strategy is principally designed to mitigate the potential financial impact of changes in the value of transactions and balances denominated in foreign currency, resulting from changes in foreign currency exchange rates. The Company’s foreign currency hedging program uses currency options to manage the foreign currency exposures that exist as part of its ongoing business operations. The contracts primarily are denominated in the Euro and have maturities of less than three months. On June 30, 2009, the Company had two contracts outstanding to hedge the Company’s wholly-owned Austrian subsidiary, Windtec Consulting GmbH (“Windtec”) USD exposure, each with a nominal value of $25.3 million which expired on July 29, 2009. One contract is a call option to purchase Euros at $1.43 and the second contract is a put option to sell Euros for $1.396.</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Generally, we do not designate currency option contracts as hedges for accounting purposes, and changes in the fair value of these instruments are recognized immediately in earnings. Gains and losses on these contracts are included in other expense, net.</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Net realized and unrealized losses on option contracts included in other expense, net, excluding the underlying foreign currency exposure being hedged, were $0.3 million for the quarter ended June 30,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inventory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10020" w:type="dxa"/>
            <w:vAlign w:val="bottom"/>
          </w:tcPr>
          <w:p>
            <w:pPr>
              <w:spacing w:after="0"/>
              <w:rPr>
                <w:sz w:val="14"/>
                <w:szCs w:val="14"/>
                <w:color w:val="auto"/>
              </w:rPr>
            </w:pP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$14,280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$ 16,098</w:t>
            </w:r>
          </w:p>
        </w:tc>
        <w:tc>
          <w:tcPr>
            <w:tcW w:w="20" w:type="dxa"/>
            <w:vAlign w:val="bottom"/>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Work-in-progress</w:t>
            </w:r>
          </w:p>
        </w:tc>
        <w:tc>
          <w:tcPr>
            <w:tcW w:w="580" w:type="dxa"/>
            <w:vAlign w:val="bottom"/>
          </w:tcPr>
          <w:p>
            <w:pPr>
              <w:jc w:val="right"/>
              <w:spacing w:after="0"/>
              <w:rPr>
                <w:sz w:val="20"/>
                <w:szCs w:val="20"/>
                <w:color w:val="auto"/>
              </w:rPr>
            </w:pPr>
            <w:r>
              <w:rPr>
                <w:rFonts w:ascii="Arial" w:cs="Arial" w:eastAsia="Arial" w:hAnsi="Arial"/>
                <w:sz w:val="18"/>
                <w:szCs w:val="18"/>
                <w:color w:val="auto"/>
              </w:rPr>
              <w:t>6,770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6,522</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20" w:type="dxa"/>
            <w:vAlign w:val="bottom"/>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Deferred program costs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0" w:type="dxa"/>
            <w:vAlign w:val="bottom"/>
          </w:tcPr>
          <w:p>
            <w:pPr>
              <w:spacing w:after="0"/>
              <w:rPr>
                <w:sz w:val="19"/>
                <w:szCs w:val="19"/>
                <w:color w:val="auto"/>
              </w:rPr>
            </w:pPr>
          </w:p>
        </w:tc>
      </w:tr>
      <w:tr>
        <w:trPr>
          <w:trHeight w:val="216"/>
        </w:trPr>
        <w:tc>
          <w:tcPr>
            <w:tcW w:w="10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inventory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31,389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$ 35,129</w:t>
            </w:r>
          </w:p>
        </w:tc>
        <w:tc>
          <w:tcPr>
            <w:tcW w:w="2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Finished goods inventory of $8.0 million as of June 30, 2009 includes costs of product shipped to customers on contracts for which revenue was deferred until final customer acceptance.</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Deferred program costs of $2.3 million as of June 30, 2009 and $4.4 million as of March 31, 2009 represent costs incurred on wind turbine development programs where the Company needs to achieve certain milestones or complete development programs before revenue and costs will be recognized. Deferred program costs of $2.6 million as of March 31, 2009 were incurred on a long-term turnkey D-VAR project that were subsequently recorded in cost of revenue in the three months ended June 30, 2009 when the related revenue was recognized.</w:t>
      </w:r>
    </w:p>
    <w:p>
      <w:pPr>
        <w:spacing w:after="0" w:line="25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generally provides a one to two year warranty on its products, commencing upon installation. A provision is recorded upon revenue recognition to “Cost of revenues” for estimated warranty expense based on historical experience.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9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$ 4,749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$ 1,775</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Accruals for warranties during the period</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1,115</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Settlements and adjustments during the period</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$ 5,325</w:t>
            </w:r>
          </w:p>
        </w:tc>
        <w:tc>
          <w:tcPr>
            <w:tcW w:w="20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$ 1,985</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recorded income tax expense of $2.9 million and $1.7 million for the three months ended June 30, 2009 and 2008, respectively, related primarily to income generated in foreign jurisdictions. The Company has provided a valuation allowance against all deferred tax assets in the U.S. as it is more likely than not that its deferred tax assets are not currently realizable due to the net operating losses incurred by the Company since its inception.</w:t>
      </w:r>
    </w:p>
    <w:p>
      <w:pPr>
        <w:spacing w:after="0" w:line="2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April 2005, the Company issued to TM Capital (which subsequently assigned it to Provident Premier Master Fund, Ltd. (“Provident”)) a common stock purchase warrant for 200,000 shares of the Company’s common stock, exercisable for a five-year term, with an exercise price of $9.50 per share (the “Warrant”). The Warrant was re-valued at $5.4 million as of June 30, 2008, resulting in a charge of $2.4 million for the three months ended June 30, 2008 (reported in Other income (expense) in the Unaudited Condensed Consolidated Statements of Operations). In August 2008, Provident utilized the cashless exercise provision and exercised the entire Warrant in exchange for 148,387 shares of the Company’s common stock.</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From time to time, 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June 26, 2008, the Company entered into a performance bond for CNY 1.1 million (approximately $0.2 million) with a Chinese customer to guarantee supply of core components and software, which expires June 30, 2012. The performance bond was issued utilizing a Bank of China CNY 10.0 million (approximately $1.5 million) unsecured line of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June 30, 2009, the Company had outstanding performance bonds issued on behalf of Windtec, for €2.3 million (approximately $3.3 million) in connection with three contracts to provide power electronics for three customers. The first two performance bonds for €2.2 million (approximately $3.2 million) will expire October 31, 2009 and the third performance bond for €0.1 million (approximately $0.1 million) will expire February 6, 2010. In the event that the payment is made in accordance with the requirements of any of these performance bonds, the Company would record the payment as an offset to revenue. The performance bonds are secured with restricted cash, included in current assets.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June 30, 2009 and March 31, 2009, the Company had $6.1 million and $5.9 million, respectively, of restricted cash included in current assets, which includes the restricted cash securing the Windtec bonds noted above, and $1.7 million and $1.4 million of long-term restricted cash, respectively. Total restricted cash as of June 30, 2009 and March 31, 2009 was $7.8 million and $7.3 million, respectively.</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also has unused, unsecured lines of credit of €0.5 million (or approximately $0.7 million) that are available until June 30, 2010, as well as a standby letter of credit arrangement with a financial institution for $0.5 million which expired on July 31, 2009.</w:t>
      </w:r>
    </w:p>
    <w:p>
      <w:pPr>
        <w:spacing w:after="0" w:line="24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Cost-Sharing Arrangements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(“R&amp;D”) and selling, general and administrative (“SG&amp;A”) expenses, and to purchase capital equipment.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incurred and funding received under these agreements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4"/>
                <w:szCs w:val="14"/>
                <w:color w:val="auto"/>
              </w:rPr>
            </w:pPr>
          </w:p>
        </w:tc>
        <w:tc>
          <w:tcPr>
            <w:tcW w:w="136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10080" w:type="dxa"/>
            <w:vAlign w:val="bottom"/>
          </w:tcPr>
          <w:p>
            <w:pPr>
              <w:spacing w:after="0"/>
              <w:rPr>
                <w:sz w:val="14"/>
                <w:szCs w:val="14"/>
                <w:color w:val="auto"/>
              </w:rPr>
            </w:pPr>
          </w:p>
        </w:tc>
        <w:tc>
          <w:tcPr>
            <w:tcW w:w="920" w:type="dxa"/>
            <w:vAlign w:val="bottom"/>
            <w:tcBorders>
              <w:bottom w:val="single" w:sz="8" w:color="auto"/>
            </w:tcBorders>
            <w:gridSpan w:val="4"/>
          </w:tcPr>
          <w:p>
            <w:pPr>
              <w:jc w:val="center"/>
              <w:ind w:left="36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008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76"/>
              </w:rPr>
              <w:t>2008</w:t>
            </w:r>
          </w:p>
        </w:tc>
        <w:tc>
          <w:tcPr>
            <w:tcW w:w="20" w:type="dxa"/>
            <w:vAlign w:val="bottom"/>
          </w:tcPr>
          <w:p>
            <w:pPr>
              <w:spacing w:after="0"/>
              <w:rPr>
                <w:sz w:val="12"/>
                <w:szCs w:val="12"/>
                <w:color w:val="auto"/>
              </w:rPr>
            </w:pP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$ 1,471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1,882</w:t>
            </w:r>
          </w:p>
        </w:tc>
        <w:tc>
          <w:tcPr>
            <w:tcW w:w="20" w:type="dxa"/>
            <w:vAlign w:val="bottom"/>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R&amp;D expenditures offset by cost sharing funding received</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G&amp;A expenditures offset by cost sharing funding received</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2009, total funding received to date under these agreements was $28.6 million.</w:t>
      </w:r>
    </w:p>
    <w:p>
      <w:pPr>
        <w:spacing w:after="0" w:line="28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Power Quality Systems, Inc.</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April 27, 2007, the Company acquired Power Quality Systems, Inc. (“PQS”), a Pennsylvania corporation, for $4.5 million in common stock. PQS offers reactive compensation products known as Static VAR Compensators, or SVCs, based on its proprietary thyristor switch technology. These products enhance the reliability of power transmission and distribution grids and improve the quality of power for manufacturing operations.</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acquisition agreement included an earn-out provision for the issuance of up to an additional 0.5 million shares of common stock based on the achievement of certain order growth targets for existing PQS products for the fiscal years ended March 31, 2008 and 2009. During the fiscal year ended March 31, 2008, the Company recorded contingent consideration related to the acquisition of PQS of $1.7 million to Goodwill and Additional paid-in capital, representing 75,000 shares earned. These shares were issued during the first quarter of the fiscal year ended March 31, 2009. In addition, the Company recorded contingent consideration of $1.2 million to Goodwill and Additional paid-in capital, representing 75,000 shares earned for the fiscal year ended March 31, 2009. These shares were issued in the first quarter of the fiscal year ending March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Windtec Consulting GmbH</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5, 2007, the Company acquired Windtec Consulting GmbH (“Windtec”), a corporation incorporated according to the laws of Austria. Windtec develops and sells electrical systems for wind turbines. Windtec also provides technology transfer for the manufacturing of wind turbines; documentation services; and training and support regarding the assembly, installation, commissioning, and service of wind turbines.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acquisition agreement included an earn-out provision for the issuance of up to an additional 1,400,000 shares of common stock upon Windtec’s achievement of specified revenue objectives during the first four fiscal years following closing of the acquisition. During the fiscal year ended March 31, 2008, the Company recorded contingent consideration of $8.1 million to Goodwill and Additional paid-in capital, representing 350,000 shares earned. These shares were issued during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first quarter of the fiscal year ended March 31, 2009. In addition, the Company recorded contingent consideration of $9.8 million to Goodwill and Additional paid-in capital during the fiscal year ended March 31, 2009, representing 350,000 shares earned. These 350,000 shares were issued in the first quarter of the fiscal year ending March 31, 2010. During the three months ended June 30, 2009, the Company recorded contingent consideration of $3.3 million to Goodwill and Additional paid-in capital representing 125,000 shares earned. These 125,000 shares are expected to be issued in the first quarter of the fiscal year ending March 31, 2011.</w:t>
      </w:r>
    </w:p>
    <w:p>
      <w:pPr>
        <w:spacing w:after="0" w:line="25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Impairments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25, 2007, the Company’s Board of Directors approved a restructuring plan (the “Fiscal 2007 Plan”) to reduce operating costs by closing its last remaining facility in Westborough, Massachusetts and consolidating those operations into its Devens, Massachusetts facility. No headcount reductions were associated with this plan.</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Aggregate restructuring charges associated with the Fiscal 2007 Plan were $7.7 million, of which $0.3 million was recorded during the three months ended June 30, 2009 for additional costs related to the consolidation of the Company’s Massachusetts operations and the closure of its former headquarters facility in Westborough. These additional costs were driven by delays in returning the building to the landlord in its mutually-agreed upon condition. The aggregate restructuring charges assumed the facility is not subleased. All restructuring charges associated with the Fiscal 2007 Plan are expected to result in cash disbursements and are expected to be completed by the end of the second quarter of the fiscal year ending March 31, 2010.</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presents the restructuring expense and cash disbursements for the Fiscal 2007 Plan for the three months ended June 30, 2009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Decontamination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Lease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and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32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Facility Closing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Costs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77"/>
              </w:rPr>
              <w:t>Costs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2,110</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Charges to operations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disbursements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Balance June 30, 2009</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w:t>
            </w:r>
          </w:p>
        </w:tc>
        <w:tc>
          <w:tcPr>
            <w:tcW w:w="3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reports its financial results in two reportable business segments: AMSC Power Systems and AMSC Superconductors.</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AMSC Superconductors business unit manufactures HTS wire and coils; designs and develops superconductor products, such as power cables, fault current limiters and motors; and manages large-scale superconductor projects.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8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634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6920" w:type="dxa"/>
            <w:vAlign w:val="bottom"/>
            <w:gridSpan w:val="2"/>
          </w:tcPr>
          <w:p>
            <w:pPr>
              <w:jc w:val="right"/>
              <w:spacing w:after="0"/>
              <w:rPr>
                <w:sz w:val="20"/>
                <w:szCs w:val="20"/>
                <w:color w:val="auto"/>
              </w:rPr>
            </w:pPr>
            <w:r>
              <w:rPr>
                <w:rFonts w:ascii="Arial" w:cs="Arial" w:eastAsia="Arial" w:hAnsi="Arial"/>
                <w:sz w:val="18"/>
                <w:szCs w:val="18"/>
                <w:color w:val="auto"/>
              </w:rPr>
              <w:t>$70,696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$ 35,930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6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73,000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$ 39,817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340" w:type="dxa"/>
            <w:vAlign w:val="bottom"/>
            <w:vMerge w:val="restart"/>
          </w:tcPr>
          <w:p>
            <w:pPr>
              <w:jc w:val="right"/>
              <w:ind w:right="4132"/>
              <w:spacing w:after="0"/>
              <w:rPr>
                <w:sz w:val="20"/>
                <w:szCs w:val="20"/>
                <w:color w:val="auto"/>
              </w:rPr>
            </w:pPr>
            <w:r>
              <w:rPr>
                <w:rFonts w:ascii="Arial" w:cs="Arial" w:eastAsia="Arial" w:hAnsi="Arial"/>
                <w:sz w:val="18"/>
                <w:szCs w:val="18"/>
                <w:color w:val="auto"/>
              </w:rPr>
              <w:t>12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98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AMSC Power Systems</w:t>
            </w:r>
          </w:p>
        </w:tc>
        <w:tc>
          <w:tcPr>
            <w:tcW w:w="8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15,395</w:t>
            </w: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$ 4,878</w:t>
            </w: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(5,497)</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(5,109)</w:t>
            </w: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Unallocated corporate expenses</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(3,507)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(2,457)</w:t>
            </w: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(2,688)</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5"/>
          <w:szCs w:val="15"/>
          <w:color w:val="auto"/>
        </w:rPr>
        <w:t>The accounting policies of the business segments are the same as those for the consolidated Company, except that certain corporate expenses which the Company does not believe are specifically attributable or allocable to either of the two business segments have been excluded from the segment operating income (loss). Unallocated corporate expenses include stock-based compensation expense of $3.1 million and $2.3 million for the three months ended June 30, 2009 and 2008, respectively. Unallocated corporate expenses for the three months ended June 30, 2009 included $0.3 million of restructuring charges related primarily to the closure of the Company’s facility in Westborough, Massachusetts. For the three months ended June 30, 2009 and 2008, unallocated corporate expenses also include operating costs associated with the unoccupied portion of the Company’s former corporate headquarters facility located in Westborough, Massachusetts.</w:t>
      </w:r>
    </w:p>
    <w:p>
      <w:pPr>
        <w:spacing w:after="0" w:line="10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For the quarter ended June 30, 2009, a substantial portion of the Company’s revenues was derived from three customers: Sinovel Wind Co., Ltd., a manufacturer of wind turbines based in China; ACCIONA S.A., a Spanish renewable power company; and a U.S. subsidiary of National Grid, an energy company. Sales to Sinovel represented 53% and 68% of total revenues for the three months ended June 30, 2009 and 2008, respectively. Sales to ACCIONA and National Grid were 14% and 10%, respectively, for the three months ended June 30, 2009. The U.S. Department of Energy represented 16% of total revenues for the three months ended June 30, 2008.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March 31,</w:t>
            </w:r>
          </w:p>
        </w:tc>
      </w:tr>
      <w:tr>
        <w:trPr>
          <w:trHeight w:val="161"/>
        </w:trPr>
        <w:tc>
          <w:tcPr>
            <w:tcW w:w="980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$ 153,378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$ 136,777</w:t>
            </w:r>
          </w:p>
        </w:tc>
        <w:tc>
          <w:tcPr>
            <w:tcW w:w="20" w:type="dxa"/>
            <w:vAlign w:val="bottom"/>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AMSC Superconductors</w:t>
            </w:r>
          </w:p>
        </w:tc>
        <w:tc>
          <w:tcPr>
            <w:tcW w:w="680" w:type="dxa"/>
            <w:vAlign w:val="bottom"/>
          </w:tcPr>
          <w:p>
            <w:pPr>
              <w:jc w:val="right"/>
              <w:spacing w:after="0"/>
              <w:rPr>
                <w:sz w:val="20"/>
                <w:szCs w:val="20"/>
                <w:color w:val="auto"/>
              </w:rPr>
            </w:pPr>
            <w:r>
              <w:rPr>
                <w:rFonts w:ascii="Arial" w:cs="Arial" w:eastAsia="Arial" w:hAnsi="Arial"/>
                <w:sz w:val="18"/>
                <w:szCs w:val="18"/>
                <w:color w:val="auto"/>
              </w:rPr>
              <w:t>57,133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55,122</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marketable securities and restricted cash</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103,184</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117,207</w:t>
            </w:r>
          </w:p>
        </w:tc>
        <w:tc>
          <w:tcPr>
            <w:tcW w:w="20" w:type="dxa"/>
            <w:vAlign w:val="bottom"/>
          </w:tcPr>
          <w:p>
            <w:pPr>
              <w:spacing w:after="0"/>
              <w:rPr>
                <w:sz w:val="18"/>
                <w:szCs w:val="18"/>
                <w:color w:val="auto"/>
              </w:rPr>
            </w:pPr>
          </w:p>
        </w:tc>
      </w:tr>
      <w:tr>
        <w:trPr>
          <w:trHeight w:val="222"/>
        </w:trPr>
        <w:tc>
          <w:tcPr>
            <w:tcW w:w="9800" w:type="dxa"/>
            <w:vAlign w:val="bottom"/>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$ 313,695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$ 309,106</w:t>
            </w:r>
          </w:p>
        </w:tc>
      </w:tr>
      <w:tr>
        <w:trPr>
          <w:trHeight w:val="20"/>
        </w:trPr>
        <w:tc>
          <w:tcPr>
            <w:tcW w:w="9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Company has performed an evaluation of subsequent events through August 6, 2009, which is the date the financial statements were issued.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For this purpose, any statements contained herein that relate to future events or conditions, including without limitation, the statements under “Item 2. Management’s Discussion and Analysis of Financial Condition and Results of Operations” and in Part II, “Item 1A. Risk Factors”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“Risk Factors” in Item 1A,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American Superconductor and design, Revolutionizing the Way the World Uses Electricity, AMSC, Powered by AMSC, D-VAR, dSVC, PowerModule, PQ-IVR, Secure Super Grids, Windtec and SuperGEAR are trademarks or registered trademarks of American Superconductor Corporation or its subsidiaries. All other brand names, product names or trademarks belong to their respective holders. The Windtec logo and design is a registered European Union Community Trademark. All other brand names, product names, trademarks or service marks appearing in this Quarterly Report on Form 10-Q are the property of their respective 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American Superconductor Corporation was founded in 1987. We offer an array of proprietary technologies and solutions spanning the electric power infrastructure—from generation to delivery to end use. Our company is a leader in alternative energy, providing proven, megawatt-scale wind turbine designs and electrical control systems. We also offer a host of Smart Grid technologies for power grid operators that enhance the reliability, efficiency and capacity of the grid, and seamlessly integrate renewable energy sources into the power infrastructure. These technologies include superconductor power cable systems, grid-level surge protectors and power electronics-based voltage stabilization systems. Our technologies are protected by a broad and deep intellectual property portfolio consisting of hundreds of patents and licenses worldwide.</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company markets two primary, proprietary technologies: programmable power electronic converters and high temperature superconductor (HTS) wires. The programmability and scalability of our power electronic converters differentiates them from most competitive offerings. Our power electronic converters increase the quantity, quality and reliability of electric power that is produced by a renewable source, such as wind, transmitted by electric utilities or consumed by large industrial entities.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HTS wire can carry 150 times the electric current of comparatively sized copper wire and therefore increases the electric current carrying capacity of the transmission cables comprising these power grids and provides current limiting functionality in cables and stand-alone devices. In addition, our HTS wire, when incorporated into primary electrical equipment such as motors and generators, can provide increased manufacturing and operating savings due to a significant reduction in the size and weight of this equipment. Also, our power electronic converters increase the quantity, quality and reliability of electric power that is transmitted by electric utilities or consumed by large industrial entities.</w:t>
      </w:r>
    </w:p>
    <w:p>
      <w:pPr>
        <w:spacing w:after="0" w:line="1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products are in varying stages of commercialization. Our power electronic converters have been sold commercially, as part of integrated systems, to electric utilities, wind turbines and other manufacturers and wind farm developers, owners and operators since 1999. We began production of our first generation, or “1G,” HTS wire in 2003, and ceased 1G production in 2007 in favor of second generation or “2G” HTS wire, as discussed below. We started initial production of 344 superconductors, our brand name for 2G HTS wire, in November 2007. Our gross production capacity is approximately 720,000 meters of 344 superconductors per year. The principal applications for HTS wire (power cables, fault current limiters, rotating machines and specialty magnets) are currently in the prototype stage. Some of these prototypes 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funded by U.S. government contracts, primarily with the Department of Defense (“DOD”), Department of Energy (“DOE”) and the Department of Homeland Security (“DHS”).</w:t>
      </w:r>
    </w:p>
    <w:p>
      <w:pPr>
        <w:spacing w:after="0" w:line="13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fiscal year begins on April 1 and ends on March 31. This document refers to fiscal 2009, which is defined as the period beginning on April 1, 2009 and concluding on March 31, 2010. The first quarter of fiscal 2009 began on April 1, 2009 and concluded on June 30, 2009.</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development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potential strategic alliances and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first quarter of fiscal 2009 in our critical accounting policies as disclosed in our Form 10-K for fiscal 2008, which ended on March 31,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2009 compared to the three months ended June 30, 2008</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operate and report our financial results to the Chief Executive Officer in two reportable business segments: AMSC Power Systems and AMSC Superconductors.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AMSC Power Systems business unit produces a broad range of products to increase electrical grid capacity and reliability; supplies electrical systems used in wind turbines; sells power electronic products that regulate wind farm voltage to enable their interconnection to the power grid; licenses proprietary wind turbine designs to manufacturers of such systems; provides consulting services to the wind industry; and offers products that enhance power quality for industrial operations.</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AMSC Superconductors business unit manufactures HTS wire and coils; designs and develops superconductor products, such as power cables, fault current limiters and motors; and manages large-scale superconductor projects.</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first quarter of the year ending March 31, 2010, we corrected bonus expense for an immaterial error discovered during the quarter which increased net income by $0.3 million. The $0.3 million error consisted of a $0.4 million overstatement of bonus expense and a related $0.1 million understatement of income tax expense in the fourth quarter of the year ended March 31, 2009. The impact of correcting this error in the year ended March 31, 2009 would have increased net income by $0.3 million. We believe this error is immaterial to both the consolidated quarterly and annual financial statements for all periods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revenues increased by 83% to $73.0 million for the three months ended June 30, 2009 from $39.8 million for the three months ended June 30,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summarized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9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AMSC Power Systems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$70,696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$ 35,930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Superconductors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73,000</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$ 39,817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Revenues in our AMSC Power Systems business unit consist of revenues from wind turbine electrical systems, wind turbine license and development contracts as well as D-VAR</w:t>
      </w:r>
      <w:r>
        <w:rPr>
          <w:rFonts w:ascii="Arial" w:cs="Arial" w:eastAsia="Arial" w:hAnsi="Arial"/>
          <w:sz w:val="11"/>
          <w:szCs w:val="11"/>
          <w:color w:val="auto"/>
        </w:rPr>
        <w:t>®</w:t>
      </w:r>
      <w:r>
        <w:rPr>
          <w:rFonts w:ascii="Arial" w:cs="Arial" w:eastAsia="Arial" w:hAnsi="Arial"/>
          <w:sz w:val="18"/>
          <w:szCs w:val="18"/>
          <w:color w:val="auto"/>
        </w:rPr>
        <w:t>, D-VAR RT, SVC, and PowerModule™ product sales, service contracts, and consulting arrangements. We also engineer, install and commission our products on a turnkey basis for some</w:t>
      </w:r>
    </w:p>
    <w:p>
      <w:pPr>
        <w:sectPr>
          <w:pgSz w:w="11900" w:h="16838" w:orient="portrait"/>
          <w:cols w:equalWidth="0" w:num="1">
            <w:col w:w="11420"/>
          </w:cols>
          <w:pgMar w:left="240" w:top="459"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customers. Our AMSC Power Systems business unit accounted for 97% and 90% of total revenues for the three months ended June 30, 2009 and 2008, respectively. Revenues in the AMSC Power Systems business unit increased 97% to $70.7 million in the three months ended June 30, 2009 from $35.9 million in the three months ended June 30, 2008. The increase in AMSC Power Systems business unit revenues was primarily due to higher sales of wind electrical systems and core components, primarily to customers in China, higher D-VAR shipments, as well as shipments of our D-VAR RT products to ACCIONA Energy in Spain. Based on the average Euro and renminbi exchange rates for the first quarter of fiscal 2009, revenue denominated in these foreign currencies translated into U.S. dollars was $0.6 million lower compared to the translation of these revenues using the average exchange rates of these currencies for the first quarter of fiscal 2008.</w:t>
      </w:r>
    </w:p>
    <w:p>
      <w:pPr>
        <w:spacing w:after="0" w:line="14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For the quarter ended June 30, 2009, a substantial portion of our revenues was derived from three customers: Sinovel Wind Co., Ltd., a manufacturer of wind turbines based in China; ACCIONA S.A., a Spanish renewable power company; and a U.S. subsidiary of National Grid, an energy company. Sales to Sinovel represented 53% and 68% of total revenues for the three months ended June 30, 2009 and 2008, respectively. Sales to ACCIONA and National Grid were 14% and 10% of total revenues, respectively, for the first quarter of fiscal 2009. Sales to the U.S. Department of Energy represented 16% of total revenues for the first quarter of fiscal 2008.</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July 29, 2009, we announced that Sinovel has amended its contract with us, resulting in an increase in contract value of approximately $20 million to more than $470 million. In addition, deliveries under this contract will be accelerated, resulting in an increase in forecasted revenues in fiscal 2009 as compared to the original contract.</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Revenues in our AMSC Superconductors business unit consist of contract revenues, HTS wire sales, revenues under government-sponsored electric utility projects, and other prototype development contracts. AMSC Superconductors business unit revenue is primarily recorded using the percentage-of-completion method. AMSC Superconductors business unit accounted for 3% and 10% revenues for the first quarter of fiscal 2009 and 2008, respectively. AMSC Superconductors business unit revenue decreased 41% to $2.3 million in the first quarter of fiscal 2009 from $3.9 million in the first quarter of fiscal 2008. Revenues from significant AMSC Superconductors government funded contract revenues are summarized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 Earned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Revenue Earned for three months</w:t>
            </w:r>
          </w:p>
        </w:tc>
        <w:tc>
          <w:tcPr>
            <w:tcW w:w="0" w:type="dxa"/>
            <w:vAlign w:val="bottom"/>
          </w:tcPr>
          <w:p>
            <w:pPr>
              <w:spacing w:after="0"/>
              <w:rPr>
                <w:sz w:val="1"/>
                <w:szCs w:val="1"/>
                <w:color w:val="auto"/>
              </w:rPr>
            </w:pPr>
          </w:p>
        </w:tc>
      </w:tr>
      <w:tr>
        <w:trPr>
          <w:trHeight w:val="161"/>
        </w:trPr>
        <w:tc>
          <w:tcPr>
            <w:tcW w:w="6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Expected Total</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through</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4"/>
              </w:rPr>
              <w:t>ended June 30,</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line="142" w:lineRule="exact"/>
              <w:rPr>
                <w:sz w:val="20"/>
                <w:szCs w:val="20"/>
                <w:color w:val="auto"/>
              </w:rPr>
            </w:pPr>
            <w:r>
              <w:rPr>
                <w:rFonts w:ascii="Arial" w:cs="Arial" w:eastAsia="Arial" w:hAnsi="Arial"/>
                <w:sz w:val="14"/>
                <w:szCs w:val="14"/>
                <w:b w:val="1"/>
                <w:bCs w:val="1"/>
                <w:color w:val="auto"/>
              </w:rPr>
              <w:t>Project Name</w:t>
            </w: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Contract Value</w:t>
            </w:r>
          </w:p>
        </w:tc>
        <w:tc>
          <w:tcPr>
            <w:tcW w:w="1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June 30, 2009</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HYDRA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LIPA I</w:t>
            </w:r>
          </w:p>
        </w:tc>
        <w:tc>
          <w:tcPr>
            <w:tcW w:w="2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27,458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27,458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LIPA II</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DOE-FCL</w:t>
            </w:r>
          </w:p>
        </w:tc>
        <w:tc>
          <w:tcPr>
            <w:tcW w:w="2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NAVSEA Motor Study</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These significant projects represented 45% and 78% of AMSC Superconductors business unit revenue for the three months ended June 30, 2009 and 2008, respectively.</w:t>
      </w:r>
    </w:p>
    <w:p>
      <w:pPr>
        <w:spacing w:after="0" w:line="13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decrease in AMSC Superconductors business unit revenue for the first quarter of fiscal 2009 was driven primarily by lower HYDRA project revenues due to subcontractor-related delays. We recognize superconductor cable project revenues from the Project HYDRA contract with Consolidated Edison, Inc., which is being funded by the U.S. Department of Homeland Security (“DHS”) and was signed on January 22, 2008. DHS is expected to invest up to a total of $24.9 million in the development of a new high temperature superconductor power grid technology to enable Secure Super Grids™. Secure Super Grids utilize customized HTS wires, superconductor power cables and ancillary controls to deliver more power through the grid while also being able to suppress power surges that can disrupt service. Of the total $24.9 million in funding expected from DHS, it has committed funding of $16.3 million to us as of June 30, 2009. We recognized $0.3 million in revenue related to the Project HYDRA during the first quarter of fiscal 2009, compared to $1.0 million in the same period of fiscal 2008. Consolidated Edison and Southwire Company are subcontractors to us on this project.</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LIPA I is a project to install an HTS power cable system at transmission voltage using our first generation HTS wire for the Long Island Power Authority. LIPA II is a project to install an HTS power cable utilizing our second generation HTS wire for the Long Island Power Authority. DOE-FCL is a project to develop and demonstrate a transmission voltage SuperLimiter FCL. The NAVSEA Motor Study is a project designed to test the 36.5 MW superconductor motor developed for the U.S. Navy.</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Revenues from our DOE-FCL project were negatively impacted by delayed funding resulting in capitalized costs which we anticipate to be recognized as revenue in the second quarter of fiscal 2009 as funding was authorized in July 2009.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decrease in the NAVSEA Motor Study project revenue is a result of the project coming to a conclusion. The LIPA II decrease in project revenue is related to the 1st phase coming to a conclusion.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Cost-sharing funding</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addition to reported revenues, we also received funding of $0.7 million for the first quarter of fiscal 2009 under U.S. government cost-sharing agreements with the U.S. Air Force and DOE, compared to $0.8 million for the first quarter of fiscal 2008. The slight decrease in cost-sharing funding is primarily due to the DOE Wire Initiative program nearing completion. All of our cost-sharing agreements provide funding in support of development work on 344 superconductors being done in our AMSC Superconductors business unit. We anticipate that a portion of our funding in the future will continue to come from cost-sharing agreements as we execute joint programs with government agencies. Funding from government cost-sharing agreements is recorded as an offset to research and development (“R&amp;D”) and selling, general and administrative (“SG&amp;A”) expenses, rather than as revenue. As of June 30, 2009, we anticipate recognizing an additional $1.1 million offset to R&amp;D and SG&amp;A expenses related to these cost-sharing agreements over the next two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Margin</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Cost of revenues increased by 79% to $50.4 million for the first quarter of fiscal 2009 compared to $28.2 million for the first quarter of fiscal 2008. Gross margin was 30.9% for the first quarter of fiscal 2009 compared to 29.2% for the first quarter of fiscal 2008. The increase in gross margin in the first quarter of fiscal 2009 as compared to the same period in fiscal 2008 was due primarily to a higher volume of wind turbine core electrical component shipments and a higher percentage of higher-margin AMSC Power Systems business unit sales as compared to AMSC Superconductor business unit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tcPr>
          <w:p>
            <w:pPr>
              <w:spacing w:after="0"/>
              <w:rPr>
                <w:sz w:val="14"/>
                <w:szCs w:val="14"/>
                <w:color w:val="auto"/>
              </w:rPr>
            </w:pPr>
          </w:p>
        </w:tc>
        <w:tc>
          <w:tcPr>
            <w:tcW w:w="13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r>
      <w:tr>
        <w:trPr>
          <w:trHeight w:val="161"/>
        </w:trPr>
        <w:tc>
          <w:tcPr>
            <w:tcW w:w="10080" w:type="dxa"/>
            <w:vAlign w:val="bottom"/>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008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76"/>
              </w:rPr>
              <w:t>2008</w:t>
            </w:r>
          </w:p>
        </w:tc>
        <w:tc>
          <w:tcPr>
            <w:tcW w:w="20" w:type="dxa"/>
            <w:vAlign w:val="bottom"/>
          </w:tcPr>
          <w:p>
            <w:pPr>
              <w:spacing w:after="0"/>
              <w:rPr>
                <w:sz w:val="12"/>
                <w:szCs w:val="12"/>
                <w:color w:val="auto"/>
              </w:rPr>
            </w:pP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$ 4,528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4,913</w:t>
            </w:r>
          </w:p>
        </w:tc>
        <w:tc>
          <w:tcPr>
            <w:tcW w:w="20" w:type="dxa"/>
            <w:vAlign w:val="bottom"/>
          </w:tcPr>
          <w:p>
            <w:pPr>
              <w:spacing w:after="0"/>
              <w:rPr>
                <w:sz w:val="18"/>
                <w:szCs w:val="18"/>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R&amp;D expenditures reclassified as costs of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4,493</w:t>
            </w:r>
          </w:p>
        </w:tc>
        <w:tc>
          <w:tcPr>
            <w:tcW w:w="20" w:type="dxa"/>
            <w:vAlign w:val="bottom"/>
          </w:tcPr>
          <w:p>
            <w:pPr>
              <w:spacing w:after="0"/>
              <w:rPr>
                <w:sz w:val="18"/>
                <w:szCs w:val="18"/>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r>
      <w:tr>
        <w:trPr>
          <w:trHeight w:val="222"/>
        </w:trPr>
        <w:tc>
          <w:tcPr>
            <w:tcW w:w="10080" w:type="dxa"/>
            <w:vAlign w:val="bottom"/>
          </w:tcPr>
          <w:p>
            <w:pPr>
              <w:ind w:left="440"/>
              <w:spacing w:after="0"/>
              <w:rPr>
                <w:sz w:val="20"/>
                <w:szCs w:val="20"/>
                <w:color w:val="auto"/>
              </w:rPr>
            </w:pPr>
            <w:r>
              <w:rPr>
                <w:rFonts w:ascii="Arial" w:cs="Arial" w:eastAsia="Arial" w:hAnsi="Arial"/>
                <w:sz w:val="18"/>
                <w:szCs w:val="18"/>
                <w:color w:val="auto"/>
              </w:rPr>
              <w:t>Aggregated R&amp;D expenses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$ 6,405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9,847</w:t>
            </w:r>
          </w:p>
        </w:tc>
      </w:tr>
      <w:tr>
        <w:trPr>
          <w:trHeight w:val="20"/>
        </w:trPr>
        <w:tc>
          <w:tcPr>
            <w:tcW w:w="10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R&amp;D expenses (exclusive of amounts classified as costs of revenue and amounts offset by cost-sharing funding) decreased by 8% to $4.5 million, or 6% of revenue, for the three months ended June 30, 2009 from $4.9 million, or 12% of revenue, for the same period of fiscal 2008. The decrease in R&amp;D expenses was driven primarily by a correction in the three months ended June 30, 2009, of a $0.3 million error in the fourth quarter of fiscal 2008 related to bonus expense and slightly lower R&amp;D spending in our AMSC Superconductors business unit. The decrease in R&amp;D expenditures reclassified to costs of revenue was a result of decreased efforts under our government funded contracts in AMSC Superconductors business unit compared to the prior year period. Aggregated R&amp;D expenses, which include amounts classified as costs of revenue and amounts offset by cost-sharing funding, decreased 35% to $6.4 million, or 9% of revenue, for the first quarter of fiscal 2009 compared to $9.8 million, or 25% of revenue, for the first quarter of fiscal 2008. The decrease in fiscal 2009 was driven primarily by the factors described above.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 (in thousands):</w:t>
      </w:r>
    </w:p>
    <w:p>
      <w:pPr>
        <w:sectPr>
          <w:pgSz w:w="11900" w:h="16838" w:orient="portrait"/>
          <w:cols w:equalWidth="0" w:num="1">
            <w:col w:w="11420"/>
          </w:cols>
          <w:pgMar w:left="240" w:top="45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5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$ 10,885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SG&amp;A expenditures reclassified as costs of revenue</w:t>
            </w:r>
          </w:p>
        </w:tc>
        <w:tc>
          <w:tcPr>
            <w:tcW w:w="586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 sharing funding</w:t>
            </w:r>
          </w:p>
        </w:tc>
        <w:tc>
          <w:tcPr>
            <w:tcW w:w="5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tcPr>
          <w:p>
            <w:pPr>
              <w:ind w:left="440"/>
              <w:spacing w:after="0"/>
              <w:rPr>
                <w:sz w:val="20"/>
                <w:szCs w:val="20"/>
                <w:color w:val="auto"/>
              </w:rPr>
            </w:pPr>
            <w:r>
              <w:rPr>
                <w:rFonts w:ascii="Arial" w:cs="Arial" w:eastAsia="Arial" w:hAnsi="Arial"/>
                <w:sz w:val="18"/>
                <w:szCs w:val="18"/>
                <w:color w:val="auto"/>
              </w:rPr>
              <w:t>Aggregated SG&amp;A expenses</w:t>
            </w:r>
          </w:p>
        </w:tc>
        <w:tc>
          <w:tcPr>
            <w:tcW w:w="5860" w:type="dxa"/>
            <w:vAlign w:val="bottom"/>
            <w:gridSpan w:val="3"/>
          </w:tcPr>
          <w:p>
            <w:pPr>
              <w:jc w:val="right"/>
              <w:ind w:right="100"/>
              <w:spacing w:after="0"/>
              <w:rPr>
                <w:sz w:val="20"/>
                <w:szCs w:val="20"/>
                <w:color w:val="auto"/>
              </w:rPr>
            </w:pPr>
            <w:r>
              <w:rPr>
                <w:rFonts w:ascii="Arial" w:cs="Arial" w:eastAsia="Arial" w:hAnsi="Arial"/>
                <w:sz w:val="18"/>
                <w:szCs w:val="18"/>
                <w:color w:val="auto"/>
              </w:rPr>
              <w:t>$ 11,280</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$ 9,402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160" w:type="dxa"/>
            <w:vAlign w:val="bottom"/>
            <w:vMerge w:val="restart"/>
          </w:tcPr>
          <w:p>
            <w:pPr>
              <w:jc w:val="right"/>
              <w:ind w:right="4192"/>
              <w:spacing w:after="0"/>
              <w:rPr>
                <w:sz w:val="20"/>
                <w:szCs w:val="20"/>
                <w:color w:val="auto"/>
              </w:rPr>
            </w:pPr>
            <w:r>
              <w:rPr>
                <w:rFonts w:ascii="Arial" w:cs="Arial" w:eastAsia="Arial" w:hAnsi="Arial"/>
                <w:sz w:val="18"/>
                <w:szCs w:val="18"/>
                <w:color w:val="auto"/>
              </w:rPr>
              <w:t>17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SG&amp;A expenses (exclusive of amounts classified as costs of revenue and amounts offset by cost-sharing funding) increased by 22% to $10.9 million, or 15% of revenue, in the first quarter of fiscal 2009 from $8.9 million, or 22% of revenue, for the first quarter of fiscal 2008. The increase in SG&amp;A expenses was due primarily to higher stock-based compensation expense and higher labor and related costs driven by headcount growth, partially offset by a reduction of $0.8 million in bad debt expense as a result of payments received and improved expectations for realizing a recovery on certain past due accounts. For these same reasons, Aggregated SG&amp;A expenses, which include amounts classified as costs of revenue and amounts offset by cost sharing funding, increased 20% to $11.3 million, or 15% of revenue, for the first quarter of fiscal 2009 from $9.4 million, or 24% of revenue, for the first quarter of fiscal 2008.</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recorded $0.4 million and $0.5 million in the first quarters of fiscal 2009 and 2008, respectively, in amortization expense related to our contractual relationships/backlog, customer relationships, core technology and know-how, trade names and trademark intangible assets. These intangible assets are a result of our Windtec and PQS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October 25, 2007, our Board of Directors approved a restructuring plan (the “Fiscal 2007 Plan”) to reduce operating costs through the closure of our last remaining facility in Westborough, Massachusetts and the consolidation of operations there, including our corporate headquarters, into our Devens, Massachusetts facility. No headcount reductions were associated with this plan.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Aggregate restructuring charges associated with the Fiscal 2007 Plan were $7.7 million, of which $0.3 million was recorded in the first quarter of fiscal 2009. No comparable charge was recorded in the first quarter of fiscal 2008. The aggregate restructuring charges assumed the facility is not subleased. All restructuring charges associated with the Fiscal 2007 Plan are expected to result in cash disbursements and are expected to be completed by the end of the second quarter of the fiscal year ending March 31,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income (loss) is summarized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9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9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AMSC Power Systems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15,395</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$ 4,878</w:t>
            </w:r>
          </w:p>
        </w:tc>
        <w:tc>
          <w:tcPr>
            <w:tcW w:w="0" w:type="dxa"/>
            <w:vAlign w:val="bottom"/>
          </w:tcPr>
          <w:p>
            <w:pPr>
              <w:spacing w:after="0"/>
              <w:rPr>
                <w:sz w:val="1"/>
                <w:szCs w:val="1"/>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AMSC Superconductors</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(5,497)</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(3,507)</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0"/>
        </w:trPr>
        <w:tc>
          <w:tcPr>
            <w:tcW w:w="9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6,391</w:t>
            </w:r>
          </w:p>
        </w:tc>
        <w:tc>
          <w:tcPr>
            <w:tcW w:w="18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0"/>
        </w:trPr>
        <w:tc>
          <w:tcPr>
            <w:tcW w:w="9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AMSC Power Systems operating income increased to $15.4 million in the first quarter of fiscal 2009 from $4.9 million in the first quarter of fiscal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first quarter of fiscal 2009 was primarily the result of higher sales, as described above.</w:t>
      </w:r>
    </w:p>
    <w:p>
      <w:pPr>
        <w:spacing w:after="0" w:line="16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AMSC Superconductors operating loss increased to $5.5 million in the first quarter of fiscal 2009 from $5.1 million in the first quarter of fiscal 2008. The increase in operating loss for the first quarter of fiscal 2009 is primarily due to lower sales for the period slightly offset by improved fixed cost absorption due to an inventory build of 2G wire.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Unallocated corporate expenses include stock-based compensation expense of $3.1 million for the first quarter of fiscal 2009 compared to $2.3 million for the first quarter of fiscal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expenses/Interest income</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Interest income decreased to $0.2 million for the first quarter of fiscal 2009 from $0.8 million in the same period of fiscal 2008, primarily due to lower interest rates, as we are investing in less risky assets due to the current economic environment.</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Other expense, net, was $2.0 million in the first quarter of fiscal 2009 compared to $2.5 million in first quarter of fiscal 2008. Other expense, net, for the first quarter of fiscal 2009 primarily relates to net foreign currency translation losses and net realized and unrealized losses on hedging contracts. Other expense, net, for the first quarter of fiscal 2008 primarily included mark-to-market adjustments on the revaluation of an outstanding warrant. Amounts charged to expense from mark-to-market adjustments on the warrant were $2.4 million the first quarter of fiscal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first quarters of fiscal 2009 and 2008, we recorded income tax expense of $2.9 million and $1.7 million, respectively. Income tax expense in both periods was driven by income generated in foreign jurisdictions. We incurred losses in the U.S. during the first quarters of fiscal 2009 and 2008, and in China during the first quarter of fiscal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At June 30, 2009, we had cash, cash equivalents, marketable securities and restricted cash of $103.2 million compared to $117.2 million at March 31, 2009, a decrease of $14.0 million. Our cash and cash equivalents, marketable securities and restricted cash are summarized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March 31,</w:t>
            </w:r>
          </w:p>
        </w:tc>
      </w:tr>
      <w:tr>
        <w:trPr>
          <w:trHeight w:val="161"/>
        </w:trPr>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70,674</w:t>
            </w:r>
          </w:p>
        </w:tc>
        <w:tc>
          <w:tcPr>
            <w:tcW w:w="20" w:type="dxa"/>
            <w:vAlign w:val="bottom"/>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39,255</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20" w:type="dxa"/>
            <w:vAlign w:val="bottom"/>
          </w:tcPr>
          <w:p>
            <w:pPr>
              <w:spacing w:after="0"/>
              <w:rPr>
                <w:sz w:val="18"/>
                <w:szCs w:val="18"/>
                <w:color w:val="auto"/>
              </w:rPr>
            </w:pPr>
          </w:p>
        </w:tc>
      </w:tr>
      <w:tr>
        <w:trPr>
          <w:trHeight w:val="222"/>
        </w:trPr>
        <w:tc>
          <w:tcPr>
            <w:tcW w:w="9800" w:type="dxa"/>
            <w:vAlign w:val="bottom"/>
          </w:tcPr>
          <w:p>
            <w:pPr>
              <w:ind w:left="440"/>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103,184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117,207</w:t>
            </w: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decrease in cash and cash equivalents, marketable securities and restricted cash at June 30, 2009 from March 31, 2009 was primarily due to a greater volume of shipments to Sinovel Wind Corporation Limited and ACCIONA Energy close to the end of the quarter, for which payments have been or are expected to be received in full in the second quarter of fiscal 2009.</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quarter ended June 30, 2009, net cash used in operating activities was $14.1 million compared to net cash provided by operating activities of $3.2 million in the first quarter of fiscal 2008. The increase in cash used by operations is due primarily to an increase in cash used for working capital of $20.2 million partially offset by our increase in net income of $7.9 million.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quarter ended June 30, 2009, net cash provided by investing activities was $7.7 million compared to a use of $12.4 million in the first quarter of fiscal 2008. The increase in cash provided by investing activities was driven primarily by a net reduction in marketable securities during the first quarter of fiscal 2009 to provide cash used to finance the increase in working capital required in the first quarter of fiscal 2009.</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June 30, 2009, we have invested in total approximately $15.8 million in our 344 superconductors production line. These expenditures were made to enable us to achieve a gross production capacity of approximately 720,000 meters annually of 344 superconductors on our 40 mm manufacturing technology and to prepare to migrate to our 100 mm manufacturing technology. We estimate that an additional $28.0 million to $35.0 million of capital expenditures would be needed for a full commercial manufacturing operation with a gross capacity of approximately 9 million meters of wire per year.</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the first quarter of fiscal 2009, cash provided by financing activities was $1.5 million compared to $10.9 million in the first quarter of fiscal 2008. The decrease was due to a reduction in proceeds from the exercise of employee stock options.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Although our cash requirements fluctuate based on a variety of factors, including customer adoption of our products and our research and development efforts to commercialize our products, we believe that our available cash will be sufficient to fund our working capital, capital expenditures, and other cash requirements for at least the next twelve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have an unused line of credit of €0.5 million (or approximately $0.7 million), which is available until June 30,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possibility exists that we may pursue additional acquisition and joint venture opportunities in the future that may affect liquidity and capital resource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likely, we would record a liability. As of June 30, 2009, there were no recorded performance-based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December 2007, the Financial Accounting Standards Board (“FASB”) issued Statement of Financial Accounting Standards (“SFAS”) No. 160, “</w:t>
      </w:r>
      <w:r>
        <w:rPr>
          <w:rFonts w:ascii="Arial" w:cs="Arial" w:eastAsia="Arial" w:hAnsi="Arial"/>
          <w:sz w:val="18"/>
          <w:szCs w:val="18"/>
          <w:i w:val="1"/>
          <w:iCs w:val="1"/>
          <w:color w:val="auto"/>
        </w:rPr>
        <w:t>Non-controlling Interests in Consolidated Financial Statements, and an Amendment of ARB No. 51</w:t>
      </w:r>
      <w:r>
        <w:rPr>
          <w:rFonts w:ascii="Arial" w:cs="Arial" w:eastAsia="Arial" w:hAnsi="Arial"/>
          <w:sz w:val="18"/>
          <w:szCs w:val="18"/>
          <w:color w:val="auto"/>
        </w:rPr>
        <w:t>.” This statement establishes accounting and reporting standards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non-controlling interest in a subsidiary and for the deconsolidation of a subsidiary. This statement is effective for fiscal years beginning on or after December 15, 2008. On April 1, 2009, we adopted the provisions of SFAS No. 160. The adoption of SFAS No. 160 did not have a material effect on our financial condition or results of operations.</w:t>
      </w:r>
    </w:p>
    <w:p>
      <w:pPr>
        <w:spacing w:after="0" w:line="14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April 2008, the FASB issued Staff Position 142-3 (“FSP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FSP FAS 142-3 amends the factors that should be considered in developing renewal or extension assumptions used to determine the useful life of a recognized intangible asset under Statement of Financial Accounting Standards in a business combination or otherwise, and shall be effective for financial statements issued for fiscal years beginning after December 15, 2008, and interim periods within those fiscal years and applied prospectively to intangible assets acquired after the effective date. Early adoption was prohibited. We adopted the provisions of FSP FAS 142-3 on April 1, 2009. The adoption of FSP FAS 142-3 did not have a material effect on our financial condition or results of operations.</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In June 2008, the FASB issued FSP Emerging Issues Task Force (“EITF”) Issue No. 03-6-1, </w:t>
      </w:r>
      <w:r>
        <w:rPr>
          <w:rFonts w:ascii="Arial" w:cs="Arial" w:eastAsia="Arial" w:hAnsi="Arial"/>
          <w:sz w:val="16"/>
          <w:szCs w:val="16"/>
          <w:i w:val="1"/>
          <w:iCs w:val="1"/>
          <w:color w:val="auto"/>
        </w:rPr>
        <w:t>Determining Whether Instruments Granted in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Transactions Are Participating Securities </w:t>
      </w:r>
      <w:r>
        <w:rPr>
          <w:rFonts w:ascii="Arial" w:cs="Arial" w:eastAsia="Arial" w:hAnsi="Arial"/>
          <w:sz w:val="16"/>
          <w:szCs w:val="16"/>
          <w:color w:val="auto"/>
        </w:rPr>
        <w:t>(“FSP No. EITF No. 03-6-1”). Under the provisions of this standard, unvested awards of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with non-forfeitable rights to receive dividends or dividend equivalents are considered participating securities for purposes of calculating earnings per share. FSP EITF No. 03-6-1 is effective for financial statements issued for fiscal years beginning after December 15, 2008, and interim periods within those years. We adopted FSP EITF No. 03-6-1 on April 1, 2009. The adoption of FSP EITF No. 03-6-1 required us to modify its prior year weighted average number of shares outstanding but did not have a material effect on our financial condition or results of operations.</w:t>
      </w:r>
    </w:p>
    <w:p>
      <w:pPr>
        <w:spacing w:after="0" w:line="12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In April 2009, the FASB issued FSP SFAS 141(R)-1, </w:t>
      </w:r>
      <w:r>
        <w:rPr>
          <w:rFonts w:ascii="Arial" w:cs="Arial" w:eastAsia="Arial" w:hAnsi="Arial"/>
          <w:sz w:val="16"/>
          <w:szCs w:val="16"/>
          <w:i w:val="1"/>
          <w:iCs w:val="1"/>
          <w:color w:val="auto"/>
        </w:rPr>
        <w:t>Accounting for Assets Acquired and Liabilities Assumed in a Business Combination That Arise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FSP SFAS 141 (R)-1 amends and clarifies SFAS No. 141(R),</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to address application issues on initial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measurement, subsequent measurement and accounting, and disclosure of assets and liabilities arising from contingencies in a business combination. Under FSP FAS 141(R)-1, an acquirer is required to recognize at fair value an asset acquired or liability assumed in a business combination that arises from a contingency if the acquisition date fair value can be determined during the measurement period. If the acquisition date fair value cannot be determined, the acquirer applies the recognition criteria in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and Interpretation No. 14, </w:t>
      </w:r>
      <w:r>
        <w:rPr>
          <w:rFonts w:ascii="Arial" w:cs="Arial" w:eastAsia="Arial" w:hAnsi="Arial"/>
          <w:sz w:val="16"/>
          <w:szCs w:val="16"/>
          <w:i w:val="1"/>
          <w:iCs w:val="1"/>
          <w:color w:val="auto"/>
        </w:rPr>
        <w:t>Reasonable Estimation of the Amount of a Loss</w:t>
      </w:r>
      <w:r>
        <w:rPr>
          <w:rFonts w:ascii="Arial" w:cs="Arial" w:eastAsia="Arial" w:hAnsi="Arial"/>
          <w:sz w:val="16"/>
          <w:szCs w:val="16"/>
          <w:color w:val="auto"/>
        </w:rPr>
        <w:t>, to determine whether the contingency should be recognized as of the acquisition date or after it. The adoption of FSP FAS 141(R)-1 could materially change the accounting for business combinations consummated subsequent to its effective date of April 1, 2009. On April 1, 2009, we adopted the provisions of FSP FAS 141(R)-1. The adoption of FSP FAS 141(R)-1 did not have a material effect on our financial condition or results of operations.</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157-4, </w:t>
      </w:r>
      <w:r>
        <w:rPr>
          <w:rFonts w:ascii="Arial" w:cs="Arial" w:eastAsia="Arial" w:hAnsi="Arial"/>
          <w:sz w:val="16"/>
          <w:szCs w:val="16"/>
          <w:i w:val="1"/>
          <w:iCs w:val="1"/>
          <w:color w:val="auto"/>
        </w:rPr>
        <w:t>Determining Whether a Market Is Not Active and a Transaction Is Not Distressed</w:t>
      </w:r>
      <w:r>
        <w:rPr>
          <w:rFonts w:ascii="Arial" w:cs="Arial" w:eastAsia="Arial" w:hAnsi="Arial"/>
          <w:sz w:val="16"/>
          <w:szCs w:val="16"/>
          <w:color w:val="auto"/>
        </w:rPr>
        <w:t xml:space="preserve"> (“FSP SFAS No. 157-4”). FSP SFAS No. 157-4 provides guidelines for making fair value measurements more consistent with principles presented in SFAS No. 157. FSP SFAS No. 157-4 provides additional authoritative guidance in determining whether a market is active or inactive, whether a transaction is distressed, is applicable to all assets and liabilities and will require enhanced disclosures. FSP SFAS No. 157-4 is effective for periods ending after June 15, 2009. On April 1, 2009, we adopted the provisions of FSP SFAS No. 157-4 for our nonfinancial assets and liabilities, including those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MANAGEMENT’S DISCUSSION AND ANALYSIS OF FINANCIAL CONDITION AND RESULTS OF OPERATIONS—Continued</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measured at fair value in impairment testing and those initially measured at fair value in a business combination. The adoption of FSP SFAS No. 157-4 did not have a material effect on our financial condition or results of operations.</w:t>
      </w:r>
    </w:p>
    <w:p>
      <w:pPr>
        <w:spacing w:after="0" w:line="1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107-1 and Accounting Principles Board (“APB”) Opinion 28-1, </w:t>
      </w:r>
      <w:r>
        <w:rPr>
          <w:rFonts w:ascii="Arial" w:cs="Arial" w:eastAsia="Arial" w:hAnsi="Arial"/>
          <w:sz w:val="16"/>
          <w:szCs w:val="16"/>
          <w:i w:val="1"/>
          <w:iCs w:val="1"/>
          <w:color w:val="auto"/>
        </w:rPr>
        <w:t>Interim Disclosures About 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FSP SFAS No. 107-1 amends SFAS No. 107,</w:t>
      </w:r>
      <w:r>
        <w:rPr>
          <w:rFonts w:ascii="Arial" w:cs="Arial" w:eastAsia="Arial" w:hAnsi="Arial"/>
          <w:sz w:val="16"/>
          <w:szCs w:val="16"/>
          <w:i w:val="1"/>
          <w:iCs w:val="1"/>
          <w:color w:val="auto"/>
        </w:rPr>
        <w:t xml:space="preserve"> Disclosures About Fair Value of Financial Instruments</w:t>
      </w:r>
      <w:r>
        <w:rPr>
          <w:rFonts w:ascii="Arial" w:cs="Arial" w:eastAsia="Arial" w:hAnsi="Arial"/>
          <w:sz w:val="16"/>
          <w:szCs w:val="16"/>
          <w:color w:val="auto"/>
        </w:rPr>
        <w:t>, to require disclosures about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financial instruments in interim as well as in annual financial statements. APB No. 28-1 amends APB No. 28, Interim Financial Reporting, to require those disclosures in all interim financial statements. FSP SFAS No. 107-1 and APB No. 28-1 are effective for periods ending after June 15, 2009. We adopted FSP SFAS No. 107-1 and APB No. 28-1. The adoption did not have a material impact on our financial condition or results of operations.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April 2009, the FASB issued FSP SFAS No. 115-2, SFAS No. 124-2 and EITF No. 99-20-2, </w:t>
      </w:r>
      <w:r>
        <w:rPr>
          <w:rFonts w:ascii="Arial" w:cs="Arial" w:eastAsia="Arial" w:hAnsi="Arial"/>
          <w:sz w:val="16"/>
          <w:szCs w:val="16"/>
          <w:i w:val="1"/>
          <w:iCs w:val="1"/>
          <w:color w:val="auto"/>
        </w:rPr>
        <w:t>Recognition and Presentation of Other-Than-Temporary</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Impairments</w:t>
      </w:r>
      <w:r>
        <w:rPr>
          <w:rFonts w:ascii="Arial" w:cs="Arial" w:eastAsia="Arial" w:hAnsi="Arial"/>
          <w:sz w:val="16"/>
          <w:szCs w:val="16"/>
          <w:color w:val="auto"/>
        </w:rPr>
        <w:t>. FSP SFAS No. 115-2, SFAS No. 124-2 and EITF No. 99-20-2 provide greater clarity about the credit and noncredit component of an other-than-temporary impairment event and to more effectively communicate when an other-than-temporary impairment event has occurred. FSP SFAS No. 115-2, SFAS No. 124-2 and EITF No. 99-20-2 are effective for periods ending after June 15, 2009. We adopted FSP SFAS No. 115-2, SFAS No. 124-2 and EITF No. 99-20-2 effective April 1, 2009. The adoption did not have a material impact on our financial condition or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exposure to market risk through financial instruments, such as investments in marketable securities, is limited to interest rate risk and is not material. Our investments in marketable securities consist primarily of corporate debt instruments and are designed, in order of priority, to preserve principal, provide liquidity, and maximize income. Investments are monitored to limit exposure to mortgage-backed securities and similar instruments responsible for the recent turmoil in the credit markets. Interest rates are variable and fluctuate with current market conditions. We do not believe that a 10% change in interest rates would have a material impact on our financial position or results of operation.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earnings and cash flows are subject to fluctuations due to changes in foreign currency exchange rates. Our most significant foreign currency exposures relate to Austria and China. We enter into various hedging transactions to manage this risk. We do not enter into or hold foreign currency derivative financial instruments for trading or speculative purposes.</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functional currency of all our foreign entities is the U.S. dollar, except for our wholly-owned Austrian subsidiary, AMSC Windtec GmbH, for which the local currency (Euro) is the functional currency, and our wholly-owned Chinese subsidiary, Suzhou AMSC Super Conductor Co., Ltd., for which the local currency (renminbi) is the functional currency. We monitor foreign currency exposures and hedge currency risk when deemed appropriate. Cumulative translation adjustments are excluded from net loss and reported as a separate component of stockholders’ equity. Foreign currency transaction and translation losses were $1.7 million for the quarter ended June 30, 2009. Future operating results could be impacted by material foreign currency fluctuations. In the future, should foreign currency fluctuations become material, management will review options to limit the financial impact to our operations.</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foreign currency risk management strategy is principally designed to mitigate the potential financial impact of changes in the value of transactions and balances denominated in foreign currency, resulting from changes in foreign currency exchange rates. Our foreign currency hedging program uses currency options to manage the foreign currency exposures that exist as part of our ongoing business operations. The contracts primarily are denominated in the Euro and have maturities of less than three months. On June 30, 2009, we had two contracts outstanding to hedge Windtec’s USD exposure, each with a nominal value of $25.3 million which expired on July 29, 2009. One contract is a call option to purchase Euros at $1.43 and the second contract is a put option to sell Euros for $1.396. As of June 30, 2009, the net market value of the options resulted in an unrealized loss of $0.1 million recorded in the first quarter of fiscal 2009.</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Generally, we do not designate currency option contracts as hedges for accounting purposes, and changes in the fair value of these instruments are recognized immediately in earnings. Gains and losses on these contracts are included in other expense, net.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2009. The term “disclosure controls and procedures,” as defined in Rules 13a-15(e) and 15d-15(e) under the Securities Exchange Act of 1934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June 30, 2009, our chief executive officer and chief financial officer concluded that, as of such date, our disclosure controls and procedures were effective at the reasonable assurance level.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June 30, 2009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risks and uncertainties described in our annual report on Form 10-K for the year ended March 31, 2009 in addition to the other information included in this quarterly report. If any of the risks actually occurs, our business, financial condition or results of operations would likely suffer. In that case, the trading price of our common stock could fall.</w:t>
      </w:r>
    </w:p>
    <w:p>
      <w:pPr>
        <w:spacing w:after="0" w:line="10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As of June 30, 2009, there have not been any material changes to the risk factors disclosed in our Annual Report on Form 10-K for the fiscal year ended March 31, 2009, although we may disclose changes to such risk factors or disclose additional risk factors from time to time in our future filings with the SEC.</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August 6, 2009, American Superconductor held its Annual Meeting of Stockholders at which American Superconductor’s stockholders took the following actions:</w:t>
      </w:r>
    </w:p>
    <w:p>
      <w:pPr>
        <w:spacing w:after="0" w:line="17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American Superconductor’s stockholders elected the following directors to its board: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gridSpan w:val="3"/>
          </w:tcPr>
          <w:p>
            <w:pPr>
              <w:spacing w:after="0"/>
              <w:rPr>
                <w:sz w:val="20"/>
                <w:szCs w:val="20"/>
                <w:color w:val="auto"/>
              </w:rPr>
            </w:pPr>
            <w:r>
              <w:rPr>
                <w:rFonts w:ascii="Arial" w:cs="Arial" w:eastAsia="Arial" w:hAnsi="Arial"/>
                <w:sz w:val="14"/>
                <w:szCs w:val="14"/>
                <w:b w:val="1"/>
                <w:bCs w:val="1"/>
                <w:color w:val="auto"/>
              </w:rPr>
              <w:t>Proposal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Votes For</w:t>
            </w:r>
          </w:p>
        </w:tc>
        <w:tc>
          <w:tcPr>
            <w:tcW w:w="2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Votes Withheld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J. Yurek</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36,196,402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Vikram S. Budhraja</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36,448,028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536,363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O. Crisp</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36,060,553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Richard Drouin</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36,061,219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923,172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Oliver, Jr.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36,573,762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John B. Vander Sande</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28,432,549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8,551,842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Wood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36,521,320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9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American Superconductor’s stockholders voted to approve amendments to American Superconductor’s 2007 Stock Incentive Plan by a vote of 16,198,590 shares of common stock for, 9,740,044 shares of common stock against and 96,628 shares of common stock abstaining. There were 10,949,129 broker non-votes on this matter.</w:t>
      </w:r>
    </w:p>
    <w:p>
      <w:pPr>
        <w:spacing w:after="0" w:line="18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American Superconductor’s stockholders voted to approve an amendment to American Superconductor’s 2000 Employee Stock Purchase Plan by a vote of 25,663,605 shares of common stock for, 294,690 shares of common stock against and 76,968 shares of common stock abstaining. There were 10,949,128 broker non-votes on this matter.</w:t>
      </w:r>
    </w:p>
    <w:p>
      <w:pPr>
        <w:spacing w:after="0" w:line="18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American Superconductor’s stockholders voted to ratify the selection by the Audit Committee of the Board of Directors of PricewaterhouseCoopers LLP as American Superconductor’s independent registered public accounting firm for the current fiscal year by a vote of 36,450,275 shares of common stock for, 476,466 shares of common stock against and 57,649 shares of common stock abstaining.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AMERICAN SUPERCONDUCTOR CORPORATION</w:t>
      </w:r>
    </w:p>
    <w:p>
      <w:pPr>
        <w:spacing w:after="0" w:line="225"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color w:val="auto"/>
        </w:rPr>
        <w:t>/s/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David A. Henry</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ind w:left="2500"/>
              <w:spacing w:after="0"/>
              <w:rPr>
                <w:sz w:val="20"/>
                <w:szCs w:val="20"/>
                <w:color w:val="auto"/>
              </w:rPr>
            </w:pPr>
            <w:r>
              <w:rPr>
                <w:rFonts w:ascii="Arial" w:cs="Arial" w:eastAsia="Arial" w:hAnsi="Arial"/>
                <w:sz w:val="18"/>
                <w:szCs w:val="18"/>
                <w:b w:val="1"/>
                <w:bCs w:val="1"/>
                <w:color w:val="auto"/>
              </w:rPr>
              <w:t>AMERICAN SUPERCONDUCTOR CORPORATION</w:t>
            </w:r>
          </w:p>
        </w:tc>
      </w:tr>
      <w:tr>
        <w:trPr>
          <w:trHeight w:val="365"/>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80" w:type="dxa"/>
            <w:vAlign w:val="bottom"/>
            <w:gridSpan w:val="2"/>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2007 Director Stock Plan, as amended.</w:t>
            </w:r>
          </w:p>
        </w:tc>
        <w:tc>
          <w:tcPr>
            <w:tcW w:w="20" w:type="dxa"/>
            <w:vAlign w:val="bottom"/>
          </w:tcPr>
          <w:p>
            <w:pPr>
              <w:spacing w:after="0"/>
              <w:rPr>
                <w:sz w:val="18"/>
                <w:szCs w:val="18"/>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Amendment No. HB-FDCG08045-01-2, dated July 24, 2009, to Purchase Contract No. FDCG08045-01 for the Core Components of the</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Electrical Control System and Software of SL 1500 Wind Turbine, effective as of June 5, 2008, between Sinovel Wind Co., Ltd. and Suzhou</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AMSC Superconductor Co., Ltd. (1).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Chief Executive Officer—Certification pursuant to Rule 13a-14(a) or Rule 15d-14(a) of the Securities Exchange Act of 1934, as adopted pursuant</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Chief Financial Officer—Certification pursuant to Rule 13a-14(a) or Rule 15d-14(a) of the Securities Exchange Act of 1934, as adopted pursuant</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to Section 302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Chief Executive Officer—Certification pursuant to Rule13a-14(b)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Chief Financial Officer—Certification pursuant to Rule 13a-14(b) or Rule 15d-14(b) of the Securities Exchange Act of 1934 and 18 U.S.C.</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bl>
    <w:p>
      <w:pPr>
        <w:spacing w:after="0" w:line="75" w:lineRule="exact"/>
        <w:rPr>
          <w:sz w:val="20"/>
          <w:szCs w:val="20"/>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Securities and Exchange Commission (the “Commission”) on July 30, 2009 (Commission File No. 000-19672)</w:t>
      </w:r>
    </w:p>
    <w:p>
      <w:pPr>
        <w:spacing w:after="0" w:line="2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which portions have been filed separately with the Commission.</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STOCK PLAN, AS AMENDED</w:t>
      </w:r>
    </w:p>
    <w:p>
      <w:pPr>
        <w:spacing w:after="0" w:line="21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purpose of this 2007 Director Stock Option Plan, as amended (the “Plan”) of American Superconductor Corporation (the “Company”) is to encourage stock ownership in the Company by outside directors of the Company whose continued services are considered essential to the Company’s future success and to provide them with a further incentive to remain as directors of the Company.</w:t>
      </w:r>
    </w:p>
    <w:p>
      <w:pPr>
        <w:spacing w:after="0" w:line="25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96" w:lineRule="exact"/>
        <w:rPr>
          <w:rFonts w:ascii="Arial" w:cs="Arial" w:eastAsia="Arial" w:hAnsi="Arial"/>
          <w:sz w:val="18"/>
          <w:szCs w:val="18"/>
          <w:b w:val="1"/>
          <w:bCs w:val="1"/>
          <w:color w:val="auto"/>
        </w:rPr>
      </w:pPr>
    </w:p>
    <w:p>
      <w:pPr>
        <w:jc w:val="both"/>
        <w:ind w:firstLine="464"/>
        <w:spacing w:after="0" w:line="289" w:lineRule="auto"/>
        <w:tabs>
          <w:tab w:leader="none" w:pos="695"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Administration by Board</w:t>
      </w:r>
      <w:r>
        <w:rPr>
          <w:rFonts w:ascii="Arial" w:cs="Arial" w:eastAsia="Arial" w:hAnsi="Arial"/>
          <w:sz w:val="16"/>
          <w:szCs w:val="16"/>
          <w:color w:val="auto"/>
        </w:rPr>
        <w:t>. The Company’s Board of Directors (the “Board”) shall supervise and administer the Plan. Grants of stock options and stock awards under the Plan and the amount and nature of the options and awards to be granted shall be automatic in accordance with Section 5. The Board shall have authority to adopt, amend and repeal such administrative rules, guidelines and practices relating to the Plan as it shall deem advisable. The Board may construe and interpret the terms of the Plan and any options and awards granted under the Plan. The Board may correct any defect, supply any omission or reconcile any inconsistency in the Plan or any option or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option or award. No director or person acting pursuant to the authority delegated by the Board shall be liable for any action or determination relating to or under the Plan made in good faith.</w:t>
      </w:r>
    </w:p>
    <w:p>
      <w:pPr>
        <w:spacing w:after="0" w:line="118" w:lineRule="exact"/>
        <w:rPr>
          <w:rFonts w:ascii="Arial" w:cs="Arial" w:eastAsia="Arial" w:hAnsi="Arial"/>
          <w:sz w:val="16"/>
          <w:szCs w:val="16"/>
          <w:color w:val="auto"/>
        </w:rPr>
      </w:pPr>
    </w:p>
    <w:p>
      <w:pPr>
        <w:jc w:val="both"/>
        <w:ind w:firstLine="464"/>
        <w:spacing w:after="0" w:line="259" w:lineRule="auto"/>
        <w:tabs>
          <w:tab w:leader="none" w:pos="719"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Delegation</w:t>
      </w:r>
      <w:r>
        <w:rPr>
          <w:rFonts w:ascii="Arial" w:cs="Arial" w:eastAsia="Arial" w:hAnsi="Arial"/>
          <w:sz w:val="18"/>
          <w:szCs w:val="18"/>
          <w:color w:val="auto"/>
        </w:rPr>
        <w:t>. To the extent permitted by applicable law, the Board may delegate any or all of its powers under the Plan to one or more committees or subcommittees of the Board. All references in the Plan to the “Board” shall mean the Board or a committee of the Board to the extent that the Board’s powers or authority under the Plan have been delegated to such committee.</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the Plan.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Directors of the Company who are not full-time employees of the Company or any subsidiary of the Company (“Outside Directors”) shall be eligible to receive options and stock awards under the Plan, except that Directors of the Company who are representatives of an equity holder of the Company shall not be eligible to receive options or awards under the Plan.</w:t>
      </w:r>
    </w:p>
    <w:p>
      <w:pPr>
        <w:spacing w:after="0" w:line="25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96" w:lineRule="exact"/>
        <w:rPr>
          <w:rFonts w:ascii="Arial" w:cs="Arial" w:eastAsia="Arial" w:hAnsi="Arial"/>
          <w:sz w:val="18"/>
          <w:szCs w:val="18"/>
          <w:b w:val="1"/>
          <w:bCs w:val="1"/>
          <w:color w:val="auto"/>
        </w:rPr>
      </w:pPr>
    </w:p>
    <w:p>
      <w:pPr>
        <w:ind w:firstLine="464"/>
        <w:spacing w:after="0" w:line="268"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Shares Issuable</w:t>
      </w:r>
      <w:r>
        <w:rPr>
          <w:rFonts w:ascii="Arial" w:cs="Arial" w:eastAsia="Arial" w:hAnsi="Arial"/>
          <w:sz w:val="18"/>
          <w:szCs w:val="18"/>
          <w:color w:val="auto"/>
        </w:rPr>
        <w:t>. The maximum number of shares of the Company’s common stock, par value $.01 per share (“Common Stock”), which may be issued under the Plan shall be 300,000 shares, subject to adjustment as provided in Section 7.</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Reissuance of Shares</w:t>
      </w:r>
      <w:r>
        <w:rPr>
          <w:rFonts w:ascii="Arial" w:cs="Arial" w:eastAsia="Arial" w:hAnsi="Arial"/>
          <w:sz w:val="16"/>
          <w:szCs w:val="16"/>
          <w:color w:val="auto"/>
        </w:rPr>
        <w:t>. If any outstanding option under the Plan for any reason expires or is terminated, surrendered, or cancelled without having been exercised in full, the shares covered by the unexercised portion of such option shall again become available for issuance pursuant to the Plan.</w:t>
      </w:r>
    </w:p>
    <w:p>
      <w:pPr>
        <w:spacing w:after="0" w:line="85" w:lineRule="exact"/>
        <w:rPr>
          <w:rFonts w:ascii="Arial" w:cs="Arial" w:eastAsia="Arial" w:hAnsi="Arial"/>
          <w:sz w:val="16"/>
          <w:szCs w:val="16"/>
          <w:color w:val="auto"/>
        </w:rPr>
      </w:pPr>
    </w:p>
    <w:p>
      <w:pPr>
        <w:ind w:right="20" w:firstLine="464"/>
        <w:spacing w:after="0" w:line="268" w:lineRule="auto"/>
        <w:tabs>
          <w:tab w:leader="none" w:pos="69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Non-Statutory Options</w:t>
      </w:r>
      <w:r>
        <w:rPr>
          <w:rFonts w:ascii="Arial" w:cs="Arial" w:eastAsia="Arial" w:hAnsi="Arial"/>
          <w:sz w:val="18"/>
          <w:szCs w:val="18"/>
          <w:color w:val="auto"/>
        </w:rPr>
        <w:t>. All options granted under the Plan shall be non-statutory options and not entitled to special tax treatment under Section 422 of the Internal Revenue Code of 1986, as amended (the “Code”).</w:t>
      </w:r>
    </w:p>
    <w:p>
      <w:pPr>
        <w:spacing w:after="0" w:line="131" w:lineRule="exact"/>
        <w:rPr>
          <w:rFonts w:ascii="Arial" w:cs="Arial" w:eastAsia="Arial" w:hAnsi="Arial"/>
          <w:sz w:val="18"/>
          <w:szCs w:val="18"/>
          <w:color w:val="auto"/>
        </w:rPr>
      </w:pPr>
    </w:p>
    <w:p>
      <w:pPr>
        <w:ind w:right="20" w:firstLine="464"/>
        <w:spacing w:after="0" w:line="268" w:lineRule="auto"/>
        <w:tabs>
          <w:tab w:leader="none" w:pos="719"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Unissued and Treasury Shares</w:t>
      </w:r>
      <w:r>
        <w:rPr>
          <w:rFonts w:ascii="Arial" w:cs="Arial" w:eastAsia="Arial" w:hAnsi="Arial"/>
          <w:sz w:val="18"/>
          <w:szCs w:val="18"/>
          <w:color w:val="auto"/>
        </w:rPr>
        <w:t>. Shares of Common Stock issued under the Plan may consist in whole or in part of authorized but unissued shares or treasury shares.</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Director Option and Award Grants; Terms of Director Options.</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Director Option Grants</w:t>
      </w:r>
      <w:r>
        <w:rPr>
          <w:rFonts w:ascii="Arial" w:cs="Arial" w:eastAsia="Arial" w:hAnsi="Arial"/>
          <w:sz w:val="18"/>
          <w:szCs w:val="18"/>
          <w:color w:val="auto"/>
        </w:rPr>
        <w:t>. The Company shall grant options or awards to Outside Directors under the Plan as follows:</w:t>
      </w:r>
    </w:p>
    <w:p>
      <w:pPr>
        <w:sectPr>
          <w:pgSz w:w="11900" w:h="16838" w:orient="portrait"/>
          <w:cols w:equalWidth="0" w:num="1">
            <w:col w:w="11420"/>
          </w:cols>
          <w:pgMar w:left="240" w:top="125" w:right="239" w:bottom="1440" w:gutter="0" w:footer="0" w:header="0"/>
        </w:sectPr>
      </w:pPr>
    </w:p>
    <w:bookmarkStart w:id="30" w:name="page31"/>
    <w:bookmarkEnd w:id="30"/>
    <w:p>
      <w:pPr>
        <w:jc w:val="both"/>
        <w:ind w:firstLine="921"/>
        <w:spacing w:after="0" w:line="259" w:lineRule="auto"/>
        <w:tabs>
          <w:tab w:leader="none" w:pos="1122"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Option Grants to Outside Directors</w:t>
      </w:r>
      <w:r>
        <w:rPr>
          <w:rFonts w:ascii="Arial" w:cs="Arial" w:eastAsia="Arial" w:hAnsi="Arial"/>
          <w:sz w:val="18"/>
          <w:szCs w:val="18"/>
          <w:color w:val="auto"/>
        </w:rPr>
        <w:t>. An option to purchase 10,000 shares of Common Stock shall be granted automatically to each Outside Director first elected to the Board after the date of the approval of the Plan by the stockholders of the Company, upon the date of his or her initial election to the Board.</w:t>
      </w:r>
    </w:p>
    <w:p>
      <w:pPr>
        <w:spacing w:after="0" w:line="140" w:lineRule="exact"/>
        <w:rPr>
          <w:rFonts w:ascii="Arial" w:cs="Arial" w:eastAsia="Arial" w:hAnsi="Arial"/>
          <w:sz w:val="18"/>
          <w:szCs w:val="18"/>
          <w:color w:val="auto"/>
        </w:rPr>
      </w:pPr>
    </w:p>
    <w:p>
      <w:pPr>
        <w:jc w:val="both"/>
        <w:ind w:firstLine="921"/>
        <w:spacing w:after="0" w:line="298" w:lineRule="auto"/>
        <w:tabs>
          <w:tab w:leader="none" w:pos="1198"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t>Stock Awards to Outside Directors</w:t>
      </w:r>
      <w:r>
        <w:rPr>
          <w:rFonts w:ascii="Arial" w:cs="Arial" w:eastAsia="Arial" w:hAnsi="Arial"/>
          <w:sz w:val="16"/>
          <w:szCs w:val="16"/>
          <w:color w:val="auto"/>
        </w:rPr>
        <w:t>. An award of 3,000 shares of Common Stock shall be granted automatically, on the third business day following the date of each Annual Meeting of Stockholders of the Company, to each person serving as an Outside Director of the Company on the date of such grant, provided that such Outside Director has served on the Board for at least one full calendar year prior to the date of such grant. The shares of Common Stock covered by such award shall be fully vested and not subject to any repurchase rights or other contractual restrictions.</w:t>
      </w:r>
    </w:p>
    <w:p>
      <w:pPr>
        <w:spacing w:after="0" w:line="112" w:lineRule="exact"/>
        <w:rPr>
          <w:rFonts w:ascii="Arial" w:cs="Arial" w:eastAsia="Arial" w:hAnsi="Arial"/>
          <w:sz w:val="16"/>
          <w:szCs w:val="16"/>
          <w:color w:val="auto"/>
        </w:rPr>
      </w:pPr>
    </w:p>
    <w:p>
      <w:pPr>
        <w:jc w:val="both"/>
        <w:ind w:firstLine="464"/>
        <w:spacing w:after="0" w:line="259"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Terms of Director Options</w:t>
      </w:r>
      <w:r>
        <w:rPr>
          <w:rFonts w:ascii="Arial" w:cs="Arial" w:eastAsia="Arial" w:hAnsi="Arial"/>
          <w:sz w:val="18"/>
          <w:szCs w:val="18"/>
          <w:color w:val="auto"/>
        </w:rPr>
        <w:t>. Each option granted pursuant to Section 5(a)(i) shall be evidenced by a written agreement in such form as the President or the Executive Vice President, Corporate Development shall from time to time approve, which agreements shall comply with and be subject to the following terms and conditions:</w:t>
      </w:r>
    </w:p>
    <w:p>
      <w:pPr>
        <w:spacing w:after="0" w:line="140" w:lineRule="exact"/>
        <w:rPr>
          <w:rFonts w:ascii="Arial" w:cs="Arial" w:eastAsia="Arial" w:hAnsi="Arial"/>
          <w:sz w:val="18"/>
          <w:szCs w:val="18"/>
          <w:color w:val="auto"/>
        </w:rPr>
      </w:pPr>
    </w:p>
    <w:p>
      <w:pPr>
        <w:jc w:val="both"/>
        <w:ind w:firstLine="921"/>
        <w:spacing w:after="0" w:line="253" w:lineRule="auto"/>
        <w:tabs>
          <w:tab w:leader="none" w:pos="1122"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option exercise price per share for each option granted under the Plan shall be equal to the fair market value per share of Common Stock on the date of grant, which shall be determined as follows: (i) if the Common Stock is listed on the Nasdaq Global Market or another nationally recognized exchange or trading system as of the date on which a determination of fair market value is to be made, the fair market value per share shall be deemed to be the last reported sale price per share of Common Stock thereon on such date (or, if no such price is reported on such date, such price on the nearest preceding date on which such a price is reported); and (ii) if the Common Stock is not listed on the Nasdaq Global Market or another nationally recognized exchange or trading system as of the date on which a determination of fair market value is to be made, the fair market value per share shall be as determined by the Board.</w:t>
      </w:r>
    </w:p>
    <w:p>
      <w:pPr>
        <w:spacing w:after="0" w:line="147" w:lineRule="exact"/>
        <w:rPr>
          <w:rFonts w:ascii="Arial" w:cs="Arial" w:eastAsia="Arial" w:hAnsi="Arial"/>
          <w:sz w:val="18"/>
          <w:szCs w:val="18"/>
          <w:color w:val="auto"/>
        </w:rPr>
      </w:pPr>
    </w:p>
    <w:p>
      <w:pPr>
        <w:jc w:val="both"/>
        <w:ind w:firstLine="921"/>
        <w:spacing w:after="0" w:line="288" w:lineRule="auto"/>
        <w:tabs>
          <w:tab w:leader="none" w:pos="1185"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Transferability of Options</w:t>
      </w:r>
      <w:r>
        <w:rPr>
          <w:rFonts w:ascii="Arial" w:cs="Arial" w:eastAsia="Arial" w:hAnsi="Arial"/>
          <w:sz w:val="16"/>
          <w:szCs w:val="16"/>
          <w:color w:val="auto"/>
        </w:rPr>
        <w:t xml:space="preserve">. Subject to clause (vi) below, except as the Board may otherwise determine,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Board may permit or provide in an option for the gratuitous transfer of such option by the applicable Outside Director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option under the Securities Act of 1933, as amended;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required to recognize any such transfer until such time as the applicable Outside Director and such permitted transferee shall, as a condition to such transfer, deliver to the Company a written instrument in form and substance satisfactory to the Company confirming that such transferee shall be bound by all of the terms and conditions of the option.</w:t>
      </w:r>
    </w:p>
    <w:p>
      <w:pPr>
        <w:spacing w:after="0" w:line="119" w:lineRule="exact"/>
        <w:rPr>
          <w:rFonts w:ascii="Arial" w:cs="Arial" w:eastAsia="Arial" w:hAnsi="Arial"/>
          <w:sz w:val="16"/>
          <w:szCs w:val="16"/>
          <w:color w:val="auto"/>
        </w:rPr>
      </w:pPr>
    </w:p>
    <w:p>
      <w:pPr>
        <w:ind w:left="1220" w:hanging="299"/>
        <w:spacing w:after="0"/>
        <w:tabs>
          <w:tab w:leader="none" w:pos="1220"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Vesting Period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68" w:lineRule="auto"/>
        <w:tabs>
          <w:tab w:leader="none" w:pos="1771" w:val="left"/>
        </w:tabs>
        <w:numPr>
          <w:ilvl w:val="3"/>
          <w:numId w:val="2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option granted pursuant to Section 5(a)(i) shall become exercisable in equal annual installments over a two year period following the date of grant.</w:t>
      </w:r>
    </w:p>
    <w:p>
      <w:pPr>
        <w:spacing w:after="0" w:line="131" w:lineRule="exact"/>
        <w:rPr>
          <w:rFonts w:ascii="Arial" w:cs="Arial" w:eastAsia="Arial" w:hAnsi="Arial"/>
          <w:sz w:val="18"/>
          <w:szCs w:val="18"/>
          <w:color w:val="auto"/>
        </w:rPr>
      </w:pPr>
    </w:p>
    <w:p>
      <w:pPr>
        <w:jc w:val="both"/>
        <w:ind w:firstLine="1492"/>
        <w:spacing w:after="0" w:line="301" w:lineRule="auto"/>
        <w:tabs>
          <w:tab w:leader="none" w:pos="1761" w:val="left"/>
        </w:tabs>
        <w:numPr>
          <w:ilvl w:val="3"/>
          <w:numId w:val="25"/>
        </w:numPr>
        <w:rPr>
          <w:rFonts w:ascii="Arial" w:cs="Arial" w:eastAsia="Arial" w:hAnsi="Arial"/>
          <w:sz w:val="15"/>
          <w:szCs w:val="15"/>
          <w:color w:val="auto"/>
        </w:rPr>
      </w:pPr>
      <w:r>
        <w:rPr>
          <w:rFonts w:ascii="Arial" w:cs="Arial" w:eastAsia="Arial" w:hAnsi="Arial"/>
          <w:sz w:val="15"/>
          <w:szCs w:val="15"/>
          <w:u w:val="single" w:color="auto"/>
          <w:color w:val="auto"/>
        </w:rPr>
        <w:t>Acceleration Upon a Change in Control</w:t>
      </w:r>
      <w:r>
        <w:rPr>
          <w:rFonts w:ascii="Arial" w:cs="Arial" w:eastAsia="Arial" w:hAnsi="Arial"/>
          <w:sz w:val="15"/>
          <w:szCs w:val="15"/>
          <w:color w:val="auto"/>
        </w:rPr>
        <w:t>. Notwithstanding the foregoing, each outstanding option granted pursuant to Section 5(a)(i) shall immediately become exercisable in full in the event a Change in Control of the Company (as defined in this subsection) occurs. For purposes of the Plan, a “Change in Control of the Company” shall occur or be deemed to have occurred only if (i) any “person”, as such term is used in Section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during any period of two consecutive years ending during the term of any option agreement issued under the Plan, individuals who at the beginning of such period constitute the Board, and any new director (other than a director designated by a person who has entered into an agreement with the Company to effect any transaction described in clause (i), (iii) or</w:t>
      </w:r>
    </w:p>
    <w:p>
      <w:pPr>
        <w:spacing w:after="0" w:line="4" w:lineRule="exact"/>
        <w:rPr>
          <w:rFonts w:ascii="Arial" w:cs="Arial" w:eastAsia="Arial" w:hAnsi="Arial"/>
          <w:sz w:val="15"/>
          <w:szCs w:val="15"/>
          <w:color w:val="auto"/>
        </w:rPr>
      </w:pPr>
    </w:p>
    <w:p>
      <w:pPr>
        <w:jc w:val="both"/>
        <w:ind w:firstLine="8"/>
        <w:spacing w:after="0" w:line="290" w:lineRule="auto"/>
        <w:tabs>
          <w:tab w:leader="none" w:pos="29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 this subsection (B)) whose election by the Board of Directors or nomination for election by the Company’s stockholders was approved by a vote of at least two-thirds of the directors then still in office who were either directors at the beginning of the period or whose election or whose nomination for election was previously so approved, cease for any reason to constitute a majority of the Board of Directors;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1" w:name="page32"/>
    <w:bookmarkEnd w:id="3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surviving entity outstanding immediately after such merger or consolidation; or (iv) the stockholders of the Company approve a plan of complete liquidation of the Company or there occurs the sale or disposition by the Company of all or substantially all of the Company assets.</w:t>
      </w:r>
    </w:p>
    <w:p>
      <w:pPr>
        <w:spacing w:after="0" w:line="132" w:lineRule="exact"/>
        <w:rPr>
          <w:sz w:val="20"/>
          <w:szCs w:val="20"/>
          <w:color w:val="auto"/>
        </w:rPr>
      </w:pPr>
    </w:p>
    <w:p>
      <w:pPr>
        <w:ind w:left="1220" w:hanging="299"/>
        <w:spacing w:after="0"/>
        <w:tabs>
          <w:tab w:leader="none" w:pos="122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Each option shall terminate, and may no longer be exercised, on the earlier of the (i) the date ten years after the date of grant or</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60 days after the optionee ceases to serve as a director of the Company for any reason, whether by death, resignation, removal or otherwise.</w:t>
      </w:r>
    </w:p>
    <w:p>
      <w:pPr>
        <w:spacing w:after="0" w:line="187" w:lineRule="exact"/>
        <w:rPr>
          <w:rFonts w:ascii="Arial" w:cs="Arial" w:eastAsia="Arial" w:hAnsi="Arial"/>
          <w:sz w:val="16"/>
          <w:szCs w:val="16"/>
          <w:color w:val="auto"/>
        </w:rPr>
      </w:pPr>
    </w:p>
    <w:p>
      <w:pPr>
        <w:jc w:val="both"/>
        <w:ind w:firstLine="921"/>
        <w:spacing w:after="0" w:line="298" w:lineRule="auto"/>
        <w:tabs>
          <w:tab w:leader="none" w:pos="1161"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Exercise Procedure</w:t>
      </w:r>
      <w:r>
        <w:rPr>
          <w:rFonts w:ascii="Arial" w:cs="Arial" w:eastAsia="Arial" w:hAnsi="Arial"/>
          <w:sz w:val="16"/>
          <w:szCs w:val="16"/>
          <w:color w:val="auto"/>
        </w:rPr>
        <w:t>. Options may be exercised only by written notice to the Company at its principal office accompanied by (i) payment in cash or by certified or bank check of the full consideration for the shares as to which they are exercised or (ii) an irrevocable undertaking, in form and substance satisfactory to the Company, by a broker to deliver promptly to the Company sufficient funds to pay the exercise price or (iii) delivery of irrevocable instructions, in form and substance satisfactory to the Company, to a broker to deliver promptly to the Company cash or a check sufficient to pay the exercise price.</w:t>
      </w:r>
    </w:p>
    <w:p>
      <w:pPr>
        <w:spacing w:after="0" w:line="112" w:lineRule="exact"/>
        <w:rPr>
          <w:rFonts w:ascii="Arial" w:cs="Arial" w:eastAsia="Arial" w:hAnsi="Arial"/>
          <w:sz w:val="16"/>
          <w:szCs w:val="16"/>
          <w:color w:val="auto"/>
        </w:rPr>
      </w:pPr>
    </w:p>
    <w:p>
      <w:pPr>
        <w:jc w:val="both"/>
        <w:ind w:firstLine="921"/>
        <w:spacing w:after="0" w:line="298" w:lineRule="auto"/>
        <w:tabs>
          <w:tab w:leader="none" w:pos="1224"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Exercise by Representative Following Death of Director</w:t>
      </w:r>
      <w:r>
        <w:rPr>
          <w:rFonts w:ascii="Arial" w:cs="Arial" w:eastAsia="Arial" w:hAnsi="Arial"/>
          <w:sz w:val="16"/>
          <w:szCs w:val="16"/>
          <w:color w:val="auto"/>
        </w:rPr>
        <w:t>. An optionee, by written notice to the Company, may designate one or more persons (and from time to time change such designation), including his or her legal representative, who, by reason of the optionee’s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spacing w:after="0" w:line="22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Rights.</w:t>
      </w:r>
    </w:p>
    <w:p>
      <w:pPr>
        <w:spacing w:after="0" w:line="96" w:lineRule="exact"/>
        <w:rPr>
          <w:rFonts w:ascii="Arial" w:cs="Arial" w:eastAsia="Arial" w:hAnsi="Arial"/>
          <w:sz w:val="18"/>
          <w:szCs w:val="18"/>
          <w:b w:val="1"/>
          <w:bCs w:val="1"/>
          <w:color w:val="auto"/>
        </w:rPr>
      </w:pPr>
    </w:p>
    <w:p>
      <w:pPr>
        <w:ind w:firstLine="464"/>
        <w:spacing w:after="0" w:line="332" w:lineRule="auto"/>
        <w:tabs>
          <w:tab w:leader="none" w:pos="69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No Right to Continue as a Director</w:t>
      </w:r>
      <w:r>
        <w:rPr>
          <w:rFonts w:ascii="Arial" w:cs="Arial" w:eastAsia="Arial" w:hAnsi="Arial"/>
          <w:sz w:val="16"/>
          <w:szCs w:val="16"/>
          <w:color w:val="auto"/>
        </w:rPr>
        <w:t>. Neither the Plan, nor the granting of an option nor any other action taken pursuant to the Plan, shall constitute or be evidence of any agreement or understanding, express or implied, that the optionee shall be entitled to continue as a director for any period of time.</w:t>
      </w:r>
    </w:p>
    <w:p>
      <w:pPr>
        <w:spacing w:after="0" w:line="85" w:lineRule="exact"/>
        <w:rPr>
          <w:rFonts w:ascii="Arial" w:cs="Arial" w:eastAsia="Arial" w:hAnsi="Arial"/>
          <w:sz w:val="16"/>
          <w:szCs w:val="16"/>
          <w:color w:val="auto"/>
        </w:rPr>
      </w:pPr>
    </w:p>
    <w:p>
      <w:pPr>
        <w:jc w:val="both"/>
        <w:ind w:firstLine="464"/>
        <w:spacing w:after="0" w:line="312" w:lineRule="auto"/>
        <w:tabs>
          <w:tab w:leader="none" w:pos="705" w:val="left"/>
        </w:tabs>
        <w:numPr>
          <w:ilvl w:val="1"/>
          <w:numId w:val="29"/>
        </w:numPr>
        <w:rPr>
          <w:rFonts w:ascii="Arial" w:cs="Arial" w:eastAsia="Arial" w:hAnsi="Arial"/>
          <w:sz w:val="15"/>
          <w:szCs w:val="15"/>
          <w:color w:val="auto"/>
        </w:rPr>
      </w:pPr>
      <w:r>
        <w:rPr>
          <w:rFonts w:ascii="Arial" w:cs="Arial" w:eastAsia="Arial" w:hAnsi="Arial"/>
          <w:sz w:val="15"/>
          <w:szCs w:val="15"/>
          <w:u w:val="single" w:color="auto"/>
          <w:color w:val="auto"/>
        </w:rPr>
        <w:t>No Stockholder Rights for Options</w:t>
      </w:r>
      <w:r>
        <w:rPr>
          <w:rFonts w:ascii="Arial" w:cs="Arial" w:eastAsia="Arial" w:hAnsi="Arial"/>
          <w:sz w:val="15"/>
          <w:szCs w:val="15"/>
          <w:color w:val="auto"/>
        </w:rPr>
        <w:t>. An optionee shall have no rights as a stockholder with respect to the shares covered by his or her option until the date of the issuance to him or her of a stock certificate therefore, and no adjustment will be made for dividends or other rights (except as provided in Section 7) for which the record date is prior to the date such certificate is issued. Notwithstanding the foregoing, in the event the Company effects a split of the Common Stock by means of a stock dividend, and the distribution date (i.e., the date on which the closing market price of the Common Stock on a stock exchange or trading system is adjusted to reflect the split) is subsequent to the record date for such stock dividend, an optionee who exercises an option between the close of business on such record date and the close of business on such distribution date shall be entitled to receive the stock dividend with respect to the shares of Common Stock acquired upon such option exercise, notwithstanding the fact that such shares were not outstanding as of the close of business on such record date.</w:t>
      </w:r>
    </w:p>
    <w:p>
      <w:pPr>
        <w:spacing w:after="0" w:line="105" w:lineRule="exact"/>
        <w:rPr>
          <w:rFonts w:ascii="Arial" w:cs="Arial" w:eastAsia="Arial" w:hAnsi="Arial"/>
          <w:sz w:val="15"/>
          <w:szCs w:val="15"/>
          <w:color w:val="auto"/>
        </w:rPr>
      </w:pPr>
    </w:p>
    <w:p>
      <w:pPr>
        <w:jc w:val="both"/>
        <w:ind w:firstLine="464"/>
        <w:spacing w:after="0" w:line="254"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Each option and stock award shall be subject to the requirement that if, at any time, counsel to the Company shall determine that the listing, registration or qualification of the shares subject to such option or stock award upon any securities exchange or under any state or federal law, or the consent or approval of any governmental or regulatory body, or the disclosure of non-public information or the satisfaction of any other condition is necessary as a condition to, or in connection with, the issuance or purchase of shares thereunder, such option may not be exercised, in whole or in part, and such stock award shall not be granted, unless such listing, registration, qualification, consent or approval, or satisfaction of such condition shall have been effected or obtained on conditions acceptable to the Board.</w:t>
      </w:r>
    </w:p>
    <w:p>
      <w:pPr>
        <w:spacing w:after="0" w:line="25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for Changes in Capitalization and Reorganization Events.</w:t>
      </w:r>
    </w:p>
    <w:p>
      <w:pPr>
        <w:spacing w:after="0" w:line="96" w:lineRule="exact"/>
        <w:rPr>
          <w:rFonts w:ascii="Arial" w:cs="Arial" w:eastAsia="Arial" w:hAnsi="Arial"/>
          <w:sz w:val="18"/>
          <w:szCs w:val="18"/>
          <w:b w:val="1"/>
          <w:bCs w:val="1"/>
          <w:color w:val="auto"/>
        </w:rPr>
      </w:pPr>
    </w:p>
    <w:p>
      <w:pPr>
        <w:jc w:val="both"/>
        <w:ind w:firstLine="464"/>
        <w:spacing w:after="0" w:line="290" w:lineRule="auto"/>
        <w:tabs>
          <w:tab w:leader="none" w:pos="695"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and (ii) the number and class of securities and exercise price per share of each outstanding option and each option issuable under Section 5(a) shall be equitably adjusted by the Company.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with respect to the shares of Common Stock acquired upon such option exercise, notwithstanding the fact that such shares were not outstanding as of the close of business on the record date for such stock dividend.</w:t>
      </w:r>
    </w:p>
    <w:p>
      <w:pPr>
        <w:spacing w:after="0" w:line="132" w:lineRule="exact"/>
        <w:rPr>
          <w:sz w:val="20"/>
          <w:szCs w:val="20"/>
          <w:color w:val="auto"/>
        </w:rPr>
      </w:pPr>
    </w:p>
    <w:p>
      <w:pPr>
        <w:ind w:left="720" w:hanging="256"/>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firstLine="921"/>
        <w:spacing w:after="0" w:line="256" w:lineRule="auto"/>
        <w:tabs>
          <w:tab w:leader="none" w:pos="1122"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143" w:lineRule="exact"/>
        <w:rPr>
          <w:rFonts w:ascii="Arial" w:cs="Arial" w:eastAsia="Arial" w:hAnsi="Arial"/>
          <w:sz w:val="18"/>
          <w:szCs w:val="18"/>
          <w:color w:val="auto"/>
        </w:rPr>
      </w:pPr>
    </w:p>
    <w:p>
      <w:pPr>
        <w:jc w:val="both"/>
        <w:ind w:firstLine="921"/>
        <w:spacing w:after="0" w:line="286" w:lineRule="auto"/>
        <w:tabs>
          <w:tab w:leader="none" w:pos="1185" w:val="left"/>
        </w:tabs>
        <w:numPr>
          <w:ilvl w:val="2"/>
          <w:numId w:val="30"/>
        </w:numPr>
        <w:rPr>
          <w:rFonts w:ascii="Arial" w:cs="Arial" w:eastAsia="Arial" w:hAnsi="Arial"/>
          <w:sz w:val="16"/>
          <w:szCs w:val="16"/>
          <w:color w:val="auto"/>
        </w:rPr>
      </w:pPr>
      <w:r>
        <w:rPr>
          <w:rFonts w:ascii="Arial" w:cs="Arial" w:eastAsia="Arial" w:hAnsi="Arial"/>
          <w:sz w:val="16"/>
          <w:szCs w:val="16"/>
          <w:u w:val="single" w:color="auto"/>
          <w:color w:val="auto"/>
        </w:rPr>
        <w:t>Consequences of a Reorganization Event on Options</w:t>
      </w:r>
      <w:r>
        <w:rPr>
          <w:rFonts w:ascii="Arial" w:cs="Arial" w:eastAsia="Arial" w:hAnsi="Arial"/>
          <w:sz w:val="16"/>
          <w:szCs w:val="16"/>
          <w:color w:val="auto"/>
        </w:rPr>
        <w:t>. In connection with a Reorganization Event, the Board may take any one or more of the following actions as to all or any (or any portion of) outstanding options on such terms as the Board determines: (i) provide that the options shall be assumed, or substantially equivalent options shall be substituted, by the acquiring or succeeding corporation (or an affiliate thereof), (ii) upon written notice to an optionee, provide that the optionees’ unexercised options will terminate immediately prior to the consummation of such Reorganization Event unless exercised by the optionee within a specified period following the date of such notice, (iii) provide that outstanding options shall become exercisable,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optionees’ options (to the extent the exercise price does not exceed the Acquisition Price) over (B) the aggregate exercise price of such outstanding options and any applicable tax withholdings, in exchange for the termination of such options, (v) provide that, in connection with a liquidation or dissolution of the Company, Awards shall convert into the right to receive liquidation proceeds (if applicable, net of the exercise price thereof and any applicable tax withholdings) and (vi) any combination of the foregoing.</w:t>
      </w:r>
    </w:p>
    <w:p>
      <w:pPr>
        <w:spacing w:after="0" w:line="242"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Modification or Termination of Options.</w:t>
      </w:r>
    </w:p>
    <w:p>
      <w:pPr>
        <w:spacing w:after="0" w:line="96" w:lineRule="exact"/>
        <w:rPr>
          <w:rFonts w:ascii="Arial" w:cs="Arial" w:eastAsia="Arial" w:hAnsi="Arial"/>
          <w:sz w:val="18"/>
          <w:szCs w:val="18"/>
          <w:b w:val="1"/>
          <w:bCs w:val="1"/>
          <w:color w:val="auto"/>
        </w:rPr>
      </w:pPr>
    </w:p>
    <w:p>
      <w:pPr>
        <w:jc w:val="both"/>
        <w:ind w:firstLine="464"/>
        <w:spacing w:after="0" w:line="256" w:lineRule="auto"/>
        <w:tabs>
          <w:tab w:leader="none" w:pos="69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Amendment, Modification or Termination</w:t>
      </w:r>
      <w:r>
        <w:rPr>
          <w:rFonts w:ascii="Arial" w:cs="Arial" w:eastAsia="Arial" w:hAnsi="Arial"/>
          <w:sz w:val="18"/>
          <w:szCs w:val="18"/>
          <w:color w:val="auto"/>
        </w:rPr>
        <w:t>. The Board may amend, modify or terminate any outstanding option, including but not limited to, substituting therefore another option of the same or a different type and changing the date of exercise or realization. A Outside Director’s consent to such action shall be required unless (i) the Board determines that the action, taking into account any related action, would not materially and adversely affect the Outside Director’s rights under the Plan or (ii) the change is permitted under Section 7 hereof.</w:t>
      </w:r>
    </w:p>
    <w:p>
      <w:pPr>
        <w:spacing w:after="0" w:line="143" w:lineRule="exact"/>
        <w:rPr>
          <w:rFonts w:ascii="Arial" w:cs="Arial" w:eastAsia="Arial" w:hAnsi="Arial"/>
          <w:sz w:val="18"/>
          <w:szCs w:val="18"/>
          <w:color w:val="auto"/>
        </w:rPr>
      </w:pPr>
    </w:p>
    <w:p>
      <w:pPr>
        <w:jc w:val="both"/>
        <w:ind w:firstLine="464"/>
        <w:spacing w:after="0" w:line="255"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Required Stockholder Approval</w:t>
      </w:r>
      <w:r>
        <w:rPr>
          <w:rFonts w:ascii="Arial" w:cs="Arial" w:eastAsia="Arial" w:hAnsi="Arial"/>
          <w:sz w:val="18"/>
          <w:szCs w:val="18"/>
          <w:color w:val="auto"/>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7) and (2) the Board may not cancel any outstanding option (whether or not granted under the Plan) and grant in substitution therefore new options under the Plan covering the same or a different number of shares of Common Stock and having an exercise price per share lower than the then-current exercise price per share of the cancelled option.</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Amendment of the Plan.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Board may suspend, terminate or discontinue the Plan or amend it in any respect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approval of the</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stockholders of the Company, no amendment may (i) increase the number of shares subject to the Plan (except as provided in Section 7), or (ii) effect any action which requires approval of the stockholders pursuant to the rules or requirements of the Nasdaq Stock Market (“Nasdaq”) or any other exchange on which the Common Stock of the Company is listed. No amendment that would require stockholder approval under Nasdaq rules may be made effective unless and until such amendment shall have been approved by the Company’s stockholders. If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types of shares authorized under the Plan, (B) expanding the types of options or stock awards that may be granted under the Plan, or (C) materially expanding the class of participants eligible to participate in the Plan shall be effective unless stockholder approval is obtained.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9 shall apply to, and be binding on the holders of, all options and awards outstanding under the Plan at the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amendment is adopted, provided the Board determines that such amendment does not materially and adversely affect the rights of participants under the Plan.</w:t>
      </w:r>
    </w:p>
    <w:p>
      <w:pPr>
        <w:spacing w:after="0" w:line="32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written notice to the Company required by any of the provisions of the Plan shall be addressed to the Treasurer of the Company and shall become effective when it is received.</w:t>
      </w:r>
    </w:p>
    <w:p>
      <w:pPr>
        <w:spacing w:after="0" w:line="24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hereto shall be governed by the laws of the State of Delaware.</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Approval; Effective Date.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Plan shall become effective on the date the Plan is approved by the Company’s stockholders (the “Effective Date”). No options or stock awards shall be granted under the Plan after the expiration of ten years from the Effective Date, but options previously granted may extend beyond that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August 6, 2009</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G</w:t>
            </w:r>
            <w:r>
              <w:rPr>
                <w:rFonts w:ascii="Arial" w:cs="Arial" w:eastAsia="Arial" w:hAnsi="Arial"/>
                <w:sz w:val="14"/>
                <w:szCs w:val="14"/>
                <w:b w:val="1"/>
                <w:bCs w:val="1"/>
                <w:color w:val="auto"/>
              </w:rPr>
              <w:t>REGORY</w:t>
            </w:r>
            <w:r>
              <w:rPr>
                <w:rFonts w:ascii="Arial" w:cs="Arial" w:eastAsia="Arial" w:hAnsi="Arial"/>
                <w:sz w:val="18"/>
                <w:szCs w:val="18"/>
                <w:b w:val="1"/>
                <w:bCs w:val="1"/>
                <w:color w:val="auto"/>
              </w:rPr>
              <w:t xml:space="preserve"> J. Y</w:t>
            </w:r>
            <w:r>
              <w:rPr>
                <w:rFonts w:ascii="Arial" w:cs="Arial" w:eastAsia="Arial" w:hAnsi="Arial"/>
                <w:sz w:val="14"/>
                <w:szCs w:val="14"/>
                <w:b w:val="1"/>
                <w:bCs w:val="1"/>
                <w:color w:val="auto"/>
              </w:rPr>
              <w:t>UREK</w:t>
            </w:r>
          </w:p>
        </w:tc>
      </w:tr>
      <w:tr>
        <w:trPr>
          <w:trHeight w:val="215"/>
        </w:trPr>
        <w:tc>
          <w:tcPr>
            <w:tcW w:w="62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8"/>
              </w:rPr>
              <w:t>Gregory J. Yurek</w:t>
            </w:r>
          </w:p>
        </w:tc>
      </w:tr>
      <w:tr>
        <w:trPr>
          <w:trHeight w:val="222"/>
        </w:trPr>
        <w:tc>
          <w:tcPr>
            <w:tcW w:w="628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Chief Executive Officer</w:t>
            </w:r>
          </w:p>
        </w:tc>
      </w:tr>
    </w:tbl>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3"/>
          <w:szCs w:val="13"/>
          <w:b w:val="1"/>
          <w:bCs w:val="1"/>
          <w:color w:val="auto"/>
        </w:rPr>
        <w:t>S</w:t>
      </w:r>
      <w:r>
        <w:rPr>
          <w:rFonts w:ascii="Arial" w:cs="Arial" w:eastAsia="Arial" w:hAnsi="Arial"/>
          <w:sz w:val="16"/>
          <w:szCs w:val="16"/>
          <w:b w:val="1"/>
          <w:bCs w:val="1"/>
          <w:color w:val="auto"/>
        </w:rPr>
        <w:t>/ D</w:t>
      </w:r>
      <w:r>
        <w:rPr>
          <w:rFonts w:ascii="Arial" w:cs="Arial" w:eastAsia="Arial" w:hAnsi="Arial"/>
          <w:sz w:val="13"/>
          <w:szCs w:val="13"/>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3"/>
          <w:szCs w:val="13"/>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June 30, 2009 as filed with the Securities and Exchange Commission on the date hereof (the “Report”), the undersigned, Gregory J. Yurek, Chief Executive Officer of the Company, hereby certifies, pursuant to 18 U.S.C. Section 1350, as adopted pursuant to Section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7960"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G</w:t>
      </w:r>
      <w:r>
        <w:rPr>
          <w:rFonts w:ascii="Arial" w:cs="Arial" w:eastAsia="Arial" w:hAnsi="Arial"/>
          <w:sz w:val="14"/>
          <w:szCs w:val="14"/>
          <w:b w:val="1"/>
          <w:bCs w:val="1"/>
          <w:color w:val="auto"/>
        </w:rPr>
        <w:t>REGORY</w:t>
      </w:r>
      <w:r>
        <w:rPr>
          <w:rFonts w:ascii="Arial" w:cs="Arial" w:eastAsia="Arial" w:hAnsi="Arial"/>
          <w:sz w:val="18"/>
          <w:szCs w:val="18"/>
          <w:b w:val="1"/>
          <w:bCs w:val="1"/>
          <w:color w:val="auto"/>
        </w:rPr>
        <w:t xml:space="preserve"> J. Y</w:t>
      </w:r>
      <w:r>
        <w:rPr>
          <w:rFonts w:ascii="Arial" w:cs="Arial" w:eastAsia="Arial" w:hAnsi="Arial"/>
          <w:sz w:val="14"/>
          <w:szCs w:val="14"/>
          <w:b w:val="1"/>
          <w:bCs w:val="1"/>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Gregory J. Yurek</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Quarterly Report on Form 10-Q of American Superconductor Corporation (the “Company”) for the period ended June 30, 2009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8080" w:val="left"/>
        </w:tabs>
        <w:rPr>
          <w:sz w:val="20"/>
          <w:szCs w:val="20"/>
          <w:color w:val="auto"/>
        </w:rPr>
      </w:pPr>
      <w:r>
        <w:rPr>
          <w:rFonts w:ascii="Arial" w:cs="Arial" w:eastAsia="Arial" w:hAnsi="Arial"/>
          <w:sz w:val="18"/>
          <w:szCs w:val="18"/>
          <w:color w:val="auto"/>
        </w:rPr>
        <w:t>Date: August 6, 2009</w:t>
      </w:r>
      <w:r>
        <w:rPr>
          <w:sz w:val="20"/>
          <w:szCs w:val="20"/>
          <w:color w:val="auto"/>
        </w:rPr>
        <w:tab/>
      </w:r>
      <w:r>
        <w:rPr>
          <w:rFonts w:ascii="Arial" w:cs="Arial" w:eastAsia="Arial" w:hAnsi="Arial"/>
          <w:sz w:val="16"/>
          <w:szCs w:val="16"/>
          <w:b w:val="1"/>
          <w:bCs w:val="1"/>
          <w:color w:val="auto"/>
        </w:rPr>
        <w:t>/</w:t>
      </w:r>
      <w:r>
        <w:rPr>
          <w:rFonts w:ascii="Arial" w:cs="Arial" w:eastAsia="Arial" w:hAnsi="Arial"/>
          <w:sz w:val="13"/>
          <w:szCs w:val="13"/>
          <w:b w:val="1"/>
          <w:bCs w:val="1"/>
          <w:color w:val="auto"/>
        </w:rPr>
        <w:t>S</w:t>
      </w:r>
      <w:r>
        <w:rPr>
          <w:rFonts w:ascii="Arial" w:cs="Arial" w:eastAsia="Arial" w:hAnsi="Arial"/>
          <w:sz w:val="16"/>
          <w:szCs w:val="16"/>
          <w:b w:val="1"/>
          <w:bCs w:val="1"/>
          <w:color w:val="auto"/>
        </w:rPr>
        <w:t>/ D</w:t>
      </w:r>
      <w:r>
        <w:rPr>
          <w:rFonts w:ascii="Arial" w:cs="Arial" w:eastAsia="Arial" w:hAnsi="Arial"/>
          <w:sz w:val="13"/>
          <w:szCs w:val="13"/>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3"/>
          <w:szCs w:val="13"/>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7"/>
    </w:lvl>
  </w:abstractNum>
  <w:abstractNum w:abstractNumId="9">
    <w:nsid w:val="6763845E"/>
    <w:multiLevelType w:val="hybridMultilevel"/>
    <w:lvl w:ilvl="0">
      <w:lvlJc w:val="left"/>
      <w:lvlText w:val="%1."/>
      <w:numFmt w:val="decimal"/>
      <w:start w:val="8"/>
    </w:lvl>
  </w:abstractNum>
  <w:abstractNum w:abstractNumId="10">
    <w:nsid w:val="75A2A8D4"/>
    <w:multiLevelType w:val="hybridMultilevel"/>
    <w:lvl w:ilvl="0">
      <w:lvlJc w:val="left"/>
      <w:lvlText w:val="%1."/>
      <w:numFmt w:val="decimal"/>
      <w:start w:val="9"/>
    </w:lvl>
  </w:abstractNum>
  <w:abstractNum w:abstractNumId="11">
    <w:nsid w:val="8EDBDAB"/>
    <w:multiLevelType w:val="hybridMultilevel"/>
    <w:lvl w:ilvl="0">
      <w:lvlJc w:val="left"/>
      <w:lvlText w:val="%1."/>
      <w:numFmt w:val="decimal"/>
      <w:start w:val="10"/>
    </w:lvl>
  </w:abstractNum>
  <w:abstractNum w:abstractNumId="12">
    <w:nsid w:val="79838CB2"/>
    <w:multiLevelType w:val="hybridMultilevel"/>
    <w:lvl w:ilvl="0">
      <w:lvlJc w:val="left"/>
      <w:lvlText w:val="%1."/>
      <w:numFmt w:val="decimal"/>
      <w:start w:val="11"/>
    </w:lvl>
  </w:abstractNum>
  <w:abstractNum w:abstractNumId="13">
    <w:nsid w:val="4353D0CD"/>
    <w:multiLevelType w:val="hybridMultilevel"/>
    <w:lvl w:ilvl="0">
      <w:lvlJc w:val="left"/>
      <w:lvlText w:val="%1."/>
      <w:numFmt w:val="decimal"/>
      <w:start w:val="12"/>
    </w:lvl>
  </w:abstractNum>
  <w:abstractNum w:abstractNumId="14">
    <w:nsid w:val="B03E0C6"/>
    <w:multiLevelType w:val="hybridMultilevel"/>
    <w:lvl w:ilvl="0">
      <w:lvlJc w:val="left"/>
      <w:lvlText w:val="%1."/>
      <w:numFmt w:val="decimal"/>
      <w:start w:val="13"/>
    </w:lvl>
  </w:abstractNum>
  <w:abstractNum w:abstractNumId="15">
    <w:nsid w:val="189A769B"/>
    <w:multiLevelType w:val="hybridMultilevel"/>
    <w:lvl w:ilvl="0">
      <w:lvlJc w:val="left"/>
      <w:lvlText w:val="%1."/>
      <w:numFmt w:val="decimal"/>
      <w:start w:val="14"/>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2"/>
    </w:lvl>
    <w:lvl w:ilvl="1">
      <w:lvlJc w:val="left"/>
      <w:lvlText w:val="(%2)"/>
      <w:numFmt w:val="lowerLetter"/>
      <w:start w:val="1"/>
    </w:lvl>
  </w:abstractNum>
  <w:abstractNum w:abstractNumId="22">
    <w:nsid w:val="8138641"/>
    <w:multiLevelType w:val="hybridMultilevel"/>
    <w:lvl w:ilvl="0">
      <w:lvlJc w:val="left"/>
      <w:lvlText w:val="%1."/>
      <w:numFmt w:val="decimal"/>
      <w:start w:val="4"/>
    </w:lvl>
    <w:lvl w:ilvl="1">
      <w:lvlJc w:val="left"/>
      <w:lvlText w:val="(%2)"/>
      <w:numFmt w:val="lowerLetter"/>
      <w:start w:val="1"/>
    </w:lvl>
  </w:abstractNum>
  <w:abstractNum w:abstractNumId="23">
    <w:nsid w:val="1E7FF52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
    <w:nsid w:val="7C3DBD3D"/>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5">
    <w:nsid w:val="737B8DDC"/>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
    <w:nsid w:val="6CEAF087"/>
    <w:multiLevelType w:val="hybridMultilevel"/>
    <w:lvl w:ilvl="0">
      <w:lvlJc w:val="left"/>
      <w:lvlText w:val="%1"/>
      <w:numFmt w:val="lowerRoman"/>
      <w:start w:val="1"/>
    </w:lvl>
    <w:lvl w:ilvl="1">
      <w:lvlJc w:val="left"/>
      <w:lvlText w:val="(%2)"/>
      <w:numFmt w:val="lowerRoman"/>
      <w:start w:val="4"/>
    </w:lvl>
  </w:abstractNum>
  <w:abstractNum w:abstractNumId="27">
    <w:nsid w:val="22221A70"/>
    <w:multiLevelType w:val="hybridMultilevel"/>
    <w:lvl w:ilvl="0">
      <w:lvlJc w:val="left"/>
      <w:lvlText w:val="(%1)"/>
      <w:numFmt w:val="lowerRoman"/>
      <w:start w:val="2"/>
    </w:lvl>
    <w:lvl w:ilvl="1">
      <w:lvlJc w:val="left"/>
      <w:lvlText w:val="(%2)"/>
      <w:numFmt w:val="lowerRoman"/>
      <w:start w:val="5"/>
    </w:lvl>
  </w:abstractNum>
  <w:abstractNum w:abstractNumId="28">
    <w:nsid w:val="4516DDE9"/>
    <w:multiLevelType w:val="hybridMultilevel"/>
    <w:lvl w:ilvl="0">
      <w:lvlJc w:val="left"/>
      <w:lvlText w:val="%1."/>
      <w:numFmt w:val="decimal"/>
      <w:start w:val="6"/>
    </w:lvl>
    <w:lvl w:ilvl="1">
      <w:lvlJc w:val="left"/>
      <w:lvlText w:val="(%2)"/>
      <w:numFmt w:val="lowerLetter"/>
      <w:start w:val="1"/>
    </w:lvl>
  </w:abstractNum>
  <w:abstractNum w:abstractNumId="29">
    <w:nsid w:val="3006C8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
    <w:nsid w:val="614FD4A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
    <w:nsid w:val="419AC241"/>
    <w:multiLevelType w:val="hybridMultilevel"/>
    <w:lvl w:ilvl="0">
      <w:lvlJc w:val="left"/>
      <w:lvlText w:val="%1."/>
      <w:numFmt w:val="decimal"/>
      <w:start w:val="10"/>
    </w:lvl>
  </w:abstractNum>
  <w:abstractNum w:abstractNumId="32">
    <w:nsid w:val="5577F8E1"/>
    <w:multiLevelType w:val="hybridMultilevel"/>
    <w:lvl w:ilvl="0">
      <w:lvlJc w:val="left"/>
      <w:lvlText w:val="%1."/>
      <w:numFmt w:val="decimal"/>
      <w:start w:val="1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2019-12-10T10:08:07Z</dcterms:created>
  <dcterms:modified xsi:type="dcterms:W3CDTF">2019-12-10T10:08:07Z</dcterms:modified>
</cp:coreProperties>
</file>