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175895</wp:posOffset>
            </wp:positionV>
            <wp:extent cx="934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212725</wp:posOffset>
            </wp:positionV>
            <wp:extent cx="934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800" w:hanging="549"/>
        <w:spacing w:after="0"/>
        <w:tabs>
          <w:tab w:leader="none" w:pos="8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 the quarterly period ended: December 31, 2010</w:t>
      </w:r>
    </w:p>
    <w:p>
      <w:pPr>
        <w:spacing w:after="0" w:line="122" w:lineRule="exact"/>
        <w:rPr>
          <w:sz w:val="20"/>
          <w:szCs w:val="20"/>
          <w:color w:val="auto"/>
        </w:rPr>
      </w:pPr>
    </w:p>
    <w:p>
      <w:pPr>
        <w:ind w:left="800" w:hanging="508"/>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0"/>
          <w:szCs w:val="20"/>
          <w:color w:val="auto"/>
        </w:rPr>
      </w:pPr>
    </w:p>
    <w:p>
      <w:pPr>
        <w:ind w:left="800"/>
        <w:spacing w:after="0"/>
        <w:tabs>
          <w:tab w:leader="none" w:pos="3640" w:val="left"/>
          <w:tab w:leader="none" w:pos="4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-7620</wp:posOffset>
            </wp:positionV>
            <wp:extent cx="717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55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197485</wp:posOffset>
            </wp:positionV>
            <wp:extent cx="934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American Superconductor Corporation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00" w:type="dxa"/>
            <w:vAlign w:val="bottom"/>
          </w:tcPr>
          <w:p>
            <w:pPr>
              <w:spacing w:after="0"/>
              <w:rPr>
                <w:sz w:val="14"/>
                <w:szCs w:val="14"/>
                <w:color w:val="auto"/>
              </w:rPr>
            </w:pPr>
          </w:p>
        </w:tc>
        <w:tc>
          <w:tcPr>
            <w:tcW w:w="7220" w:type="dxa"/>
            <w:vAlign w:val="bottom"/>
            <w:gridSpan w:val="5"/>
          </w:tcPr>
          <w:p>
            <w:pPr>
              <w:ind w:left="120"/>
              <w:spacing w:after="0"/>
              <w:rPr>
                <w:sz w:val="20"/>
                <w:szCs w:val="20"/>
                <w:color w:val="auto"/>
              </w:rPr>
            </w:pPr>
            <w:r>
              <w:rPr>
                <w:rFonts w:ascii="Arial" w:cs="Arial" w:eastAsia="Arial" w:hAnsi="Arial"/>
                <w:sz w:val="13"/>
                <w:szCs w:val="13"/>
                <w:b w:val="1"/>
                <w:bCs w:val="1"/>
                <w:color w:val="auto"/>
              </w:rPr>
              <w:t>(Exact name of registrant as specified in its charter)</w:t>
            </w:r>
          </w:p>
        </w:tc>
      </w:tr>
      <w:tr>
        <w:trPr>
          <w:trHeight w:val="245"/>
        </w:trPr>
        <w:tc>
          <w:tcPr>
            <w:tcW w:w="4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960" w:type="dxa"/>
            <w:vAlign w:val="bottom"/>
          </w:tcPr>
          <w:p>
            <w:pPr>
              <w:spacing w:after="0"/>
              <w:rPr>
                <w:sz w:val="21"/>
                <w:szCs w:val="21"/>
                <w:color w:val="auto"/>
              </w:rPr>
            </w:pPr>
          </w:p>
        </w:tc>
      </w:tr>
      <w:tr>
        <w:trPr>
          <w:trHeight w:val="345"/>
        </w:trPr>
        <w:tc>
          <w:tcPr>
            <w:tcW w:w="4200" w:type="dxa"/>
            <w:vAlign w:val="bottom"/>
          </w:tcPr>
          <w:p>
            <w:pPr>
              <w:jc w:val="center"/>
              <w:ind w:left="1392"/>
              <w:spacing w:after="0"/>
              <w:rPr>
                <w:sz w:val="20"/>
                <w:szCs w:val="20"/>
                <w:color w:val="auto"/>
              </w:rPr>
            </w:pPr>
            <w:r>
              <w:rPr>
                <w:rFonts w:ascii="Arial" w:cs="Arial" w:eastAsia="Arial" w:hAnsi="Arial"/>
                <w:sz w:val="14"/>
                <w:szCs w:val="14"/>
                <w:b w:val="1"/>
                <w:bCs w:val="1"/>
                <w:color w:val="auto"/>
                <w:w w:val="94"/>
              </w:rPr>
              <w:t>Delaware</w:t>
            </w:r>
          </w:p>
        </w:tc>
        <w:tc>
          <w:tcPr>
            <w:tcW w:w="7220" w:type="dxa"/>
            <w:vAlign w:val="bottom"/>
            <w:gridSpan w:val="5"/>
          </w:tcPr>
          <w:p>
            <w:pPr>
              <w:jc w:val="right"/>
              <w:ind w:right="2414"/>
              <w:spacing w:after="0"/>
              <w:rPr>
                <w:sz w:val="20"/>
                <w:szCs w:val="20"/>
                <w:color w:val="auto"/>
              </w:rPr>
            </w:pPr>
            <w:r>
              <w:rPr>
                <w:rFonts w:ascii="Arial" w:cs="Arial" w:eastAsia="Arial" w:hAnsi="Arial"/>
                <w:sz w:val="14"/>
                <w:szCs w:val="14"/>
                <w:b w:val="1"/>
                <w:bCs w:val="1"/>
                <w:color w:val="auto"/>
              </w:rPr>
              <w:t>04-2959321</w:t>
            </w:r>
          </w:p>
        </w:tc>
      </w:tr>
      <w:tr>
        <w:trPr>
          <w:trHeight w:val="124"/>
        </w:trPr>
        <w:tc>
          <w:tcPr>
            <w:tcW w:w="4200" w:type="dxa"/>
            <w:vAlign w:val="bottom"/>
            <w:tcBorders>
              <w:top w:val="single" w:sz="8" w:color="auto"/>
            </w:tcBorders>
          </w:tcPr>
          <w:p>
            <w:pPr>
              <w:jc w:val="center"/>
              <w:ind w:left="1352"/>
              <w:spacing w:after="0" w:line="124" w:lineRule="exact"/>
              <w:rPr>
                <w:sz w:val="20"/>
                <w:szCs w:val="20"/>
                <w:color w:val="auto"/>
              </w:rPr>
            </w:pPr>
            <w:r>
              <w:rPr>
                <w:rFonts w:ascii="Arial" w:cs="Arial" w:eastAsia="Arial" w:hAnsi="Arial"/>
                <w:sz w:val="13"/>
                <w:szCs w:val="13"/>
                <w:b w:val="1"/>
                <w:bCs w:val="1"/>
                <w:color w:val="auto"/>
                <w:w w:val="88"/>
              </w:rPr>
              <w:t>(State or other jurisdiction of</w:t>
            </w:r>
          </w:p>
        </w:tc>
        <w:tc>
          <w:tcPr>
            <w:tcW w:w="7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960" w:type="dxa"/>
            <w:vAlign w:val="bottom"/>
            <w:tcBorders>
              <w:top w:val="single" w:sz="8" w:color="auto"/>
            </w:tcBorders>
          </w:tcPr>
          <w:p>
            <w:pPr>
              <w:jc w:val="center"/>
              <w:ind w:right="634"/>
              <w:spacing w:after="0" w:line="124"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200" w:type="dxa"/>
            <w:vAlign w:val="bottom"/>
          </w:tcPr>
          <w:p>
            <w:pPr>
              <w:jc w:val="center"/>
              <w:ind w:left="1392"/>
              <w:spacing w:after="0"/>
              <w:rPr>
                <w:sz w:val="20"/>
                <w:szCs w:val="20"/>
                <w:color w:val="auto"/>
              </w:rPr>
            </w:pPr>
            <w:r>
              <w:rPr>
                <w:rFonts w:ascii="Arial" w:cs="Arial" w:eastAsia="Arial" w:hAnsi="Arial"/>
                <w:sz w:val="13"/>
                <w:szCs w:val="13"/>
                <w:b w:val="1"/>
                <w:bCs w:val="1"/>
                <w:color w:val="auto"/>
                <w:w w:val="89"/>
              </w:rPr>
              <w:t>incorporation or organization)</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60" w:type="dxa"/>
            <w:vAlign w:val="bottom"/>
          </w:tcPr>
          <w:p>
            <w:pPr>
              <w:jc w:val="center"/>
              <w:ind w:right="634"/>
              <w:spacing w:after="0"/>
              <w:rPr>
                <w:sz w:val="20"/>
                <w:szCs w:val="20"/>
                <w:color w:val="auto"/>
              </w:rPr>
            </w:pPr>
            <w:r>
              <w:rPr>
                <w:rFonts w:ascii="Arial" w:cs="Arial" w:eastAsia="Arial" w:hAnsi="Arial"/>
                <w:sz w:val="13"/>
                <w:szCs w:val="13"/>
                <w:b w:val="1"/>
                <w:bCs w:val="1"/>
                <w:color w:val="auto"/>
                <w:w w:val="89"/>
              </w:rPr>
              <w:t>Identification No.)</w:t>
            </w:r>
          </w:p>
        </w:tc>
      </w:tr>
      <w:tr>
        <w:trPr>
          <w:trHeight w:val="516"/>
        </w:trPr>
        <w:tc>
          <w:tcPr>
            <w:tcW w:w="420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64 Jackson Road, Devens, Massachusetts</w:t>
            </w:r>
          </w:p>
        </w:tc>
        <w:tc>
          <w:tcPr>
            <w:tcW w:w="7220" w:type="dxa"/>
            <w:vAlign w:val="bottom"/>
            <w:gridSpan w:val="5"/>
          </w:tcPr>
          <w:p>
            <w:pPr>
              <w:jc w:val="right"/>
              <w:ind w:right="2574"/>
              <w:spacing w:after="0"/>
              <w:rPr>
                <w:sz w:val="20"/>
                <w:szCs w:val="20"/>
                <w:color w:val="auto"/>
              </w:rPr>
            </w:pPr>
            <w:r>
              <w:rPr>
                <w:rFonts w:ascii="Arial" w:cs="Arial" w:eastAsia="Arial" w:hAnsi="Arial"/>
                <w:sz w:val="14"/>
                <w:szCs w:val="14"/>
                <w:b w:val="1"/>
                <w:bCs w:val="1"/>
                <w:color w:val="auto"/>
              </w:rPr>
              <w:t>01434</w:t>
            </w:r>
          </w:p>
        </w:tc>
      </w:tr>
      <w:tr>
        <w:trPr>
          <w:trHeight w:val="180"/>
        </w:trPr>
        <w:tc>
          <w:tcPr>
            <w:tcW w:w="4200" w:type="dxa"/>
            <w:vAlign w:val="bottom"/>
            <w:tcBorders>
              <w:top w:val="single" w:sz="8" w:color="auto"/>
            </w:tcBorders>
          </w:tcPr>
          <w:p>
            <w:pPr>
              <w:jc w:val="center"/>
              <w:ind w:left="139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960" w:type="dxa"/>
            <w:vAlign w:val="bottom"/>
            <w:tcBorders>
              <w:top w:val="single" w:sz="8" w:color="auto"/>
            </w:tcBorders>
          </w:tcPr>
          <w:p>
            <w:pPr>
              <w:jc w:val="center"/>
              <w:ind w:right="634"/>
              <w:spacing w:after="0"/>
              <w:rPr>
                <w:sz w:val="20"/>
                <w:szCs w:val="20"/>
                <w:color w:val="auto"/>
              </w:rPr>
            </w:pPr>
            <w:r>
              <w:rPr>
                <w:rFonts w:ascii="Arial" w:cs="Arial" w:eastAsia="Arial" w:hAnsi="Arial"/>
                <w:sz w:val="14"/>
                <w:szCs w:val="14"/>
                <w:b w:val="1"/>
                <w:bCs w:val="1"/>
                <w:color w:val="auto"/>
                <w:w w:val="95"/>
              </w:rPr>
              <w:t>(Zip Code)</w:t>
            </w: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(978) 842-3000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0" w:lineRule="exact"/>
        <w:rPr>
          <w:sz w:val="20"/>
          <w:szCs w:val="20"/>
          <w:color w:val="auto"/>
        </w:rPr>
      </w:pPr>
    </w:p>
    <w:p>
      <w:pPr>
        <w:jc w:val="both"/>
        <w:ind w:firstLine="366"/>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 w:lineRule="exact"/>
        <w:rPr>
          <w:sz w:val="20"/>
          <w:szCs w:val="20"/>
          <w:color w:val="auto"/>
        </w:rPr>
      </w:pPr>
    </w:p>
    <w:p>
      <w:pPr>
        <w:jc w:val="both"/>
        <w:ind w:firstLine="363"/>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jc w:val="both"/>
        <w:ind w:right="20" w:firstLine="399"/>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9" w:lineRule="exact"/>
        <w:rPr>
          <w:sz w:val="20"/>
          <w:szCs w:val="20"/>
          <w:color w:val="auto"/>
        </w:rPr>
      </w:pPr>
    </w:p>
    <w:p>
      <w:pPr>
        <w:ind w:left="180"/>
        <w:spacing w:after="0" w:line="161" w:lineRule="exact"/>
        <w:tabs>
          <w:tab w:leader="none" w:pos="3660" w:val="left"/>
          <w:tab w:leader="none" w:pos="6520" w:val="left"/>
          <w:tab w:leader="none" w:pos="97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 not check if a smaller reporting company)</w:t>
      </w:r>
    </w:p>
    <w:p>
      <w:pPr>
        <w:spacing w:after="0" w:line="123"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0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Shares outstanding of the Registrant’s common stock: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5760" w:type="dxa"/>
            <w:vAlign w:val="bottom"/>
            <w:gridSpan w:val="2"/>
          </w:tcPr>
          <w:p>
            <w:pPr>
              <w:jc w:val="right"/>
              <w:ind w:right="2428"/>
              <w:spacing w:after="0"/>
              <w:rPr>
                <w:sz w:val="20"/>
                <w:szCs w:val="20"/>
                <w:color w:val="auto"/>
              </w:rPr>
            </w:pPr>
            <w:r>
              <w:rPr>
                <w:rFonts w:ascii="Arial" w:cs="Arial" w:eastAsia="Arial" w:hAnsi="Arial"/>
                <w:sz w:val="14"/>
                <w:szCs w:val="14"/>
                <w:b w:val="1"/>
                <w:bCs w:val="1"/>
                <w:color w:val="auto"/>
              </w:rPr>
              <w:t>50,701,749</w:t>
            </w:r>
          </w:p>
        </w:tc>
      </w:tr>
      <w:tr>
        <w:trPr>
          <w:trHeight w:val="180"/>
        </w:trPr>
        <w:tc>
          <w:tcPr>
            <w:tcW w:w="5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100" w:type="dxa"/>
            <w:vAlign w:val="bottom"/>
          </w:tcPr>
          <w:p>
            <w:pPr>
              <w:spacing w:after="0"/>
              <w:rPr>
                <w:sz w:val="15"/>
                <w:szCs w:val="15"/>
                <w:color w:val="auto"/>
              </w:rPr>
            </w:pPr>
          </w:p>
        </w:tc>
        <w:tc>
          <w:tcPr>
            <w:tcW w:w="5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 as of January 31, 2011</w:t>
            </w:r>
          </w:p>
        </w:tc>
      </w:tr>
      <w:tr>
        <w:trPr>
          <w:trHeight w:val="97"/>
        </w:trPr>
        <w:tc>
          <w:tcPr>
            <w:tcW w:w="5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60" w:type="dxa"/>
            <w:vAlign w:val="bottom"/>
            <w:tcBorders>
              <w:bottom w:val="single" w:sz="8" w:color="auto"/>
            </w:tcBorders>
          </w:tcPr>
          <w:p>
            <w:pPr>
              <w:spacing w:after="0"/>
              <w:rPr>
                <w:sz w:val="8"/>
                <w:szCs w:val="8"/>
                <w:color w:val="auto"/>
              </w:rPr>
            </w:pPr>
          </w:p>
        </w:tc>
      </w:tr>
      <w:tr>
        <w:trPr>
          <w:trHeight w:val="28"/>
        </w:trPr>
        <w:tc>
          <w:tcPr>
            <w:tcW w:w="5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618"/>
        </w:trPr>
        <w:tc>
          <w:tcPr>
            <w:tcW w:w="5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40" w:type="dxa"/>
            <w:vAlign w:val="bottom"/>
            <w:gridSpan w:val="2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Page No.</w:t>
            </w:r>
          </w:p>
        </w:tc>
        <w:tc>
          <w:tcPr>
            <w:tcW w:w="0" w:type="dxa"/>
            <w:vAlign w:val="bottom"/>
          </w:tcPr>
          <w:p>
            <w:pPr>
              <w:spacing w:after="0"/>
              <w:rPr>
                <w:sz w:val="1"/>
                <w:szCs w:val="1"/>
                <w:color w:val="auto"/>
              </w:rPr>
            </w:pPr>
          </w:p>
        </w:tc>
      </w:tr>
      <w:tr>
        <w:trPr>
          <w:trHeight w:val="169"/>
        </w:trPr>
        <w:tc>
          <w:tcPr>
            <w:tcW w:w="10740" w:type="dxa"/>
            <w:vAlign w:val="bottom"/>
            <w:gridSpan w:val="23"/>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100" w:type="dxa"/>
            <w:vAlign w:val="bottom"/>
            <w:tcBorders>
              <w:top w:val="single" w:sz="8" w:color="0000EE"/>
            </w:tcBorders>
            <w:gridSpan w:val="5"/>
          </w:tcPr>
          <w:p>
            <w:pPr>
              <w:spacing w:after="0"/>
              <w:rPr>
                <w:sz w:val="24"/>
                <w:szCs w:val="24"/>
                <w:color w:val="auto"/>
              </w:rPr>
            </w:pPr>
          </w:p>
        </w:tc>
        <w:tc>
          <w:tcPr>
            <w:tcW w:w="1540" w:type="dxa"/>
            <w:vAlign w:val="bottom"/>
            <w:tcBorders>
              <w:top w:val="single" w:sz="8" w:color="0000EE"/>
            </w:tcBorders>
            <w:gridSpan w:val="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Financial Statements</w:t>
              </w:r>
            </w:hyperlink>
          </w:p>
        </w:tc>
        <w:tc>
          <w:tcPr>
            <w:tcW w:w="7580" w:type="dxa"/>
            <w:vAlign w:val="bottom"/>
            <w:gridSpan w:val="9"/>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Balance Sheets as of December 31, 2010 and March 31, 2010</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Income for the three and nine months ended December 31, 2010 and 2009</w:t>
              </w:r>
            </w:hyperlink>
          </w:p>
        </w:tc>
        <w:tc>
          <w:tcPr>
            <w:tcW w:w="10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Comprehensive Income for the three and nine months ended December</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31, 2010 and 2009</w:t>
              </w:r>
            </w:hyperlink>
          </w:p>
        </w:tc>
        <w:tc>
          <w:tcPr>
            <w:tcW w:w="320" w:type="dxa"/>
            <w:vAlign w:val="bottom"/>
            <w:gridSpan w:val="2"/>
          </w:tcPr>
          <w:p>
            <w:pPr>
              <w:spacing w:after="0"/>
              <w:rPr>
                <w:sz w:val="17"/>
                <w:szCs w:val="17"/>
                <w:color w:val="auto"/>
              </w:rPr>
            </w:pPr>
          </w:p>
        </w:tc>
        <w:tc>
          <w:tcPr>
            <w:tcW w:w="68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nine months ended December 31, 2010 and 2009</w:t>
              </w:r>
            </w:hyperlink>
          </w:p>
        </w:tc>
        <w:tc>
          <w:tcPr>
            <w:tcW w:w="500" w:type="dxa"/>
            <w:vAlign w:val="bottom"/>
            <w:gridSpan w:val="3"/>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320" w:type="dxa"/>
            <w:vAlign w:val="bottom"/>
            <w:gridSpan w:val="6"/>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1080" w:type="dxa"/>
            <w:vAlign w:val="bottom"/>
            <w:gridSpan w:val="4"/>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Item 3.</w:t>
              </w:r>
            </w:hyperlink>
          </w:p>
        </w:tc>
        <w:tc>
          <w:tcPr>
            <w:tcW w:w="1080" w:type="dxa"/>
            <w:vAlign w:val="bottom"/>
            <w:gridSpan w:val="4"/>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1080" w:type="dxa"/>
            <w:vAlign w:val="bottom"/>
            <w:gridSpan w:val="4"/>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20" w:type="dxa"/>
            <w:vAlign w:val="bottom"/>
            <w:tcBorders>
              <w:top w:val="single" w:sz="8" w:color="0000EE"/>
            </w:tcBorders>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1240" w:type="dxa"/>
            <w:vAlign w:val="bottom"/>
            <w:tcBorders>
              <w:top w:val="single" w:sz="8" w:color="0000EE"/>
            </w:tcBorders>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7880" w:type="dxa"/>
            <w:vAlign w:val="bottom"/>
            <w:gridSpan w:val="12"/>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Item 6.</w:t>
              </w:r>
            </w:hyperlink>
          </w:p>
        </w:tc>
        <w:tc>
          <w:tcPr>
            <w:tcW w:w="100" w:type="dxa"/>
            <w:vAlign w:val="bottom"/>
          </w:tcPr>
          <w:p>
            <w:pPr>
              <w:spacing w:after="0"/>
              <w:rPr>
                <w:sz w:val="24"/>
                <w:szCs w:val="24"/>
                <w:color w:val="auto"/>
              </w:rPr>
            </w:pPr>
          </w:p>
        </w:tc>
        <w:tc>
          <w:tcPr>
            <w:tcW w:w="980" w:type="dxa"/>
            <w:vAlign w:val="bottom"/>
            <w:gridSpan w:val="3"/>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Signature</w:t>
              </w:r>
            </w:hyperlink>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EX-31.1</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EX-31.2</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51"/>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31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169,021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73,910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121,376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40,841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36,230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5,433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3,640</w:t>
            </w: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tcPr>
          <w:p>
            <w:pPr>
              <w:ind w:left="12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450,451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262,994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89,131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46,436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7,546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12,161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4,471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30,245</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640,441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400,184</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200" w:type="dxa"/>
            <w:vAlign w:val="bottom"/>
          </w:tcPr>
          <w:p>
            <w:pPr>
              <w:ind w:left="17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95,806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21,837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2,653</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120,296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104,760</w:t>
            </w:r>
          </w:p>
        </w:tc>
        <w:tc>
          <w:tcPr>
            <w:tcW w:w="0" w:type="dxa"/>
            <w:vAlign w:val="bottom"/>
          </w:tcPr>
          <w:p>
            <w:pPr>
              <w:spacing w:after="0"/>
              <w:rPr>
                <w:sz w:val="1"/>
                <w:szCs w:val="1"/>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18,299</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429</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140,470</w:t>
            </w: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119,219</w:t>
            </w:r>
          </w:p>
        </w:tc>
        <w:tc>
          <w:tcPr>
            <w:tcW w:w="0" w:type="dxa"/>
            <w:vAlign w:val="bottom"/>
          </w:tcPr>
          <w:p>
            <w:pPr>
              <w:spacing w:after="0"/>
              <w:rPr>
                <w:sz w:val="1"/>
                <w:szCs w:val="1"/>
                <w:color w:val="auto"/>
              </w:rPr>
            </w:pPr>
          </w:p>
        </w:tc>
      </w:tr>
      <w:tr>
        <w:trPr>
          <w:trHeight w:val="439"/>
        </w:trPr>
        <w:tc>
          <w:tcPr>
            <w:tcW w:w="82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883,097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(375,728)</w:t>
            </w: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499,971</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280,965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640,441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ectPr>
          <w:pgSz w:w="11900" w:h="16838" w:orient="portrait"/>
          <w:cols w:equalWidth="0" w:num="1">
            <w:col w:w="11420"/>
          </w:cols>
          <w:pgMar w:left="240" w:top="41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INCOME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114,193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80,659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312,932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228,331</w:t>
            </w:r>
          </w:p>
        </w:tc>
        <w:tc>
          <w:tcPr>
            <w:tcW w:w="0" w:type="dxa"/>
            <w:vAlign w:val="bottom"/>
          </w:tcPr>
          <w:p>
            <w:pPr>
              <w:spacing w:after="0"/>
              <w:rPr>
                <w:sz w:val="1"/>
                <w:szCs w:val="1"/>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67,709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50,444</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186,160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0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9,057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6,421</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24,249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15,564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12,881</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47,874</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060"/>
              <w:spacing w:after="0"/>
              <w:rPr>
                <w:sz w:val="20"/>
                <w:szCs w:val="20"/>
                <w:color w:val="auto"/>
              </w:rPr>
            </w:pPr>
            <w:r>
              <w:rPr>
                <w:rFonts w:ascii="Arial" w:cs="Arial" w:eastAsia="Arial" w:hAnsi="Arial"/>
                <w:sz w:val="18"/>
                <w:szCs w:val="18"/>
                <w:color w:val="auto"/>
              </w:rPr>
              <w:t>Amortization of acquisition related intangibles</w:t>
            </w:r>
          </w:p>
        </w:tc>
        <w:tc>
          <w:tcPr>
            <w:tcW w:w="3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1,154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Restructuring and impairments</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280"/>
              <w:spacing w:after="0"/>
              <w:rPr>
                <w:sz w:val="20"/>
                <w:szCs w:val="20"/>
                <w:color w:val="auto"/>
              </w:rPr>
            </w:pPr>
            <w:r>
              <w:rPr>
                <w:rFonts w:ascii="Arial" w:cs="Arial" w:eastAsia="Arial" w:hAnsi="Arial"/>
                <w:sz w:val="18"/>
                <w:szCs w:val="18"/>
                <w:color w:val="auto"/>
              </w:rPr>
              <w:t>Total cost and operating expenses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92,723</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70,219</w:t>
            </w:r>
          </w:p>
        </w:tc>
        <w:tc>
          <w:tcPr>
            <w:tcW w:w="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259,437</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201,170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21,470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10,440</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53,495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27,161</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549</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2,137</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4,745</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23,779</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10,828</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58,789</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7,775</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5,649</w:t>
            </w:r>
          </w:p>
        </w:tc>
        <w:tc>
          <w:tcPr>
            <w:tcW w:w="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23,628</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16,004</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5,179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35,161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0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0.33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0.76</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48,418</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44,623</w:t>
            </w:r>
          </w:p>
        </w:tc>
        <w:tc>
          <w:tcPr>
            <w:tcW w:w="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46,385</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0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49,017</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45,566</w:t>
            </w:r>
          </w:p>
        </w:tc>
        <w:tc>
          <w:tcPr>
            <w:tcW w:w="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47,076</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6640" w:type="dxa"/>
            <w:vAlign w:val="bottom"/>
            <w:gridSpan w:val="7"/>
          </w:tcPr>
          <w:p>
            <w:pPr>
              <w:jc w:val="center"/>
              <w:ind w:left="1970"/>
              <w:spacing w:after="0"/>
              <w:rPr>
                <w:sz w:val="20"/>
                <w:szCs w:val="20"/>
                <w:color w:val="auto"/>
              </w:rPr>
            </w:pPr>
            <w:r>
              <w:rPr>
                <w:rFonts w:ascii="Arial" w:cs="Arial" w:eastAsia="Arial" w:hAnsi="Arial"/>
                <w:sz w:val="18"/>
                <w:szCs w:val="18"/>
                <w:b w:val="1"/>
                <w:bCs w:val="1"/>
                <w:color w:val="auto"/>
              </w:rPr>
              <w:t>AMERICAN SUPERCONDUCTOR CORPORATION</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60" w:type="dxa"/>
            <w:vAlign w:val="bottom"/>
            <w:gridSpan w:val="10"/>
          </w:tcPr>
          <w:p>
            <w:pPr>
              <w:jc w:val="center"/>
              <w:ind w:left="170"/>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2009</w:t>
            </w: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16,004</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35,161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439"/>
        </w:trPr>
        <w:tc>
          <w:tcPr>
            <w:tcW w:w="4420" w:type="dxa"/>
            <w:vAlign w:val="bottom"/>
            <w:gridSpan w:val="3"/>
          </w:tcPr>
          <w:p>
            <w:pPr>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Foreign currency translation</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Unrealized (losses) gains on cash flow hedges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(1,243)</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Unrealized losses on investments</w:t>
            </w:r>
          </w:p>
        </w:tc>
        <w:tc>
          <w:tcPr>
            <w:tcW w:w="8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color w:val="auto"/>
              </w:rPr>
              <w:t>Total other comprehensive loss, net of tax</w:t>
            </w:r>
          </w:p>
        </w:tc>
        <w:tc>
          <w:tcPr>
            <w:tcW w:w="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34,267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CASH FLOWS (In thousands)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35,161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(used in) provided by operations: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7,972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11,269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Stock-based compensation expense—non-employee</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Allowance for doubtful accounts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non-cash items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Changes in operating asset and liability accounts: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9,616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6,442</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(16,336)</w:t>
            </w: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(30,624)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(71,744)</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Proceeds from the maturity of marketable securities</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47,151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 in restricted cash</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Purchase of intangible assets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Purchase of minority investment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Change in other assets</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(65,059)</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(36,284)</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Proceeds from follow-on public offering, net of costs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155,240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Proceeds from exercise of employee stock options and ESPP</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7,350</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162,590</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81,427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(30,291)</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87,594</w:t>
            </w: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169,021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40,383</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contingent consideration in connection with acquisitions</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13,660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issuance of common stock</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ectPr>
          <w:pgSz w:w="11900" w:h="16838" w:orient="portrait"/>
          <w:cols w:equalWidth="0" w:num="1">
            <w:col w:w="11420"/>
          </w:cols>
          <w:pgMar w:left="240" w:top="41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175"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color w:val="auto"/>
        </w:rPr>
        <w:t>American Superconductor Corporation (the “Company” or “AMSC”) was founded on April 9, 1987. The Company offers an array of proprietary technologies and solutions spanning the electric power infrastructure — from generation to delivery to end use. The Company is a leader in renewable energy, providing proven, megawatt-scale wind turbine designs and electrical control systems. The Company also offers a host of Smart Grid technologies for power grid operators that enhance the reliability, efficiency and capacity of the power grid, and seamlessly integrate renewable energy sources into the power infrastructure. These technologies include superconductor power cable systems, grid-level surge protectors and power electronics-based voltage stabilization systems. The Company operates in two business segments: AMSC Power Systems and AMSC Superconductors.</w:t>
      </w:r>
    </w:p>
    <w:p>
      <w:pPr>
        <w:spacing w:after="0" w:line="111" w:lineRule="exact"/>
        <w:rPr>
          <w:sz w:val="20"/>
          <w:szCs w:val="20"/>
          <w:color w:val="auto"/>
        </w:rPr>
      </w:pPr>
    </w:p>
    <w:p>
      <w:pPr>
        <w:jc w:val="both"/>
        <w:ind w:firstLine="591"/>
        <w:spacing w:after="0" w:line="270" w:lineRule="auto"/>
        <w:rPr>
          <w:sz w:val="20"/>
          <w:szCs w:val="20"/>
          <w:color w:val="auto"/>
        </w:rPr>
      </w:pPr>
      <w:r>
        <w:rPr>
          <w:rFonts w:ascii="Arial" w:cs="Arial" w:eastAsia="Arial" w:hAnsi="Arial"/>
          <w:sz w:val="17"/>
          <w:szCs w:val="17"/>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December 31, 2010 and 2009 and the financial position at December 31, 2010. The unaudited condensed consolidated financial statements include the accounts of the Company and its wholly-owned subsidiaries. All significant intercompany balances and transactions are eliminated in consolidation. Certain reclassifications of prior year amounts have been made to conform to current year presentation. These reclassifications had no effect on net income, cash flows or stockholders’ equity.</w:t>
      </w:r>
    </w:p>
    <w:p>
      <w:pPr>
        <w:spacing w:after="0" w:line="128" w:lineRule="exact"/>
        <w:rPr>
          <w:sz w:val="20"/>
          <w:szCs w:val="20"/>
          <w:color w:val="auto"/>
        </w:rPr>
      </w:pPr>
    </w:p>
    <w:p>
      <w:pPr>
        <w:jc w:val="both"/>
        <w:ind w:firstLine="630"/>
        <w:spacing w:after="0" w:line="286" w:lineRule="auto"/>
        <w:rPr>
          <w:sz w:val="20"/>
          <w:szCs w:val="20"/>
          <w:color w:val="auto"/>
        </w:rPr>
      </w:pPr>
      <w:r>
        <w:rPr>
          <w:rFonts w:ascii="Arial" w:cs="Arial" w:eastAsia="Arial" w:hAnsi="Arial"/>
          <w:sz w:val="17"/>
          <w:szCs w:val="17"/>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2010 (fiscal 2009) which are contained in the Company’s Annual Report on Form 10-K, filed with the SEC on May 27, 2010.</w:t>
      </w:r>
    </w:p>
    <w:p>
      <w:pPr>
        <w:spacing w:after="0" w:line="111" w:lineRule="exact"/>
        <w:rPr>
          <w:sz w:val="20"/>
          <w:szCs w:val="20"/>
          <w:color w:val="auto"/>
        </w:rPr>
      </w:pPr>
    </w:p>
    <w:p>
      <w:pPr>
        <w:ind w:right="740" w:firstLine="447"/>
        <w:spacing w:after="0" w:line="387" w:lineRule="auto"/>
        <w:rPr>
          <w:sz w:val="20"/>
          <w:szCs w:val="20"/>
          <w:color w:val="auto"/>
        </w:rPr>
      </w:pPr>
      <w:r>
        <w:rPr>
          <w:rFonts w:ascii="Arial" w:cs="Arial" w:eastAsia="Arial" w:hAnsi="Arial"/>
          <w:sz w:val="18"/>
          <w:szCs w:val="18"/>
          <w:color w:val="auto"/>
        </w:rPr>
        <w:t xml:space="preserve">The Company has performed an evaluation of subsequent events through the time of filing this Quarterly Report on Form 10-Q with the SEC. </w:t>
      </w:r>
      <w:r>
        <w:rPr>
          <w:rFonts w:ascii="Arial" w:cs="Arial" w:eastAsia="Arial" w:hAnsi="Arial"/>
          <w:sz w:val="18"/>
          <w:szCs w:val="18"/>
          <w:b w:val="1"/>
          <w:bCs w:val="1"/>
          <w:color w:val="auto"/>
        </w:rPr>
        <w:t>Recently Adopted Accounting Pronouncements</w:t>
      </w:r>
    </w:p>
    <w:p>
      <w:pPr>
        <w:spacing w:after="0" w:line="21" w:lineRule="exact"/>
        <w:rPr>
          <w:sz w:val="20"/>
          <w:szCs w:val="20"/>
          <w:color w:val="auto"/>
        </w:rPr>
      </w:pPr>
    </w:p>
    <w:p>
      <w:pPr>
        <w:jc w:val="both"/>
        <w:ind w:firstLine="746"/>
        <w:spacing w:after="0" w:line="254" w:lineRule="auto"/>
        <w:rPr>
          <w:sz w:val="20"/>
          <w:szCs w:val="20"/>
          <w:color w:val="auto"/>
        </w:rPr>
      </w:pPr>
      <w:r>
        <w:rPr>
          <w:rFonts w:ascii="Arial" w:cs="Arial" w:eastAsia="Arial" w:hAnsi="Arial"/>
          <w:sz w:val="18"/>
          <w:szCs w:val="18"/>
          <w:color w:val="auto"/>
        </w:rPr>
        <w:t xml:space="preserve">In October 2009, the Financial Accounting Standards Board (“FASB”) issued Accounting Standards Update (“ASU”) No. 2009-13, </w:t>
      </w:r>
      <w:r>
        <w:rPr>
          <w:rFonts w:ascii="Arial" w:cs="Arial" w:eastAsia="Arial" w:hAnsi="Arial"/>
          <w:sz w:val="18"/>
          <w:szCs w:val="18"/>
          <w:i w:val="1"/>
          <w:iCs w:val="1"/>
          <w:color w:val="auto"/>
        </w:rPr>
        <w:t xml:space="preserve">Multiple-Deliverable Revenue Arrangements, </w:t>
      </w:r>
      <w:r>
        <w:rPr>
          <w:rFonts w:ascii="Arial" w:cs="Arial" w:eastAsia="Arial" w:hAnsi="Arial"/>
          <w:sz w:val="18"/>
          <w:szCs w:val="18"/>
          <w:color w:val="auto"/>
        </w:rPr>
        <w:t>pertaining to the accounting for revenue arrangements with multiple deliverables. Specifically, the new standard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an entity to allocate consideration at the inception of an arrangement to all of its deliverables based on their relative selling prices. In the absence of the vendor-specific objective evidence or third-party evidence of the selling prices, consideration must be allocated to the deliverables based on management’s best estimate of the selling prices. In addition, the new standard eliminates the use of the residual method of allocation. This new accounting standard supersedes the prior multiple element revenue arrangement accounting rules that were previously used by the Company. The Company adopted this new accounting standard on April 1, 2010 using the prospective method and the adoption did not have a material impact on its condensed consolidated financial statements.</w:t>
      </w:r>
    </w:p>
    <w:p>
      <w:pPr>
        <w:spacing w:after="0" w:line="138"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color w:val="auto"/>
        </w:rPr>
        <w:t>For sales that involve the delivery of multiple elements, the Company allocates revenue to each undelivered element based on the element’s fair value as determined by VSOE, which is the price charged when that element is sold separately, or TPE. When VSOE and TPE are unavailable, fair value is based on the Company’s best estimate of selling price. When these estimates are used to determine fair value, management makes its estimates using reasonable and objective evidence to determine the price. The Company reviews VSOE and TPE at least annually. If the Company concludes that they are unable to establish fair values for one or more undelivered elements within a multiple-element arrangement using VSOE then it uses TPE or its best estimate of the selling price for that unit of accounting, being the price at which the vendor would transact if the unit of accounting were sold by the vendor regularly on a standalone basis.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jc w:val="both"/>
        <w:ind w:firstLine="447"/>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employee stock-based compensation expense by financial statement line item for the three and nine months ended December 31, 2010 and 2009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w w:val="89"/>
              </w:rPr>
              <w:t>2009</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1,277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1,867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1,499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2,295</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2,706</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8,125</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8,055</w:t>
            </w:r>
          </w:p>
        </w:tc>
      </w:tr>
      <w:tr>
        <w:trPr>
          <w:trHeight w:val="223"/>
        </w:trPr>
        <w:tc>
          <w:tcPr>
            <w:tcW w:w="6400" w:type="dxa"/>
            <w:vAlign w:val="bottom"/>
          </w:tcPr>
          <w:p>
            <w:pPr>
              <w:ind w:left="4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3,445</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3,522</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11,269</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10,440</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30"/>
        <w:spacing w:after="0" w:line="293" w:lineRule="auto"/>
        <w:rPr>
          <w:sz w:val="20"/>
          <w:szCs w:val="20"/>
          <w:color w:val="auto"/>
        </w:rPr>
      </w:pPr>
      <w:r>
        <w:rPr>
          <w:rFonts w:ascii="Arial" w:cs="Arial" w:eastAsia="Arial" w:hAnsi="Arial"/>
          <w:sz w:val="16"/>
          <w:szCs w:val="16"/>
          <w:color w:val="auto"/>
        </w:rPr>
        <w:t>During the nine months ended December 31, 2010, the Company granted approximately 229,000 shares and 347,000 shares of stock options and restricted stock, respectively, to employees under the 2007 Stock Incentive Plan. The restricted stock awards include approximately 86,500 shares of performance-based restricted stock, which will vest upon achievement of certain annual financial and operational performance measurements. The remaining shares granted vest upon the passage of time, generally pro rata over 3 years. For awards that vest upon the passage of time, expense is being recorded on a straight-line basis over the vesting period. At December 31, 2010, the Company determined that achievement of the performance measures is probable and as such, is recognizing the fair value of the performance-based awards over the estimated performance period of each award.</w:t>
      </w:r>
    </w:p>
    <w:p>
      <w:pPr>
        <w:spacing w:after="0" w:line="111" w:lineRule="exact"/>
        <w:rPr>
          <w:sz w:val="20"/>
          <w:szCs w:val="20"/>
          <w:color w:val="auto"/>
        </w:rPr>
      </w:pPr>
    </w:p>
    <w:p>
      <w:pPr>
        <w:jc w:val="both"/>
        <w:ind w:right="20" w:firstLine="618"/>
        <w:spacing w:after="0" w:line="277" w:lineRule="auto"/>
        <w:rPr>
          <w:sz w:val="20"/>
          <w:szCs w:val="20"/>
          <w:color w:val="auto"/>
        </w:rPr>
      </w:pPr>
      <w:r>
        <w:rPr>
          <w:rFonts w:ascii="Arial" w:cs="Arial" w:eastAsia="Arial" w:hAnsi="Arial"/>
          <w:sz w:val="18"/>
          <w:szCs w:val="18"/>
          <w:color w:val="auto"/>
        </w:rPr>
        <w:t>The total unrecognized compensation cost for unvested employee stock-based compensation awards outstanding, net of estimated forfeitures, was $20.0 million at December 31, 2010. This expense will be recognized over a weighted-average expense period of 2.0 years.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weighted-average assumptions used in the Black-Scholes valuation model for stock options granted during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2009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5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w w:val="98"/>
              </w:rPr>
              <w:t>Three months ended</w:t>
            </w:r>
          </w:p>
        </w:tc>
        <w:tc>
          <w:tcPr>
            <w:tcW w:w="460" w:type="dxa"/>
            <w:vAlign w:val="bottom"/>
          </w:tcPr>
          <w:p>
            <w:pPr>
              <w:spacing w:after="0"/>
              <w:rPr>
                <w:sz w:val="14"/>
                <w:szCs w:val="14"/>
                <w:color w:val="auto"/>
              </w:rPr>
            </w:pPr>
          </w:p>
        </w:tc>
        <w:tc>
          <w:tcPr>
            <w:tcW w:w="166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5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80" w:type="dxa"/>
            <w:vAlign w:val="bottom"/>
          </w:tcPr>
          <w:p>
            <w:pPr>
              <w:spacing w:after="0"/>
              <w:rPr>
                <w:sz w:val="12"/>
                <w:szCs w:val="12"/>
                <w:color w:val="auto"/>
              </w:rPr>
            </w:pPr>
          </w:p>
        </w:tc>
        <w:tc>
          <w:tcPr>
            <w:tcW w:w="64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9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6.1</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Dividend yield</w:t>
            </w:r>
          </w:p>
        </w:tc>
        <w:tc>
          <w:tcPr>
            <w:tcW w:w="640" w:type="dxa"/>
            <w:vAlign w:val="bottom"/>
          </w:tcPr>
          <w:p>
            <w:pPr>
              <w:jc w:val="right"/>
              <w:ind w:righ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20"/>
                <w:szCs w:val="20"/>
                <w:color w:val="auto"/>
              </w:rPr>
            </w:pPr>
          </w:p>
        </w:tc>
        <w:tc>
          <w:tcPr>
            <w:tcW w:w="640" w:type="dxa"/>
            <w:vAlign w:val="bottom"/>
          </w:tcPr>
          <w:p>
            <w:pPr>
              <w:jc w:val="right"/>
              <w:ind w:right="61"/>
              <w:spacing w:after="0"/>
              <w:rPr>
                <w:sz w:val="20"/>
                <w:szCs w:val="20"/>
                <w:color w:val="auto"/>
              </w:rPr>
            </w:pPr>
            <w:r>
              <w:rPr>
                <w:rFonts w:ascii="Arial" w:cs="Arial" w:eastAsia="Arial" w:hAnsi="Arial"/>
                <w:sz w:val="18"/>
                <w:szCs w:val="18"/>
                <w:color w:val="auto"/>
              </w:rPr>
              <w:t>None</w:t>
            </w:r>
          </w:p>
        </w:tc>
        <w:tc>
          <w:tcPr>
            <w:tcW w:w="460" w:type="dxa"/>
            <w:vAlign w:val="bottom"/>
          </w:tcPr>
          <w:p>
            <w:pPr>
              <w:spacing w:after="0"/>
              <w:rPr>
                <w:sz w:val="20"/>
                <w:szCs w:val="20"/>
                <w:color w:val="auto"/>
              </w:rPr>
            </w:pPr>
          </w:p>
        </w:tc>
        <w:tc>
          <w:tcPr>
            <w:tcW w:w="580" w:type="dxa"/>
            <w:vAlign w:val="bottom"/>
          </w:tcPr>
          <w:p>
            <w:pPr>
              <w:jc w:val="right"/>
              <w:ind w:right="27"/>
              <w:spacing w:after="0"/>
              <w:rPr>
                <w:sz w:val="20"/>
                <w:szCs w:val="20"/>
                <w:color w:val="auto"/>
              </w:rPr>
            </w:pPr>
            <w:r>
              <w:rPr>
                <w:rFonts w:ascii="Arial" w:cs="Arial" w:eastAsia="Arial" w:hAnsi="Arial"/>
                <w:sz w:val="18"/>
                <w:szCs w:val="18"/>
                <w:color w:val="auto"/>
              </w:rPr>
              <w:t>None</w:t>
            </w:r>
          </w:p>
        </w:tc>
        <w:tc>
          <w:tcPr>
            <w:tcW w:w="50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8"/>
                <w:szCs w:val="18"/>
                <w:color w:val="auto"/>
              </w:rPr>
              <w:t>None</w:t>
            </w:r>
          </w:p>
        </w:tc>
      </w:tr>
    </w:tbl>
    <w:p>
      <w:pPr>
        <w:spacing w:after="0" w:line="133" w:lineRule="exact"/>
        <w:rPr>
          <w:sz w:val="20"/>
          <w:szCs w:val="20"/>
          <w:color w:val="auto"/>
        </w:rPr>
      </w:pPr>
    </w:p>
    <w:p>
      <w:pPr>
        <w:jc w:val="both"/>
        <w:ind w:firstLine="669"/>
        <w:spacing w:after="0" w:line="271" w:lineRule="auto"/>
        <w:rPr>
          <w:sz w:val="20"/>
          <w:szCs w:val="20"/>
          <w:color w:val="auto"/>
        </w:rPr>
      </w:pPr>
      <w:r>
        <w:rPr>
          <w:rFonts w:ascii="Arial" w:cs="Arial" w:eastAsia="Arial" w:hAnsi="Arial"/>
          <w:sz w:val="17"/>
          <w:szCs w:val="17"/>
          <w:color w:val="auto"/>
        </w:rPr>
        <w:t>The expected volatility was estimated based on an equal weighting of the historical volatility of the Company’s common stock and the implied volatility of the Company’s traded options. The expected life was estimated based on an analysis of the Company’s historical experience of exercise, cancellation, and expiration patterns. The risk-free interest rate is based on the average of the five and seven year U.S. Treasury rates for the three and nine months ended December 31, 2010 and the five year U.S. Treasury rates for the three and nine months ended December 31, 2009. The stock-based compensation expense recognized in the unaudited condensed consolidated statements of income is based on awards that ultimately are expected to vest; therefore, the amount of expense has been reduced for estimated forfeitures. Forfeitures are estimated at the time of grant and revised, if necessary, in subsequent periods if actual forfeitures differ from those estimates. Forfeitures were estimated based on historical experience. This analysis is re-evaluated periodically and the forfeiture rate is adjusted as necessary.</w:t>
      </w:r>
    </w:p>
    <w:p>
      <w:pPr>
        <w:spacing w:after="0" w:line="12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Net Income per Common Share</w:t>
      </w:r>
    </w:p>
    <w:p>
      <w:pPr>
        <w:spacing w:after="0" w:line="175"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 for the period. Diluted EPS is computed by dividing the net earnings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and nine months ended December 31, 2010 and 2009, common equivalent shares of 0.6 million shares and 1.3 million shares, respectively, and 0.1 million shares and 0.9 million shares, respectively, were not included in the calculation of diluted EPS as they were considered anti-dilutive.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reconciles the numerators and denominators of the earnings per share calculation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2009 (in thousands, except per share data):</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2010</w:t>
            </w: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2009</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2010</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2009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16,004</w:t>
            </w:r>
          </w:p>
        </w:tc>
        <w:tc>
          <w:tcPr>
            <w:tcW w:w="6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5,179</w:t>
            </w:r>
          </w:p>
        </w:tc>
        <w:tc>
          <w:tcPr>
            <w:tcW w:w="6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35,161</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11,311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200"/>
              <w:spacing w:after="0"/>
              <w:rPr>
                <w:sz w:val="20"/>
                <w:szCs w:val="20"/>
                <w:color w:val="auto"/>
              </w:rPr>
            </w:pPr>
            <w:r>
              <w:rPr>
                <w:rFonts w:ascii="Arial" w:cs="Arial" w:eastAsia="Arial" w:hAnsi="Arial"/>
                <w:sz w:val="16"/>
                <w:szCs w:val="16"/>
                <w:color w:val="auto"/>
              </w:rPr>
              <w:t>Weighted-average shares of common stock outstanding</w:t>
            </w:r>
          </w:p>
        </w:tc>
        <w:tc>
          <w:tcPr>
            <w:tcW w:w="3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48,666</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44,665</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46,624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44,276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Weighted-average shares subject to repurchase</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3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3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406"/>
        </w:trPr>
        <w:tc>
          <w:tcPr>
            <w:tcW w:w="5960" w:type="dxa"/>
            <w:vAlign w:val="bottom"/>
            <w:gridSpan w:val="2"/>
          </w:tcPr>
          <w:p>
            <w:pPr>
              <w:spacing w:after="0"/>
              <w:rPr>
                <w:sz w:val="20"/>
                <w:szCs w:val="20"/>
                <w:color w:val="auto"/>
              </w:rPr>
            </w:pPr>
            <w:r>
              <w:rPr>
                <w:rFonts w:ascii="Arial" w:cs="Arial" w:eastAsia="Arial" w:hAnsi="Arial"/>
                <w:sz w:val="16"/>
                <w:szCs w:val="16"/>
                <w:color w:val="auto"/>
              </w:rPr>
              <w:t>Shares used in per-share calculation — basic</w:t>
            </w:r>
          </w:p>
        </w:tc>
        <w:tc>
          <w:tcPr>
            <w:tcW w:w="30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48,418</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44,623</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46,385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44,222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Dilutive effect of employee equity incentive plans</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3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c>
          <w:tcPr>
            <w:tcW w:w="3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691</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409"/>
        </w:trPr>
        <w:tc>
          <w:tcPr>
            <w:tcW w:w="5960" w:type="dxa"/>
            <w:vAlign w:val="bottom"/>
            <w:gridSpan w:val="2"/>
          </w:tcPr>
          <w:p>
            <w:pPr>
              <w:spacing w:after="0"/>
              <w:rPr>
                <w:sz w:val="20"/>
                <w:szCs w:val="20"/>
                <w:color w:val="auto"/>
              </w:rPr>
            </w:pPr>
            <w:r>
              <w:rPr>
                <w:rFonts w:ascii="Arial" w:cs="Arial" w:eastAsia="Arial" w:hAnsi="Arial"/>
                <w:sz w:val="16"/>
                <w:szCs w:val="16"/>
                <w:color w:val="auto"/>
              </w:rPr>
              <w:t>Shares used in per-share calculation — diluted</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49,017</w:t>
            </w: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45,566</w:t>
            </w:r>
          </w:p>
        </w:tc>
        <w:tc>
          <w:tcPr>
            <w:tcW w:w="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47,076</w:t>
            </w: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45,072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share — basic</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3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3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0.76</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960" w:type="dxa"/>
            <w:vAlign w:val="bottom"/>
            <w:gridSpan w:val="2"/>
          </w:tcPr>
          <w:p>
            <w:pPr>
              <w:spacing w:after="0"/>
              <w:rPr>
                <w:sz w:val="20"/>
                <w:szCs w:val="20"/>
                <w:color w:val="auto"/>
              </w:rPr>
            </w:pPr>
            <w:r>
              <w:rPr>
                <w:rFonts w:ascii="Arial" w:cs="Arial" w:eastAsia="Arial" w:hAnsi="Arial"/>
                <w:sz w:val="16"/>
                <w:szCs w:val="16"/>
                <w:color w:val="auto"/>
              </w:rPr>
              <w:t>Net income per share — diluted</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6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6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0.75</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 regarding fair value measurements. Fair value is defined as the price that would be received for an asset or the exit price that would be paid to transfer a liability in the principal or most advantageous market in an orderly transaction between market participants on the measurement date. The accounting standard established a fair value hierarchy which requires an entity to maximize the use of observable inputs, where available. This hierarchy prioritizes the inputs into three broad levels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Hierarchy</w:t>
      </w:r>
    </w:p>
    <w:p>
      <w:pPr>
        <w:spacing w:after="0" w:line="221" w:lineRule="exact"/>
        <w:rPr>
          <w:sz w:val="20"/>
          <w:szCs w:val="20"/>
          <w:color w:val="auto"/>
        </w:rPr>
      </w:pPr>
    </w:p>
    <w:p>
      <w:pPr>
        <w:jc w:val="both"/>
        <w:ind w:left="1620" w:right="800" w:hanging="809"/>
        <w:spacing w:after="0" w:line="282"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Inputs are unadjusted quoted prices in active markets for identical assets or liabilities that the Company has the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access at the measurement date.</w:t>
      </w:r>
    </w:p>
    <w:p>
      <w:pPr>
        <w:spacing w:after="0" w:line="67" w:lineRule="exact"/>
        <w:rPr>
          <w:sz w:val="20"/>
          <w:szCs w:val="20"/>
          <w:color w:val="auto"/>
        </w:rPr>
      </w:pPr>
    </w:p>
    <w:p>
      <w:pPr>
        <w:jc w:val="both"/>
        <w:ind w:left="1620" w:right="800" w:hanging="809"/>
        <w:spacing w:after="0" w:line="261"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Inputs include quoted prices for similar assets and liabilities in active markets, quoted prices for identical or similar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86" w:lineRule="exact"/>
        <w:rPr>
          <w:sz w:val="20"/>
          <w:szCs w:val="20"/>
          <w:color w:val="auto"/>
        </w:rPr>
      </w:pPr>
    </w:p>
    <w:p>
      <w:pPr>
        <w:jc w:val="both"/>
        <w:ind w:left="1620" w:right="820" w:hanging="809"/>
        <w:spacing w:after="0" w:line="313" w:lineRule="auto"/>
        <w:rPr>
          <w:sz w:val="20"/>
          <w:szCs w:val="20"/>
          <w:color w:val="auto"/>
        </w:rPr>
      </w:pPr>
      <w:r>
        <w:rPr>
          <w:rFonts w:ascii="Arial" w:cs="Arial" w:eastAsia="Arial" w:hAnsi="Arial"/>
          <w:sz w:val="17"/>
          <w:szCs w:val="17"/>
          <w:b w:val="1"/>
          <w:bCs w:val="1"/>
          <w:color w:val="auto"/>
        </w:rPr>
        <w:t xml:space="preserve">Level 3 - </w:t>
      </w:r>
      <w:r>
        <w:rPr>
          <w:rFonts w:ascii="Arial" w:cs="Arial" w:eastAsia="Arial" w:hAnsi="Arial"/>
          <w:sz w:val="17"/>
          <w:szCs w:val="17"/>
          <w:color w:val="auto"/>
        </w:rPr>
        <w:t>Unobservable inputs that reflect the Company’s assumptions that market participants would use in pricing the asset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The Company develops these inputs based on the best information available, including its own data.</w:t>
      </w:r>
    </w:p>
    <w:p>
      <w:pPr>
        <w:spacing w:after="0" w:line="88" w:lineRule="exact"/>
        <w:rPr>
          <w:sz w:val="20"/>
          <w:szCs w:val="20"/>
          <w:color w:val="auto"/>
        </w:rPr>
      </w:pPr>
    </w:p>
    <w:p>
      <w:pPr>
        <w:ind w:firstLine="587"/>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carried at fair value, measured as of December 31, 2010 and March 31, 2010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Total</w:t>
            </w:r>
          </w:p>
        </w:tc>
        <w:tc>
          <w:tcPr>
            <w:tcW w:w="1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1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Using Significant Other</w:t>
            </w: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Using 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137,445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137,445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73,910</w:t>
            </w:r>
          </w:p>
        </w:tc>
        <w:tc>
          <w:tcPr>
            <w:tcW w:w="240" w:type="dxa"/>
            <w:vAlign w:val="bottom"/>
          </w:tcPr>
          <w:p>
            <w:pPr>
              <w:spacing w:after="0"/>
              <w:rPr>
                <w:sz w:val="18"/>
                <w:szCs w:val="18"/>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73,910</w:t>
            </w:r>
          </w:p>
        </w:tc>
        <w:tc>
          <w:tcPr>
            <w:tcW w:w="30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12,161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12,161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2,335</w:t>
            </w:r>
          </w:p>
        </w:tc>
        <w:tc>
          <w:tcPr>
            <w:tcW w:w="240" w:type="dxa"/>
            <w:vAlign w:val="bottom"/>
          </w:tcPr>
          <w:p>
            <w:pPr>
              <w:spacing w:after="0"/>
              <w:rPr>
                <w:sz w:val="20"/>
                <w:szCs w:val="20"/>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2,335</w:t>
            </w:r>
          </w:p>
        </w:tc>
        <w:tc>
          <w:tcPr>
            <w:tcW w:w="300" w:type="dxa"/>
            <w:vAlign w:val="bottom"/>
          </w:tcPr>
          <w:p>
            <w:pPr>
              <w:spacing w:after="0"/>
              <w:rPr>
                <w:sz w:val="20"/>
                <w:szCs w:val="20"/>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Derivatives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534</w:t>
            </w:r>
          </w:p>
        </w:tc>
        <w:tc>
          <w:tcPr>
            <w:tcW w:w="3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Total</w:t>
            </w:r>
          </w:p>
        </w:tc>
        <w:tc>
          <w:tcPr>
            <w:tcW w:w="1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1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Using Significant Other</w:t>
            </w: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Using 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29,054</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54,469</w:t>
            </w:r>
          </w:p>
        </w:tc>
        <w:tc>
          <w:tcPr>
            <w:tcW w:w="240" w:type="dxa"/>
            <w:vAlign w:val="bottom"/>
          </w:tcPr>
          <w:p>
            <w:pPr>
              <w:spacing w:after="0"/>
              <w:rPr>
                <w:sz w:val="18"/>
                <w:szCs w:val="18"/>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54,469</w:t>
            </w:r>
          </w:p>
        </w:tc>
        <w:tc>
          <w:tcPr>
            <w:tcW w:w="30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0"/>
                <w:szCs w:val="20"/>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20"/>
                <w:szCs w:val="20"/>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85" w:lineRule="exact"/>
        <w:rPr>
          <w:sz w:val="20"/>
          <w:szCs w:val="20"/>
          <w:color w:val="auto"/>
        </w:rPr>
      </w:pPr>
    </w:p>
    <w:p>
      <w:pPr>
        <w:jc w:val="both"/>
        <w:ind w:firstLine="479"/>
        <w:spacing w:after="0" w:line="264"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money market accounts and corporate debt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Long-term and short-term marketable securities consist primarily of government-backed securities and sovereign debt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Short-term marketable securities have maturities of greater than three months from original purchase date but less than twelve months from the date of the balance sheet.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7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derivatives entered into by the Company are valued using over-the-counter quoted market prices for similar instruments, and are classified within Level 2 of the valuation hierarchy.</w:t>
      </w:r>
    </w:p>
    <w:p>
      <w:pPr>
        <w:spacing w:after="0" w:line="19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4"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The Company’s foreign currency risk management strategy is principally designed to mitigate the potential financial impact of changes in the value of transactions and balances denominated in foreign currency resulting from changes in foreign currency exchange rates. The Company’s foreign currency hedging program uses both forward contracts and currency options to manage the foreign currency exposures that exist as part of its ongoing business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Company hedges a portion of its intercompany sales of inventory over a maximum period of 15 months using forward foreign exchange contracts accounted for as cash flow hedges to mitigate the impact of volatility associated with foreign currency transactions.</w:t>
      </w:r>
    </w:p>
    <w:p>
      <w:pPr>
        <w:spacing w:after="0" w:line="35"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To the extent that a previously forecasted transaction is no longer an effective hedge, any ineffectiveness measured in the hedging relationship is recorded in earnings in the period it occurs. The Company does not enter into derivative instruments for trading or speculative purposes. Realized gains and losses resulting from these cash flow hedges offset the foreign exchange gains and losses on the underlying transactions being hedged. Gains and losses on derivatives not designated for hedge accounting or representing either hedge ineffectiveness or hedge components excluded from the assessment of effectiveness are recognized in other income (expense), net.</w:t>
      </w:r>
    </w:p>
    <w:p>
      <w:pPr>
        <w:spacing w:after="0" w:line="44" w:lineRule="exact"/>
        <w:rPr>
          <w:sz w:val="20"/>
          <w:szCs w:val="20"/>
          <w:color w:val="auto"/>
        </w:rPr>
      </w:pPr>
    </w:p>
    <w:p>
      <w:pPr>
        <w:jc w:val="both"/>
        <w:ind w:firstLine="654"/>
        <w:spacing w:after="0" w:line="257" w:lineRule="auto"/>
        <w:rPr>
          <w:sz w:val="20"/>
          <w:szCs w:val="20"/>
          <w:color w:val="auto"/>
        </w:rPr>
      </w:pPr>
      <w:r>
        <w:rPr>
          <w:rFonts w:ascii="Arial" w:cs="Arial" w:eastAsia="Arial" w:hAnsi="Arial"/>
          <w:sz w:val="18"/>
          <w:szCs w:val="18"/>
          <w:color w:val="auto"/>
        </w:rPr>
        <w:t>At December 31, 2010, the Company had forward contracts outstanding to hedge cash flow exposure at the Company’s wholly-owned Austrian subsidiary, AMSC Windtec GmbH (“AMSC Windtec”), with aggregate USD equivalent notional amounts of $28.9 million. These contracts will expire at various dates through December 2011. The net gain or loss from these cash flow hedges reported in accumulated other comprehensive income will be reclassified to earnings and recorded in cost of revenues in our condensed consolidated statement of income when the related inventory is sold to third-party customers.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Hedges</w:t>
      </w:r>
    </w:p>
    <w:p>
      <w:pPr>
        <w:spacing w:after="0" w:line="90" w:lineRule="exact"/>
        <w:rPr>
          <w:sz w:val="20"/>
          <w:szCs w:val="20"/>
          <w:color w:val="auto"/>
        </w:rPr>
      </w:pPr>
    </w:p>
    <w:p>
      <w:pPr>
        <w:jc w:val="both"/>
        <w:ind w:firstLine="492"/>
        <w:spacing w:after="0" w:line="257" w:lineRule="auto"/>
        <w:rPr>
          <w:sz w:val="20"/>
          <w:szCs w:val="20"/>
          <w:color w:val="auto"/>
        </w:rPr>
      </w:pPr>
      <w:r>
        <w:rPr>
          <w:rFonts w:ascii="Arial" w:cs="Arial" w:eastAsia="Arial" w:hAnsi="Arial"/>
          <w:sz w:val="18"/>
          <w:szCs w:val="18"/>
          <w:color w:val="auto"/>
        </w:rPr>
        <w:t>In addition to cash flow hedges, the Company also enters into foreign currency forward exchange contracts to mitigate the impact of foreign exchange risk related to certain non-functional currency receivable balances in its foreign entities. The Company does not elect hedge accounting treatment for these hedges, consequently, changes in the fair value of these contracts are recorded within other income (expense), net, in the period which they occur. At December 31, 2010, the Company had forward contracts outstanding with aggregate USD equivalent notional amounts of $87.5 million. These contracts will expire at various dates through February 2011.</w:t>
      </w:r>
    </w:p>
    <w:p>
      <w:pPr>
        <w:spacing w:after="0" w:line="8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fair value amounts of asset derivatives included in prepaid expenses and other current assets and liability derivatives included in accounts payable and accrued expenses in the condensed consolidated balance sheets related to forward foreign exchange contracts as of December 31, 2010 and March 31, 2010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Asset derivatives</w:t>
            </w:r>
          </w:p>
        </w:tc>
        <w:tc>
          <w:tcPr>
            <w:tcW w:w="7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Liability derivatives</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740" w:type="dxa"/>
            <w:vAlign w:val="bottom"/>
          </w:tcPr>
          <w:p>
            <w:pPr>
              <w:jc w:val="center"/>
              <w:ind w:right="179"/>
              <w:spacing w:after="0" w:line="129" w:lineRule="exact"/>
              <w:rPr>
                <w:sz w:val="20"/>
                <w:szCs w:val="20"/>
                <w:color w:val="auto"/>
              </w:rPr>
            </w:pPr>
            <w:r>
              <w:rPr>
                <w:rFonts w:ascii="Arial" w:cs="Arial" w:eastAsia="Arial" w:hAnsi="Arial"/>
                <w:sz w:val="14"/>
                <w:szCs w:val="14"/>
                <w:b w:val="1"/>
                <w:bCs w:val="1"/>
                <w:color w:val="auto"/>
                <w:w w:val="96"/>
              </w:rPr>
              <w:t>March</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01"/>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79"/>
              <w:spacing w:after="0"/>
              <w:rPr>
                <w:sz w:val="20"/>
                <w:szCs w:val="20"/>
                <w:color w:val="auto"/>
              </w:rPr>
            </w:pPr>
            <w:r>
              <w:rPr>
                <w:rFonts w:ascii="Arial" w:cs="Arial" w:eastAsia="Arial" w:hAnsi="Arial"/>
                <w:sz w:val="14"/>
                <w:szCs w:val="14"/>
                <w:b w:val="1"/>
                <w:bCs w:val="1"/>
                <w:color w:val="auto"/>
                <w:w w:val="84"/>
              </w:rPr>
              <w:t>31, 2010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01"/>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Derivatives designated as cash flow hedges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Derivatives not designated as cash flow hedges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48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the following pre-tax gains (losses) in other comprehensive income related to forward foreign exchange contracts designated as cash flow hedges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December</w:t>
            </w:r>
          </w:p>
        </w:tc>
        <w:tc>
          <w:tcPr>
            <w:tcW w:w="100" w:type="dxa"/>
            <w:vAlign w:val="bottom"/>
          </w:tcPr>
          <w:p>
            <w:pPr>
              <w:spacing w:after="0"/>
              <w:rPr>
                <w:sz w:val="11"/>
                <w:szCs w:val="11"/>
                <w:color w:val="auto"/>
              </w:rPr>
            </w:pPr>
          </w:p>
        </w:tc>
        <w:tc>
          <w:tcPr>
            <w:tcW w:w="920" w:type="dxa"/>
            <w:vAlign w:val="bottom"/>
          </w:tcPr>
          <w:p>
            <w:pPr>
              <w:jc w:val="center"/>
              <w:ind w:right="25"/>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December</w:t>
            </w:r>
          </w:p>
        </w:tc>
        <w:tc>
          <w:tcPr>
            <w:tcW w:w="120" w:type="dxa"/>
            <w:vAlign w:val="bottom"/>
          </w:tcPr>
          <w:p>
            <w:pPr>
              <w:spacing w:after="0"/>
              <w:rPr>
                <w:sz w:val="11"/>
                <w:szCs w:val="11"/>
                <w:color w:val="auto"/>
              </w:rPr>
            </w:pPr>
          </w:p>
        </w:tc>
        <w:tc>
          <w:tcPr>
            <w:tcW w:w="780" w:type="dxa"/>
            <w:vAlign w:val="bottom"/>
          </w:tcPr>
          <w:p>
            <w:pPr>
              <w:jc w:val="center"/>
              <w:ind w:right="45"/>
              <w:spacing w:after="0" w:line="129" w:lineRule="exact"/>
              <w:rPr>
                <w:sz w:val="20"/>
                <w:szCs w:val="20"/>
                <w:color w:val="auto"/>
              </w:rPr>
            </w:pPr>
            <w:r>
              <w:rPr>
                <w:rFonts w:ascii="Arial" w:cs="Arial" w:eastAsia="Arial" w:hAnsi="Arial"/>
                <w:sz w:val="14"/>
                <w:szCs w:val="14"/>
                <w:b w:val="1"/>
                <w:bCs w:val="1"/>
                <w:color w:val="auto"/>
                <w:w w:val="85"/>
              </w:rPr>
              <w:t>December</w:t>
            </w:r>
          </w:p>
        </w:tc>
      </w:tr>
      <w:tr>
        <w:trPr>
          <w:trHeight w:val="161"/>
        </w:trPr>
        <w:tc>
          <w:tcPr>
            <w:tcW w:w="20" w:type="dxa"/>
            <w:vAlign w:val="bottom"/>
          </w:tcPr>
          <w:p>
            <w:pPr>
              <w:spacing w:after="0"/>
              <w:rPr>
                <w:sz w:val="14"/>
                <w:szCs w:val="14"/>
                <w:color w:val="auto"/>
              </w:rPr>
            </w:pPr>
          </w:p>
        </w:tc>
        <w:tc>
          <w:tcPr>
            <w:tcW w:w="5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31, 2010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31, 2010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w w:val="99"/>
              </w:rPr>
              <w:t>31, 2009</w:t>
            </w:r>
          </w:p>
        </w:tc>
      </w:tr>
      <w:tr>
        <w:trPr>
          <w:trHeight w:val="224"/>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Gains (losses) recognized in other comprehensive income</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(1,658)</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recognized the following pre-tax gains (losses) related to forward foreign exchange contracts in the condensed consolidated statements of income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30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91"/>
              </w:rPr>
              <w:t>December</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December</w:t>
            </w: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5"/>
              </w:rPr>
              <w:t>December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31, 2010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31, 2010</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9"/>
              </w:rPr>
              <w:t>31, 2009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(losses) recognized in other income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2,552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Gains (losses) recognized in cost of revenues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w w:val="84"/>
              </w:rPr>
              <w:t>1,418</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3,970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9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 (in thousands):</w:t>
      </w: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16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2010</w:t>
            </w: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114,482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48,517</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34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9,422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10,305</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23"/>
        </w:trPr>
        <w:tc>
          <w:tcPr>
            <w:tcW w:w="20" w:type="dxa"/>
            <w:vAlign w:val="bottom"/>
          </w:tcPr>
          <w:p>
            <w:pPr>
              <w:spacing w:after="0"/>
              <w:rPr>
                <w:sz w:val="19"/>
                <w:szCs w:val="19"/>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121,376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57,290</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611"/>
        <w:spacing w:after="0" w:line="308" w:lineRule="auto"/>
        <w:rPr>
          <w:sz w:val="20"/>
          <w:szCs w:val="20"/>
          <w:color w:val="auto"/>
        </w:rPr>
      </w:pPr>
      <w:r>
        <w:rPr>
          <w:rFonts w:ascii="Arial" w:cs="Arial" w:eastAsia="Arial" w:hAnsi="Arial"/>
          <w:sz w:val="17"/>
          <w:szCs w:val="17"/>
          <w:color w:val="auto"/>
        </w:rPr>
        <w:t>The Company also recorded net long-term accounts receivable of $19.2 million and $14.1 million as of December 31, 2010 and March 31, 2010, respectively, which are also classified within other assets and as long-term deferred revenue on the condensed consolidated balance sheet.</w:t>
      </w:r>
    </w:p>
    <w:p>
      <w:pPr>
        <w:spacing w:after="0" w:line="14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inventory are as follows (in thousands):</w:t>
      </w: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2010</w:t>
            </w: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21,778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18,065</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4,846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7,318</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7,879</w:t>
            </w: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program costs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2,596</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inventory</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40,841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35,858</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Finished goods inventory as of December 31, 2010 includes $1.0 million of costs of product shipped to customers on contracts for which revenue was deferred until final customer acceptance.</w:t>
      </w:r>
    </w:p>
    <w:p>
      <w:pPr>
        <w:spacing w:after="0" w:line="116"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18"/>
          <w:szCs w:val="18"/>
          <w:color w:val="auto"/>
        </w:rPr>
        <w:t>Deferred program costs as of December 31, 2010 and March 31, 2010 primarily represent costs incurred on wind turbine development programs accounted for under contract accounting where the Company needs to achieve certain milestones or complete development programs before revenue and costs will be recognized.</w:t>
      </w:r>
    </w:p>
    <w:p>
      <w:pPr>
        <w:spacing w:after="0" w:line="28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94" w:lineRule="exact"/>
        <w:rPr>
          <w:sz w:val="20"/>
          <w:szCs w:val="20"/>
          <w:color w:val="auto"/>
        </w:rPr>
      </w:pPr>
    </w:p>
    <w:p>
      <w:pPr>
        <w:ind w:firstLine="577"/>
        <w:spacing w:after="0" w:line="277" w:lineRule="auto"/>
        <w:rPr>
          <w:sz w:val="20"/>
          <w:szCs w:val="20"/>
          <w:color w:val="auto"/>
        </w:rPr>
      </w:pPr>
      <w:r>
        <w:rPr>
          <w:rFonts w:ascii="Arial" w:cs="Arial" w:eastAsia="Arial" w:hAnsi="Arial"/>
          <w:sz w:val="18"/>
          <w:szCs w:val="18"/>
          <w:color w:val="auto"/>
        </w:rPr>
        <w:t>The Company generally provides a one to two year warranty on its products, commencing upon installation. A provision is recorded upon revenue recognition to cost of revenues for estimated warranty expense based on historical experience.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activity was as follows (in thousands):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14"/>
                <w:szCs w:val="14"/>
                <w:color w:val="auto"/>
              </w:rPr>
            </w:pPr>
          </w:p>
        </w:tc>
        <w:tc>
          <w:tcPr>
            <w:tcW w:w="1780" w:type="dxa"/>
            <w:vAlign w:val="bottom"/>
            <w:gridSpan w:val="3"/>
          </w:tcPr>
          <w:p>
            <w:pPr>
              <w:jc w:val="center"/>
              <w:ind w:left="587"/>
              <w:spacing w:after="0"/>
              <w:rPr>
                <w:sz w:val="20"/>
                <w:szCs w:val="20"/>
                <w:color w:val="auto"/>
              </w:rPr>
            </w:pPr>
            <w:r>
              <w:rPr>
                <w:rFonts w:ascii="Arial" w:cs="Arial" w:eastAsia="Arial" w:hAnsi="Arial"/>
                <w:sz w:val="14"/>
                <w:szCs w:val="14"/>
                <w:b w:val="1"/>
                <w:bCs w:val="1"/>
                <w:color w:val="auto"/>
                <w:w w:val="86"/>
              </w:rPr>
              <w:t>Nine months ended</w:t>
            </w:r>
          </w:p>
        </w:tc>
        <w:tc>
          <w:tcPr>
            <w:tcW w:w="6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700"/>
              <w:spacing w:after="0"/>
              <w:rPr>
                <w:sz w:val="20"/>
                <w:szCs w:val="20"/>
                <w:color w:val="auto"/>
              </w:rPr>
            </w:pPr>
            <w:r>
              <w:rPr>
                <w:rFonts w:ascii="Arial" w:cs="Arial" w:eastAsia="Arial" w:hAnsi="Arial"/>
                <w:sz w:val="14"/>
                <w:szCs w:val="14"/>
                <w:b w:val="1"/>
                <w:bCs w:val="1"/>
                <w:color w:val="auto"/>
                <w:w w:val="85"/>
              </w:rPr>
              <w:t>December 31,</w:t>
            </w: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Borders>
              <w:bottom w:val="single" w:sz="8" w:color="auto"/>
            </w:tcBorders>
            <w:gridSpan w:val="3"/>
          </w:tcPr>
          <w:p>
            <w:pPr>
              <w:jc w:val="center"/>
              <w:ind w:left="587"/>
              <w:spacing w:after="0"/>
              <w:rPr>
                <w:sz w:val="20"/>
                <w:szCs w:val="20"/>
                <w:color w:val="auto"/>
              </w:rPr>
            </w:pPr>
            <w:r>
              <w:rPr>
                <w:rFonts w:ascii="Arial" w:cs="Arial" w:eastAsia="Arial" w:hAnsi="Arial"/>
                <w:sz w:val="14"/>
                <w:szCs w:val="14"/>
                <w:b w:val="1"/>
                <w:bCs w:val="1"/>
                <w:color w:val="auto"/>
                <w:w w:val="87"/>
              </w:rPr>
              <w:t>December 31,</w:t>
            </w:r>
          </w:p>
        </w:tc>
        <w:tc>
          <w:tcPr>
            <w:tcW w:w="660" w:type="dxa"/>
            <w:vAlign w:val="bottom"/>
            <w:tcBorders>
              <w:bottom w:val="single" w:sz="8" w:color="auto"/>
            </w:tcBorders>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3"/>
              </w:rPr>
              <w:t>2009</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$7,374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$5,497</w:t>
            </w:r>
          </w:p>
        </w:tc>
        <w:tc>
          <w:tcPr>
            <w:tcW w:w="1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$6,431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2,193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2,238</w:t>
            </w:r>
          </w:p>
        </w:tc>
        <w:tc>
          <w:tcPr>
            <w:tcW w:w="1400" w:type="dxa"/>
            <w:vAlign w:val="bottom"/>
            <w:gridSpan w:val="2"/>
          </w:tcPr>
          <w:p>
            <w:pPr>
              <w:jc w:val="right"/>
              <w:ind w:right="47"/>
              <w:spacing w:after="0"/>
              <w:rPr>
                <w:sz w:val="20"/>
                <w:szCs w:val="20"/>
                <w:color w:val="auto"/>
              </w:rPr>
            </w:pPr>
            <w:r>
              <w:rPr>
                <w:rFonts w:ascii="Arial" w:cs="Arial" w:eastAsia="Arial" w:hAnsi="Arial"/>
                <w:sz w:val="18"/>
                <w:szCs w:val="18"/>
                <w:color w:val="auto"/>
              </w:rPr>
              <w:t>6,533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4,955</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adjustments during the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$8,448</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$6,032</w:t>
            </w:r>
          </w:p>
        </w:tc>
        <w:tc>
          <w:tcPr>
            <w:tcW w:w="3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8"/>
                <w:szCs w:val="18"/>
                <w:color w:val="auto"/>
              </w:rPr>
              <w:t>$8,448</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31"/>
        <w:spacing w:after="0" w:line="279" w:lineRule="auto"/>
        <w:rPr>
          <w:sz w:val="20"/>
          <w:szCs w:val="20"/>
          <w:color w:val="auto"/>
        </w:rPr>
      </w:pPr>
      <w:r>
        <w:rPr>
          <w:rFonts w:ascii="Arial" w:cs="Arial" w:eastAsia="Arial" w:hAnsi="Arial"/>
          <w:sz w:val="17"/>
          <w:szCs w:val="17"/>
          <w:color w:val="auto"/>
        </w:rPr>
        <w:t>The Company recorded income tax expense of $7.8 million and $23.6 million for the three and nine months ended December 31, 2010, respectively, and $5.6 million and $13.8 million for the three and nine months ended December 31, 2009, respectively, related primarily to income generated in foreign jurisdictions. The Company has provided a valuation allowance against all deferred tax assets in the U.S. as it is more likely than not that its U.S. deferred tax assets are not currently realizable due to the net operating losses incurred by the Company in the U.S. since its inception.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Commitments and Contingencies</w:t>
      </w:r>
    </w:p>
    <w:p>
      <w:pPr>
        <w:spacing w:after="0" w:line="148" w:lineRule="exact"/>
        <w:rPr>
          <w:sz w:val="20"/>
          <w:szCs w:val="20"/>
          <w:color w:val="auto"/>
        </w:rPr>
      </w:pPr>
    </w:p>
    <w:p>
      <w:pPr>
        <w:jc w:val="both"/>
        <w:ind w:firstLine="563"/>
        <w:spacing w:after="0" w:line="302" w:lineRule="auto"/>
        <w:rPr>
          <w:sz w:val="20"/>
          <w:szCs w:val="20"/>
          <w:color w:val="auto"/>
        </w:rPr>
      </w:pPr>
      <w:r>
        <w:rPr>
          <w:rFonts w:ascii="Arial" w:cs="Arial" w:eastAsia="Arial" w:hAnsi="Arial"/>
          <w:sz w:val="16"/>
          <w:szCs w:val="16"/>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00" w:lineRule="exact"/>
        <w:rPr>
          <w:sz w:val="20"/>
          <w:szCs w:val="20"/>
          <w:color w:val="auto"/>
        </w:rPr>
      </w:pPr>
    </w:p>
    <w:p>
      <w:pPr>
        <w:jc w:val="both"/>
        <w:ind w:firstLine="519"/>
        <w:spacing w:after="0" w:line="302" w:lineRule="auto"/>
        <w:rPr>
          <w:sz w:val="20"/>
          <w:szCs w:val="20"/>
          <w:color w:val="auto"/>
        </w:rPr>
      </w:pPr>
      <w:r>
        <w:rPr>
          <w:rFonts w:ascii="Arial" w:cs="Arial" w:eastAsia="Arial" w:hAnsi="Arial"/>
          <w:sz w:val="16"/>
          <w:szCs w:val="16"/>
          <w:color w:val="auto"/>
        </w:rPr>
        <w:t>As of December 31, 2010, the Company had five performance bonds on behalf of AMSC Windtec and its wholly-owned Chinese subsidiary, Suzhou AMSC Superconductor Co. Ltd (“AMSC China”), in support of customer contracts to guarantee supply of core components and software. The total value of the outstanding performance bonds is $1.2 million and they expire between November 30, 2011 and March 31, 2014. In the event that the payment is made in accordance with the requirements of any of these performance bonds, the Company would record the payment as an offset to revenue.</w:t>
      </w:r>
    </w:p>
    <w:p>
      <w:pPr>
        <w:spacing w:after="0" w:line="100" w:lineRule="exact"/>
        <w:rPr>
          <w:sz w:val="20"/>
          <w:szCs w:val="20"/>
          <w:color w:val="auto"/>
        </w:rPr>
      </w:pPr>
    </w:p>
    <w:p>
      <w:pPr>
        <w:jc w:val="both"/>
        <w:ind w:firstLine="481"/>
        <w:spacing w:after="0" w:line="264" w:lineRule="auto"/>
        <w:rPr>
          <w:sz w:val="20"/>
          <w:szCs w:val="20"/>
          <w:color w:val="auto"/>
        </w:rPr>
      </w:pPr>
      <w:r>
        <w:rPr>
          <w:rFonts w:ascii="Arial" w:cs="Arial" w:eastAsia="Arial" w:hAnsi="Arial"/>
          <w:sz w:val="18"/>
          <w:szCs w:val="18"/>
          <w:color w:val="auto"/>
        </w:rPr>
        <w:t>At December 31, 2010 and March 31, 2010, the Company had $5.4 million and $5.7 million, respectively, of restricted cash included in current assets, which includes the restricted cash securing the AMSC Windtec and AMSC China performance bonds noted above. The Company also has an additional $3.8 million in bank guarantees and letters of credit supported by unsecured lines of credit.</w:t>
      </w:r>
    </w:p>
    <w:p>
      <w:pPr>
        <w:spacing w:after="0" w:line="127" w:lineRule="exact"/>
        <w:rPr>
          <w:sz w:val="20"/>
          <w:szCs w:val="20"/>
          <w:color w:val="auto"/>
        </w:rPr>
      </w:pPr>
    </w:p>
    <w:p>
      <w:pPr>
        <w:jc w:val="both"/>
        <w:ind w:right="20" w:firstLine="805"/>
        <w:spacing w:after="0" w:line="286" w:lineRule="auto"/>
        <w:rPr>
          <w:sz w:val="20"/>
          <w:szCs w:val="20"/>
          <w:color w:val="auto"/>
        </w:rPr>
      </w:pPr>
      <w:r>
        <w:rPr>
          <w:rFonts w:ascii="Arial" w:cs="Arial" w:eastAsia="Arial" w:hAnsi="Arial"/>
          <w:sz w:val="17"/>
          <w:szCs w:val="17"/>
          <w:color w:val="auto"/>
        </w:rPr>
        <w:t>The Company also has unused, unsecured lines of credit consisting of $18.2 million (approximately CNY 120.4 million) and $2.7 million (approximately €2.0 million) as of December 31, 2010. Recently, the Chinese government adopted various economic measures designed to restrict the availability of credit and contain inflation which may impact the Company’s ability to access unused lines of credit in China.</w:t>
      </w:r>
    </w:p>
    <w:p>
      <w:pPr>
        <w:spacing w:after="0" w:line="111" w:lineRule="exact"/>
        <w:rPr>
          <w:sz w:val="20"/>
          <w:szCs w:val="20"/>
          <w:color w:val="auto"/>
        </w:rPr>
      </w:pPr>
    </w:p>
    <w:p>
      <w:pPr>
        <w:jc w:val="both"/>
        <w:ind w:firstLine="462"/>
        <w:spacing w:after="0" w:line="257" w:lineRule="auto"/>
        <w:rPr>
          <w:sz w:val="20"/>
          <w:szCs w:val="20"/>
          <w:color w:val="auto"/>
        </w:rPr>
      </w:pPr>
      <w:r>
        <w:rPr>
          <w:rFonts w:ascii="Arial" w:cs="Arial" w:eastAsia="Arial" w:hAnsi="Arial"/>
          <w:sz w:val="18"/>
          <w:szCs w:val="18"/>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At December 31, 2010, the Company did not have any material pending litigation.</w:t>
      </w:r>
    </w:p>
    <w:p>
      <w:pPr>
        <w:spacing w:after="0" w:line="3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Cost-Sharing Arrangements</w:t>
      </w:r>
    </w:p>
    <w:p>
      <w:pPr>
        <w:spacing w:after="0" w:line="121"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8"/>
          <w:szCs w:val="18"/>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incurred and funding received under these agreements are as follows (in thousands):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18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4"/>
          </w:tcPr>
          <w:p>
            <w:pPr>
              <w:jc w:val="center"/>
              <w:ind w:left="159"/>
              <w:spacing w:after="0"/>
              <w:rPr>
                <w:sz w:val="20"/>
                <w:szCs w:val="20"/>
                <w:color w:val="auto"/>
              </w:rPr>
            </w:pPr>
            <w:r>
              <w:rPr>
                <w:rFonts w:ascii="Arial" w:cs="Arial" w:eastAsia="Arial" w:hAnsi="Arial"/>
                <w:sz w:val="14"/>
                <w:szCs w:val="14"/>
                <w:b w:val="1"/>
                <w:bCs w:val="1"/>
                <w:color w:val="auto"/>
                <w:w w:val="90"/>
              </w:rPr>
              <w:t>Nine months ended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14"/>
                <w:szCs w:val="14"/>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72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523</w:t>
            </w: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R&amp;D expenditures offset by cost sharing funding received</w:t>
            </w:r>
          </w:p>
        </w:tc>
        <w:tc>
          <w:tcPr>
            <w:tcW w:w="7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128</w:t>
            </w:r>
          </w:p>
        </w:tc>
        <w:tc>
          <w:tcPr>
            <w:tcW w:w="70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867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 sharing funding received</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111</w:t>
            </w:r>
          </w:p>
        </w:tc>
        <w:tc>
          <w:tcPr>
            <w:tcW w:w="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w:t>
            </w: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2010, total funding received under these agreements was $30.4 million.</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Windtec Consulting GmbH</w:t>
      </w:r>
    </w:p>
    <w:p>
      <w:pPr>
        <w:spacing w:after="0" w:line="90"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8"/>
          <w:szCs w:val="18"/>
          <w:color w:val="auto"/>
        </w:rPr>
        <w:t>On January 5, 2007, the Company acquired AMSC Windtec. AMSC Windtec develops and sells electrical systems for wind turbines. AMSC Windtec also provides technology transfer for the manufacturing of wind turbines; documentation services; and training and support regarding the assembly, installation, commissioning, and service of wind turbines.</w:t>
      </w:r>
    </w:p>
    <w:p>
      <w:pPr>
        <w:spacing w:after="0" w:line="46" w:lineRule="exact"/>
        <w:rPr>
          <w:sz w:val="20"/>
          <w:szCs w:val="20"/>
          <w:color w:val="auto"/>
        </w:rPr>
      </w:pPr>
    </w:p>
    <w:p>
      <w:pPr>
        <w:jc w:val="both"/>
        <w:ind w:firstLine="617"/>
        <w:spacing w:after="0" w:line="277" w:lineRule="auto"/>
        <w:rPr>
          <w:sz w:val="20"/>
          <w:szCs w:val="20"/>
          <w:color w:val="auto"/>
        </w:rPr>
      </w:pPr>
      <w:r>
        <w:rPr>
          <w:rFonts w:ascii="Arial" w:cs="Arial" w:eastAsia="Arial" w:hAnsi="Arial"/>
          <w:sz w:val="18"/>
          <w:szCs w:val="18"/>
          <w:color w:val="auto"/>
        </w:rPr>
        <w:t>The acquisition agreement included an earn-out provision for the issuance of up to an additional 1,400,000 shares of common stock upon AMSC Windtec’s achievement of specified revenue objectives during the first four fiscal years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closing of the acquisition. During the nine months ended December 31, 2010, the Company recorded contingent consideration of $10.0 million to goodwill and additional paid-in capital representing 350,000 shares earned. These 350,000 shares are expected to be issued in the first quarter of the fiscal year ending March 31, 2012. As of December 31, 2010, the Company has recorded contingent consideration up to the maximum amount of shares that could be earned under the agreement. The carrying amount of goodwill at December 31, 2010 and March 31, 2010 was $46.4 million and $36.7 million, respectively. The goodwill activity for the nine months ended December 31, 2010 is as follows (in thousands):</w:t>
      </w:r>
    </w:p>
    <w:p>
      <w:pPr>
        <w:spacing w:after="0" w:line="18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rate impact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2010</w:t>
            </w:r>
          </w:p>
        </w:tc>
        <w:tc>
          <w:tcPr>
            <w:tcW w:w="1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Tres Amigas</w:t>
      </w:r>
    </w:p>
    <w:p>
      <w:pPr>
        <w:spacing w:after="0" w:line="171" w:lineRule="exact"/>
        <w:rPr>
          <w:sz w:val="20"/>
          <w:szCs w:val="20"/>
          <w:color w:val="auto"/>
        </w:rPr>
      </w:pPr>
    </w:p>
    <w:p>
      <w:pPr>
        <w:jc w:val="both"/>
        <w:ind w:firstLine="568"/>
        <w:spacing w:after="0" w:line="276" w:lineRule="auto"/>
        <w:rPr>
          <w:sz w:val="20"/>
          <w:szCs w:val="20"/>
          <w:color w:val="auto"/>
        </w:rPr>
      </w:pPr>
      <w:r>
        <w:rPr>
          <w:rFonts w:ascii="Arial" w:cs="Arial" w:eastAsia="Arial" w:hAnsi="Arial"/>
          <w:sz w:val="17"/>
          <w:szCs w:val="17"/>
          <w:color w:val="auto"/>
        </w:rPr>
        <w:t>On October 9, 2009, the Company made an investment in Tres Amigas LLC, (“Tres Amigas”), a merchant transmission company, for $1.8 million, consisting of $0.8 million in cash and $1.0 million in AMSC common stock. The investment was recorded under the equity method of accounting and is included in other assets on the condensed consolidated balance sheet. The Company’s minority interest in the losses of Tres Amigas are included in other income (expense), net, on the condensed consolidated statements of income and were immaterial for the three and nine months ended December 31, 2010. The net investment activity for the nine months ended December 31, 2010 is as follows (in thousands):</w:t>
      </w:r>
    </w:p>
    <w:p>
      <w:pPr>
        <w:spacing w:after="0" w:line="187"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2010</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Minority interest in net losses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(685)</w:t>
            </w:r>
          </w:p>
        </w:tc>
      </w:tr>
      <w:tr>
        <w:trPr>
          <w:trHeight w:val="27"/>
        </w:trPr>
        <w:tc>
          <w:tcPr>
            <w:tcW w:w="3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1,065</w:t>
            </w:r>
          </w:p>
        </w:tc>
      </w:tr>
      <w:tr>
        <w:trPr>
          <w:trHeight w:val="20"/>
        </w:trPr>
        <w:tc>
          <w:tcPr>
            <w:tcW w:w="3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6, 2011, the Company increased its minority position in Tres Amigas for $1.8 million in cash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August 12, 2010, the Company acquired (through AMSC Windtec), a 25 percent equity ownership position in Blade Dynamics Ltd. (“Blade Dynamics”), a designer and manufacturer of advanced wind turbine blades based on proprietary materials and structural technologies, for $8.0 million in cash. The investment was recorded under the equity method of accounting and is included in other assets on the condensed consolidated balance sheet. The Company’s minority interest in net losses of Blade Dynamics are included in other income (expense), net, on the condensed consolidated statements of income. The net investment activity for the nine months ended December 31, 2010 is as follows (in thousands):</w:t>
      </w:r>
    </w:p>
    <w:p>
      <w:pPr>
        <w:spacing w:after="0" w:line="268"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Purchase of minority investment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8,000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net losses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Net foreign exchange rate impact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r>
      <w:tr>
        <w:trPr>
          <w:trHeight w:val="27"/>
        </w:trPr>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7,742</w:t>
            </w:r>
          </w:p>
        </w:tc>
      </w:tr>
      <w:tr>
        <w:trPr>
          <w:trHeight w:val="20"/>
        </w:trPr>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Business Segment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reports its financial results in two reportable business segments: AMSC Power Systems and AMSC Superconductors.</w:t>
      </w:r>
    </w:p>
    <w:p>
      <w:pPr>
        <w:spacing w:after="0" w:line="171"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The AMSC Power Systems business segment produces a broad range of products to increase electrical grid capacity and reliability, supplies electrical systems used in wind turbines, provides power electronic products that interconnect wind farms and solar power plants to the power grid, licenses proprietary wind turbine designs to manufacturers of such systems, provides consulting services to the wind industry, and offers products that enhance power quality for industrial operations.</w:t>
      </w:r>
    </w:p>
    <w:p>
      <w:pPr>
        <w:spacing w:after="0" w:line="133" w:lineRule="exact"/>
        <w:rPr>
          <w:sz w:val="20"/>
          <w:szCs w:val="20"/>
          <w:color w:val="auto"/>
        </w:rPr>
      </w:pPr>
    </w:p>
    <w:p>
      <w:pPr>
        <w:jc w:val="both"/>
        <w:ind w:firstLine="636"/>
        <w:spacing w:after="0" w:line="308" w:lineRule="auto"/>
        <w:rPr>
          <w:sz w:val="20"/>
          <w:szCs w:val="20"/>
          <w:color w:val="auto"/>
        </w:rPr>
      </w:pPr>
      <w:r>
        <w:rPr>
          <w:rFonts w:ascii="Arial" w:cs="Arial" w:eastAsia="Arial" w:hAnsi="Arial"/>
          <w:sz w:val="17"/>
          <w:szCs w:val="17"/>
          <w:color w:val="auto"/>
        </w:rPr>
        <w:t>The AMSC Superconductors business segment manufactures Amperium™ high temperature superconductor (“HTS”) wire and coils; designs and develops superconductor products, such as power cables, fault current limiters and motors; and manages large-scale superconductor projects.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5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680"/>
              <w:spacing w:after="0"/>
              <w:rPr>
                <w:sz w:val="20"/>
                <w:szCs w:val="20"/>
                <w:color w:val="auto"/>
              </w:rPr>
            </w:pPr>
            <w:r>
              <w:rPr>
                <w:rFonts w:ascii="Arial" w:cs="Arial" w:eastAsia="Arial" w:hAnsi="Arial"/>
                <w:sz w:val="14"/>
                <w:szCs w:val="14"/>
                <w:b w:val="1"/>
                <w:bCs w:val="1"/>
                <w:color w:val="auto"/>
                <w:w w:val="85"/>
              </w:rPr>
              <w:t>December 31,</w:t>
            </w:r>
          </w:p>
        </w:tc>
        <w:tc>
          <w:tcPr>
            <w:tcW w:w="7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686"/>
              <w:spacing w:after="0"/>
              <w:rPr>
                <w:sz w:val="20"/>
                <w:szCs w:val="20"/>
                <w:color w:val="auto"/>
              </w:rPr>
            </w:pPr>
            <w:r>
              <w:rPr>
                <w:rFonts w:ascii="Arial" w:cs="Arial" w:eastAsia="Arial" w:hAnsi="Arial"/>
                <w:sz w:val="14"/>
                <w:szCs w:val="14"/>
                <w:b w:val="1"/>
                <w:bCs w:val="1"/>
                <w:color w:val="auto"/>
                <w:w w:val="85"/>
              </w:rPr>
              <w:t>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60" w:type="dxa"/>
            <w:vAlign w:val="bottom"/>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2009</w:t>
            </w:r>
          </w:p>
        </w:tc>
        <w:tc>
          <w:tcPr>
            <w:tcW w:w="1320" w:type="dxa"/>
            <w:vAlign w:val="bottom"/>
            <w:gridSpan w:val="2"/>
          </w:tcPr>
          <w:p>
            <w:pPr>
              <w:jc w:val="right"/>
              <w:ind w:right="30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5"/>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AMSC Power Systems</w:t>
            </w: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$112,114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w w:val="98"/>
              </w:rPr>
              <w:t>$77,026</w:t>
            </w:r>
          </w:p>
        </w:tc>
        <w:tc>
          <w:tcPr>
            <w:tcW w:w="1320" w:type="dxa"/>
            <w:vAlign w:val="bottom"/>
            <w:gridSpan w:val="2"/>
          </w:tcPr>
          <w:p>
            <w:pPr>
              <w:jc w:val="right"/>
              <w:ind w:right="26"/>
              <w:spacing w:after="0"/>
              <w:rPr>
                <w:sz w:val="20"/>
                <w:szCs w:val="20"/>
                <w:color w:val="auto"/>
              </w:rPr>
            </w:pPr>
            <w:r>
              <w:rPr>
                <w:rFonts w:ascii="Arial" w:cs="Arial" w:eastAsia="Arial" w:hAnsi="Arial"/>
                <w:sz w:val="18"/>
                <w:szCs w:val="18"/>
                <w:color w:val="auto"/>
              </w:rPr>
              <w:t>$305,582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w w:val="87"/>
              </w:rPr>
              <w:t>$219,513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2,079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3,633</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7,350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3"/>
          </w:tcPr>
          <w:p>
            <w:pPr>
              <w:ind w:left="40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$114,193</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8"/>
              </w:rPr>
              <w:t>$80,659</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8"/>
                <w:szCs w:val="18"/>
                <w:color w:val="auto"/>
              </w:rPr>
              <w:t>$312,932</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87"/>
              </w:rPr>
              <w:t>$228,331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24"/>
                <w:szCs w:val="2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680"/>
              <w:spacing w:after="0"/>
              <w:rPr>
                <w:sz w:val="20"/>
                <w:szCs w:val="20"/>
                <w:color w:val="auto"/>
              </w:rPr>
            </w:pPr>
            <w:r>
              <w:rPr>
                <w:rFonts w:ascii="Arial" w:cs="Arial" w:eastAsia="Arial" w:hAnsi="Arial"/>
                <w:sz w:val="14"/>
                <w:szCs w:val="14"/>
                <w:b w:val="1"/>
                <w:bCs w:val="1"/>
                <w:color w:val="auto"/>
                <w:w w:val="85"/>
              </w:rPr>
              <w:t>December 31,</w:t>
            </w:r>
          </w:p>
        </w:tc>
        <w:tc>
          <w:tcPr>
            <w:tcW w:w="7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686"/>
              <w:spacing w:after="0"/>
              <w:rPr>
                <w:sz w:val="20"/>
                <w:szCs w:val="20"/>
                <w:color w:val="auto"/>
              </w:rPr>
            </w:pPr>
            <w:r>
              <w:rPr>
                <w:rFonts w:ascii="Arial" w:cs="Arial" w:eastAsia="Arial" w:hAnsi="Arial"/>
                <w:sz w:val="14"/>
                <w:szCs w:val="14"/>
                <w:b w:val="1"/>
                <w:bCs w:val="1"/>
                <w:color w:val="auto"/>
                <w:w w:val="85"/>
              </w:rPr>
              <w:t>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income:</w:t>
            </w: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AMSC Power Systems</w:t>
            </w: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$31,833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w w:val="98"/>
              </w:rPr>
              <w:t>$19,941</w:t>
            </w:r>
          </w:p>
        </w:tc>
        <w:tc>
          <w:tcPr>
            <w:tcW w:w="1320" w:type="dxa"/>
            <w:vAlign w:val="bottom"/>
            <w:gridSpan w:val="2"/>
          </w:tcPr>
          <w:p>
            <w:pPr>
              <w:jc w:val="right"/>
              <w:ind w:right="26"/>
              <w:spacing w:after="0"/>
              <w:rPr>
                <w:sz w:val="20"/>
                <w:szCs w:val="20"/>
                <w:color w:val="auto"/>
              </w:rPr>
            </w:pPr>
            <w:r>
              <w:rPr>
                <w:rFonts w:ascii="Arial" w:cs="Arial" w:eastAsia="Arial" w:hAnsi="Arial"/>
                <w:sz w:val="18"/>
                <w:szCs w:val="18"/>
                <w:color w:val="auto"/>
              </w:rPr>
              <w:t>$84,159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$55,202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(19,322)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Unallocated corporate expenses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3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(11,342)</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$21,470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8"/>
              </w:rPr>
              <w:t>$10,440</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$53,495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82"/>
        <w:spacing w:after="0" w:line="255"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Certain corporate expenses which the Company does not believe are specifically attributable or allocable to either of the two business segments have been excluded from the segment operating income. Unallocated corporate expenses include stock-based compensation expense of $3.4 million and $3.5 million for the three months ended December 31, 2010 and 2009, respectively, and $11.3 million and $10.4 million for the nine months ended December 31, 2010 and 2009, respectively. Unallocated corporate expenses for the nine months ended December 31, 2009 included $0.5 million of restructuring charges related primarily to the closure of the Company’s facility in Westborough, Massachusetts.</w:t>
      </w:r>
    </w:p>
    <w:p>
      <w:pPr>
        <w:spacing w:after="0" w:line="139" w:lineRule="exact"/>
        <w:rPr>
          <w:sz w:val="20"/>
          <w:szCs w:val="20"/>
          <w:color w:val="auto"/>
        </w:rPr>
      </w:pPr>
    </w:p>
    <w:p>
      <w:pPr>
        <w:jc w:val="both"/>
        <w:ind w:firstLine="560"/>
        <w:spacing w:after="0" w:line="312" w:lineRule="auto"/>
        <w:rPr>
          <w:sz w:val="20"/>
          <w:szCs w:val="20"/>
          <w:color w:val="auto"/>
        </w:rPr>
      </w:pPr>
      <w:r>
        <w:rPr>
          <w:rFonts w:ascii="Arial" w:cs="Arial" w:eastAsia="Arial" w:hAnsi="Arial"/>
          <w:sz w:val="16"/>
          <w:szCs w:val="16"/>
          <w:color w:val="auto"/>
        </w:rPr>
        <w:t>For the three and nine months ended December 31, 2010, a substantial portion of the Company’s revenues was derived from one customer: Sinovel Wind Co., Ltd., a manufacturer of wind turbines based in China. Sales to Sinovel represented 73% and 75% of total revenues for the three and nine months ended December 31, 2010, respectively, compared to 76% and 69% for the three and nine months ended December 31, 2009, respectively.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16"/>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2010</w:t>
            </w: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293,127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179,873</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AMSC Superconductors</w:t>
            </w:r>
          </w:p>
        </w:tc>
        <w:tc>
          <w:tcPr>
            <w:tcW w:w="20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55,375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32,978</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291,939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187,333</w:t>
            </w: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640,441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400,184</w:t>
            </w:r>
          </w:p>
        </w:tc>
      </w:tr>
      <w:tr>
        <w:trPr>
          <w:trHeight w:val="20"/>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71" w:lineRule="exact"/>
        <w:rPr>
          <w:sz w:val="20"/>
          <w:szCs w:val="20"/>
          <w:color w:val="auto"/>
        </w:rPr>
      </w:pPr>
    </w:p>
    <w:p>
      <w:pPr>
        <w:jc w:val="both"/>
        <w:ind w:firstLine="458"/>
        <w:spacing w:after="0" w:line="302" w:lineRule="auto"/>
        <w:rPr>
          <w:sz w:val="20"/>
          <w:szCs w:val="20"/>
          <w:color w:val="auto"/>
        </w:rPr>
      </w:pPr>
      <w:r>
        <w:rPr>
          <w:rFonts w:ascii="Arial" w:cs="Arial" w:eastAsia="Arial" w:hAnsi="Arial"/>
          <w:sz w:val="16"/>
          <w:szCs w:val="16"/>
          <w:color w:val="auto"/>
        </w:rPr>
        <w:t>In November 2010, the Company issued 4,600,000 shares of common stock at a price of $35.50 per share in a follow-on public offering, which resulted in net proceeds to the Company of approximately $155.2 million, after deducting the underwriting costs and offering expenses of $8.1 million. The Company intends to use the net proceeds of the offering to expand its superconductor wire manufacturing capacity, to pursue strategic business relationships for the purpose of executing its growth and diversification strategies, including minority investments and acquisitions, and for other general corporate purposes.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jc w:val="both"/>
        <w:ind w:firstLine="504"/>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Section 21E of the Securities Exchange Act of 1934, as amended. For this purpose, any statements contained herein that relate to future events or conditions, including without limitation, the statements under “Item 2. Management’s Discussion and Analysis of Financial Condition and Results of Operations” and in Part II, “Item 1A. Risk Factors”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under the caption “Risk Factors” in Part II. Item 1A and Part 1. Item 1A of our Form 10-K for the fiscal year ended March 31, 2010,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26"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7"/>
          <w:szCs w:val="17"/>
          <w:color w:val="auto"/>
        </w:rPr>
        <w:t>American Superconductor and design, Revolutionizing the Way the World Uses Electricity, Amperium, AMSC, Powered by AMSC, D-VAR, dSVC, FaultBlocker, PowerModule, PQ-IVR, SolarTie, Windtec and SuperGEAR are trademarks or registered trademarks of American Superconductor Corporation or its subsidiaries. The Windtec logo and design is a registered European Union Community Trademark. All other brand names, product names, trademarks or service marks appearing in this Quarterly Report on Form 10-Q are the property of their respective 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4" w:lineRule="exact"/>
        <w:rPr>
          <w:sz w:val="20"/>
          <w:szCs w:val="20"/>
          <w:color w:val="auto"/>
        </w:rPr>
      </w:pPr>
    </w:p>
    <w:p>
      <w:pPr>
        <w:jc w:val="both"/>
        <w:ind w:firstLine="524"/>
        <w:spacing w:after="0" w:line="273" w:lineRule="auto"/>
        <w:rPr>
          <w:sz w:val="20"/>
          <w:szCs w:val="20"/>
          <w:color w:val="auto"/>
        </w:rPr>
      </w:pPr>
      <w:r>
        <w:rPr>
          <w:rFonts w:ascii="Arial" w:cs="Arial" w:eastAsia="Arial" w:hAnsi="Arial"/>
          <w:sz w:val="17"/>
          <w:szCs w:val="17"/>
          <w:color w:val="auto"/>
        </w:rPr>
        <w:t>American Superconductor Corporation was founded in 1987. We offer an array of proprietary technologies and solutions spanning the electric power infrastructure – from generation to delivery to end use. Our company is a leader in renewable energy, providing proven, megawatt-scale wind turbine designs and electrical control systems. We also offer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 Our technologies are protected by a broad and deep intellectual property portfolio consisting of hundreds of patents and licenses worldwide.</w:t>
      </w:r>
    </w:p>
    <w:p>
      <w:pPr>
        <w:spacing w:after="0" w:line="43"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7"/>
          <w:szCs w:val="17"/>
          <w:color w:val="auto"/>
        </w:rPr>
        <w:t>Our fiscal year begins on April 1 and ends on March 31. This document refers to fiscal 2010, which is defined as the period beginning on April 1, 2010 and concluding on March 31, 2011. The third quarter of fiscal 2010 began on October 1, 2010 and concluded on December 31, 2010.</w:t>
      </w:r>
    </w:p>
    <w:p>
      <w:pPr>
        <w:spacing w:after="0" w:line="11" w:lineRule="exact"/>
        <w:rPr>
          <w:sz w:val="20"/>
          <w:szCs w:val="20"/>
          <w:color w:val="auto"/>
        </w:rPr>
      </w:pPr>
    </w:p>
    <w:p>
      <w:pPr>
        <w:jc w:val="both"/>
        <w:ind w:firstLine="558"/>
        <w:spacing w:after="0" w:line="272" w:lineRule="auto"/>
        <w:rPr>
          <w:sz w:val="20"/>
          <w:szCs w:val="20"/>
          <w:color w:val="auto"/>
        </w:rPr>
      </w:pPr>
      <w:r>
        <w:rPr>
          <w:rFonts w:ascii="Arial" w:cs="Arial" w:eastAsia="Arial" w:hAnsi="Arial"/>
          <w:sz w:val="17"/>
          <w:szCs w:val="17"/>
          <w:color w:val="auto"/>
        </w:rPr>
        <w:t>Our revenues are primarily derived from our AMSC Power Systems business unit, which designs and licenses wind turbines and provides electrical systems and controls for those wind turbines; provides a range of products to increase electrical grid capacity and reliability; provides power electronic products that interconnect wind farms and solar power plants to the power grid; and provides products that enhance power quality for industrial operations. Most of the products offered by AMSC Power Systems utilize our proprietary power electronic converters and enabling software. These solutions increase the quantity, quality and reliability of electric power that is produced by renewable energy sources, transmitted by electric utilities or consumed by large industrial entities. The market for these solutions continues to be strong, particularly in Asia, where the production of wind turbines and demand for wind turbine electrical systems and controls continues to increase rapidly.</w:t>
      </w:r>
    </w:p>
    <w:p>
      <w:pPr>
        <w:spacing w:after="0" w:line="43" w:lineRule="exact"/>
        <w:rPr>
          <w:sz w:val="20"/>
          <w:szCs w:val="20"/>
          <w:color w:val="auto"/>
        </w:rPr>
      </w:pPr>
    </w:p>
    <w:p>
      <w:pPr>
        <w:jc w:val="both"/>
        <w:ind w:firstLine="610"/>
        <w:spacing w:after="0" w:line="293" w:lineRule="auto"/>
        <w:rPr>
          <w:sz w:val="20"/>
          <w:szCs w:val="20"/>
          <w:color w:val="auto"/>
        </w:rPr>
      </w:pPr>
      <w:r>
        <w:rPr>
          <w:rFonts w:ascii="Arial" w:cs="Arial" w:eastAsia="Arial" w:hAnsi="Arial"/>
          <w:sz w:val="16"/>
          <w:szCs w:val="16"/>
          <w:color w:val="auto"/>
        </w:rPr>
        <w:t>Our AMSC Superconductors business unit designs and develops superconductor products, such as power cables, fault current limiters, generators, motors and degaussing systems; and it manages large-scale superconductor projects. AMSC Superconductors also manufactures the Amperium™ high temperature superconductor (“HTS”) wire that goes into superconductor products, providing these systems with compelling performance, efficiency, size and weight advantages compared with conventional electrical equipment. Many superconductor product demonstrations have been successfully completed to date and customer interest is increasing, particularly for superconductor power cables and superconductor wind turbine generators. While these systems have not yet been broadly commercialized, we received our first large-scale commercial wire contract in fiscal 2010.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617"/>
        <w:spacing w:after="0" w:line="264" w:lineRule="auto"/>
        <w:rPr>
          <w:sz w:val="20"/>
          <w:szCs w:val="20"/>
          <w:color w:val="auto"/>
        </w:rPr>
      </w:pPr>
      <w:r>
        <w:rPr>
          <w:rFonts w:ascii="Arial" w:cs="Arial" w:eastAsia="Arial" w:hAnsi="Arial"/>
          <w:sz w:val="18"/>
          <w:szCs w:val="18"/>
          <w:color w:val="auto"/>
        </w:rPr>
        <w:t>Our strategy for both AMSC Power Systems and AMSC Superconductors is to drive revenue growth and enhance operating results by increasing adoption of our products. We are targeting high-growth segments of the renewable energy and power grid markets with our advanced engineering capabilities, support services and power electronics and superconductor product offerings.</w:t>
      </w:r>
    </w:p>
    <w:p>
      <w:pPr>
        <w:spacing w:after="0" w:line="46" w:lineRule="exact"/>
        <w:rPr>
          <w:sz w:val="20"/>
          <w:szCs w:val="20"/>
          <w:color w:val="auto"/>
        </w:rPr>
      </w:pPr>
    </w:p>
    <w:p>
      <w:pPr>
        <w:jc w:val="both"/>
        <w:ind w:firstLine="458"/>
        <w:spacing w:after="0" w:line="276" w:lineRule="auto"/>
        <w:rPr>
          <w:sz w:val="20"/>
          <w:szCs w:val="20"/>
          <w:color w:val="auto"/>
        </w:rPr>
      </w:pPr>
      <w:r>
        <w:rPr>
          <w:rFonts w:ascii="Arial" w:cs="Arial" w:eastAsia="Arial" w:hAnsi="Arial"/>
          <w:sz w:val="17"/>
          <w:szCs w:val="17"/>
          <w:color w:val="auto"/>
        </w:rPr>
        <w:t>Our wind power products and services are marketed globally, with a particular focus on the Asia Pacific region and emerging economies where demand for local wind turbine manufacturing has been increasing significantly. Our power grid products and services have historically been marketed primarily in the United States. However, due to increasing grid interconnection requirements for renewable energy sites and rising demands for Smart Grid solutions overseas, our power grid activities and sales have increasingly become global in nature. Although we leverage strategic partnerships and reseller relationships to increase our revenue streams, we address market needs primarily with our direct sales force.</w:t>
      </w:r>
    </w:p>
    <w:p>
      <w:pPr>
        <w:spacing w:after="0" w:line="3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We currently have offices and operations in 11 countries around the world. Our Devens, Massachusetts facility serves as our corporate headquarters and our center of excellence for superconductor research, development and manufacturing. Our facilities in Wisconsin serve as our center of excellence for power electronics and controls research and development and power grid product manufacturing. Our facility in Suzhou, China serves as our center of excellence for wind turbine power electronics manufacturing. Our facility in Klagenfurt, Austria serves as our center of excellence for wind turbine design and engineering. Our other locations focus primarily on applications engineering, sales and/or field service.</w:t>
      </w:r>
    </w:p>
    <w:p>
      <w:pPr>
        <w:spacing w:after="0" w:line="37"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As of December 31, 2010 and March 31, 2010, we had backlog of approximately $883 million and $588 million, respectively. The increase in backlog was primarily the result of a substantial new order received from our largest customer, Sinovel Wind Co., Ltd. (“Sinovel”), a manufacturer of wind turbines based in China. Based on this level of backlog and our pipeline of business, we believe we are well positioned to continue our growth.</w:t>
      </w:r>
    </w:p>
    <w:p>
      <w:pPr>
        <w:spacing w:after="0" w:line="30" w:lineRule="exact"/>
        <w:rPr>
          <w:sz w:val="20"/>
          <w:szCs w:val="20"/>
          <w:color w:val="auto"/>
        </w:rPr>
      </w:pPr>
    </w:p>
    <w:p>
      <w:pPr>
        <w:jc w:val="both"/>
        <w:ind w:firstLine="545"/>
        <w:spacing w:after="0" w:line="302" w:lineRule="auto"/>
        <w:rPr>
          <w:sz w:val="20"/>
          <w:szCs w:val="20"/>
          <w:color w:val="auto"/>
        </w:rPr>
      </w:pPr>
      <w:r>
        <w:rPr>
          <w:rFonts w:ascii="Arial" w:cs="Arial" w:eastAsia="Arial" w:hAnsi="Arial"/>
          <w:sz w:val="16"/>
          <w:szCs w:val="16"/>
          <w:color w:val="auto"/>
        </w:rPr>
        <w:t>Our cash requirements depend on numerous factors, including successful completion of our product development activities, ability to commercialize our product prototypes, and the rate of customer and market adoption of our products.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586"/>
        <w:spacing w:after="0" w:line="255" w:lineRule="auto"/>
        <w:rPr>
          <w:sz w:val="20"/>
          <w:szCs w:val="20"/>
          <w:color w:val="auto"/>
        </w:rPr>
      </w:pPr>
      <w:r>
        <w:rPr>
          <w:rFonts w:ascii="Arial" w:cs="Arial" w:eastAsia="Arial" w:hAnsi="Arial"/>
          <w:sz w:val="18"/>
          <w:szCs w:val="18"/>
          <w:color w:val="auto"/>
        </w:rPr>
        <w:t>The preparation of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third quarter of fiscal 2010 in our critical accounting policies as disclosed in our Form 10-K for fiscal 2009, which ended on March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Contracts</w:t>
      </w:r>
    </w:p>
    <w:p>
      <w:pPr>
        <w:spacing w:after="0" w:line="266" w:lineRule="exact"/>
        <w:rPr>
          <w:sz w:val="20"/>
          <w:szCs w:val="20"/>
          <w:color w:val="auto"/>
        </w:rPr>
      </w:pPr>
    </w:p>
    <w:p>
      <w:pPr>
        <w:jc w:val="both"/>
        <w:ind w:firstLine="481"/>
        <w:spacing w:after="0" w:line="259" w:lineRule="auto"/>
        <w:rPr>
          <w:sz w:val="20"/>
          <w:szCs w:val="20"/>
          <w:color w:val="auto"/>
        </w:rPr>
      </w:pPr>
      <w:r>
        <w:rPr>
          <w:rFonts w:ascii="Arial" w:cs="Arial" w:eastAsia="Arial" w:hAnsi="Arial"/>
          <w:sz w:val="18"/>
          <w:szCs w:val="18"/>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both forward contracts and currency options to manage the foreign currency exposures that exist as part of its ongoing business operations. We recognize all derivatives, including forward currency-exchange contracts, in the balance sheet at fair value.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We hedge a portion of our intercompany sales of inventory over a maximum period of 15 months using forward foreign exchange contracts accounted for as cash flow hedges to mitigate the impact of volatility associated with foreign currency transactions.</w:t>
      </w:r>
    </w:p>
    <w:p>
      <w:pPr>
        <w:spacing w:after="0" w:line="35"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8"/>
          <w:szCs w:val="18"/>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To the extent that a previously forecasted transaction is no longer an effective hedge, any ineffectiveness measured in the hedging relationship is recorded in earnings in the period it occurs. We do not enter into derivative instruments for trading or speculative purposes. Realized gains and losses resulting from these cash flow hedges offset the foreign exchange gains and losses on the underlying transactions being hedged. Gains and losses on derivatives not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designated for hedge accounting or representing either hedge ineffectiveness or hedge components excluded from the assessment of effectiveness are recognized in other income (expense), net.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Hedges</w:t>
      </w:r>
    </w:p>
    <w:p>
      <w:pPr>
        <w:spacing w:after="0" w:line="90" w:lineRule="exact"/>
        <w:rPr>
          <w:sz w:val="20"/>
          <w:szCs w:val="20"/>
          <w:color w:val="auto"/>
        </w:rPr>
      </w:pPr>
    </w:p>
    <w:p>
      <w:pPr>
        <w:jc w:val="both"/>
        <w:ind w:firstLine="483"/>
        <w:spacing w:after="0" w:line="286" w:lineRule="auto"/>
        <w:rPr>
          <w:sz w:val="20"/>
          <w:szCs w:val="20"/>
          <w:color w:val="auto"/>
        </w:rPr>
      </w:pPr>
      <w:r>
        <w:rPr>
          <w:rFonts w:ascii="Arial" w:cs="Arial" w:eastAsia="Arial" w:hAnsi="Arial"/>
          <w:sz w:val="17"/>
          <w:szCs w:val="17"/>
          <w:color w:val="auto"/>
        </w:rPr>
        <w:t>In addition to cash flow hedges, we also enter into foreign currency forward exchange contracts to mitigate the impact of foreign exchange risk related to certain non-functional currency receivable balances in our foreign entities. We do not elect hedge accounting treatment for these hedges, consequently, changes in the fair value of these contracts are recorded within other income (expense), net, in the period which they occur.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firstLine="542"/>
        <w:spacing w:after="0" w:line="276" w:lineRule="auto"/>
        <w:rPr>
          <w:sz w:val="20"/>
          <w:szCs w:val="20"/>
          <w:color w:val="auto"/>
        </w:rPr>
      </w:pPr>
      <w:r>
        <w:rPr>
          <w:rFonts w:ascii="Arial" w:cs="Arial" w:eastAsia="Arial" w:hAnsi="Arial"/>
          <w:sz w:val="17"/>
          <w:szCs w:val="17"/>
          <w:color w:val="auto"/>
        </w:rPr>
        <w:t xml:space="preserve">In October 2009, the FASB issued Accounting Standards Update (ASU) No.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pertaining to the accounting for revenue arrangements with multiple deliverables. Specifically, the new standard requires an entity to allocate consideration at the inception of an arrangement to all of its deliverables based on their relative selling prices. In the absence of the vendor-specific objective evidence (“VSOE”) or third-party evidence (“TPE”) of the selling prices, consideration must be allocated to the deliverables based on management’s best estimate of the selling prices. In addition, the new standard eliminates the use of the residual method of allocation.</w:t>
      </w:r>
    </w:p>
    <w:p>
      <w:pPr>
        <w:spacing w:after="0" w:line="146" w:lineRule="exact"/>
        <w:rPr>
          <w:sz w:val="20"/>
          <w:szCs w:val="20"/>
          <w:color w:val="auto"/>
        </w:rPr>
      </w:pPr>
    </w:p>
    <w:p>
      <w:pPr>
        <w:jc w:val="both"/>
        <w:ind w:firstLine="699"/>
        <w:spacing w:after="0" w:line="273" w:lineRule="auto"/>
        <w:rPr>
          <w:sz w:val="20"/>
          <w:szCs w:val="20"/>
          <w:color w:val="auto"/>
        </w:rPr>
      </w:pPr>
      <w:r>
        <w:rPr>
          <w:rFonts w:ascii="Arial" w:cs="Arial" w:eastAsia="Arial" w:hAnsi="Arial"/>
          <w:sz w:val="17"/>
          <w:szCs w:val="17"/>
          <w:color w:val="auto"/>
        </w:rPr>
        <w:t>For sales that involve the delivery of multiple elements, we allocate revenue to each undelivered element based on the element’s fair value as determined by VSOE, which is the price charged when that element is sold separately, or TPE. When VSOE and TPE are unavailable, fair value is based on our best estimate of selling price. When our estimates are used to determine fair value, management makes its estimates using reasonable and objective evidence to determine the price. We review VSOE and TPE at least annually. If we conclude we are unable to establish fair values for one or more undelivered elements within a multiple-element arrangement using VSOE then we use TPE or our best estimate of the selling price for that unit of accounting, being the price at which the vendor would transact if the unit of accounting were sold by the vendor regularly on a standalone basis.</w:t>
      </w:r>
    </w:p>
    <w:p>
      <w:pPr>
        <w:spacing w:after="0" w:line="138"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8"/>
          <w:szCs w:val="18"/>
          <w:color w:val="auto"/>
        </w:rPr>
        <w:t>The new accounting standard supersedes the prior multiple element revenue arrangement accounting rules that were previously used by us. We adopted this new accounting standard on April 1, 2010 using the prospective method and the adoption did not have a material impact on our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December 31, 2010 compared to the three and nine months ended December 31,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Total revenues increased by 42% and 37% to $114.2 million and $312.9 million for the three and nine months ended December 31, 2010, respectively, from $80.7 million and $228.3 million for the three and nine months ended December 31, 2009, respectively. Our revenues are summarized as follows (in thousands):</w:t>
      </w:r>
    </w:p>
    <w:tbl>
      <w:tblPr>
        <w:tblLayout w:type="fixed"/>
        <w:tblInd w:w="4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78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Three months ended</w:t>
            </w:r>
          </w:p>
        </w:tc>
        <w:tc>
          <w:tcPr>
            <w:tcW w:w="25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4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4"/>
                <w:szCs w:val="14"/>
                <w:b w:val="1"/>
                <w:bCs w:val="1"/>
                <w:color w:val="auto"/>
                <w:w w:val="87"/>
              </w:rPr>
              <w:t>December 31,</w:t>
            </w:r>
          </w:p>
        </w:tc>
        <w:tc>
          <w:tcPr>
            <w:tcW w:w="6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6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98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AMSC Power Systems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$112,114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$77,026</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$305,582</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$219,513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3,633</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7,350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$114,193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$80,659</w:t>
            </w:r>
          </w:p>
        </w:tc>
        <w:tc>
          <w:tcPr>
            <w:tcW w:w="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$312,932</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$228,331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8"/>
          <w:szCs w:val="18"/>
          <w:color w:val="auto"/>
        </w:rPr>
        <w:t>Revenues in our AMSC Power Systems business unit consist of revenues from wind turbine electrical systems and core components, wind turbine license and development contracts as well as D-VAR</w:t>
      </w:r>
      <w:r>
        <w:rPr>
          <w:rFonts w:ascii="Arial" w:cs="Arial" w:eastAsia="Arial" w:hAnsi="Arial"/>
          <w:sz w:val="15"/>
          <w:szCs w:val="15"/>
          <w:color w:val="auto"/>
        </w:rPr>
        <w:t>®</w:t>
      </w:r>
      <w:r>
        <w:rPr>
          <w:rFonts w:ascii="Arial" w:cs="Arial" w:eastAsia="Arial" w:hAnsi="Arial"/>
          <w:sz w:val="18"/>
          <w:szCs w:val="18"/>
          <w:color w:val="auto"/>
        </w:rPr>
        <w:t>, D-VAR RT, SVC, and PowerModule™ product sales, service contracts, and consulting arrangements. We also engineer, install and commission our products on a turnkey basis for some customers. Our AMSC Power Systems business unit accounted for 98% of total revenues for both of the three and nine months ended December 31, 2010, compared to 95% and 96% for the three and nine months ended December 31, 2009, respectively. Revenues in the AMSC Power Systems business unit increased 46% and 39% to $112.1 million and $305.6 million in the three and nine months ended December 31, 2010, respectively, from $77.0 million and $219.5 million in the three and nine months ended December 31, 2009, respectively. The increases in AMSC Power Systems business unit revenues were primarily due to greater sales of wind turbine electrical control systems and core components,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primarily to customers in China. Based on the average Euro and renminbi exchange rates for the third quarter of fiscal 2010, revenues denominated in these foreign currencies translated into U.S. dollars were $1.8 million higher compared to the translation of these revenues using the average exchange rates of these currencies for the third quarter of fiscal 2009.</w:t>
      </w:r>
    </w:p>
    <w:p>
      <w:pPr>
        <w:spacing w:after="0" w:line="154" w:lineRule="exact"/>
        <w:rPr>
          <w:sz w:val="20"/>
          <w:szCs w:val="20"/>
          <w:color w:val="auto"/>
        </w:rPr>
      </w:pPr>
    </w:p>
    <w:p>
      <w:pPr>
        <w:jc w:val="both"/>
        <w:ind w:firstLine="618"/>
        <w:spacing w:after="0" w:line="264" w:lineRule="auto"/>
        <w:rPr>
          <w:sz w:val="20"/>
          <w:szCs w:val="20"/>
          <w:color w:val="auto"/>
        </w:rPr>
      </w:pPr>
      <w:r>
        <w:rPr>
          <w:rFonts w:ascii="Arial" w:cs="Arial" w:eastAsia="Arial" w:hAnsi="Arial"/>
          <w:sz w:val="18"/>
          <w:szCs w:val="18"/>
          <w:color w:val="auto"/>
        </w:rPr>
        <w:t>For the three and nine months ended December 31, 2010, a substantial portion of our revenues was derived from one customer, Sinovel. Sales to Sinovel represented 73% and 75% of total revenues for the three and nine months ended December 31, 2010, respectively, compared to 76% and 69% for the three and nine months ended December 31, 2009, respectively.</w:t>
      </w:r>
    </w:p>
    <w:p>
      <w:pPr>
        <w:spacing w:after="0" w:line="141" w:lineRule="exact"/>
        <w:rPr>
          <w:sz w:val="20"/>
          <w:szCs w:val="20"/>
          <w:color w:val="auto"/>
        </w:rPr>
      </w:pPr>
    </w:p>
    <w:p>
      <w:pPr>
        <w:jc w:val="both"/>
        <w:ind w:firstLine="528"/>
        <w:spacing w:after="0" w:line="277" w:lineRule="auto"/>
        <w:rPr>
          <w:sz w:val="20"/>
          <w:szCs w:val="20"/>
          <w:color w:val="auto"/>
        </w:rPr>
      </w:pPr>
      <w:r>
        <w:rPr>
          <w:rFonts w:ascii="Arial" w:cs="Arial" w:eastAsia="Arial" w:hAnsi="Arial"/>
          <w:sz w:val="18"/>
          <w:szCs w:val="18"/>
          <w:color w:val="auto"/>
        </w:rPr>
        <w:t>On May 17, 2010, we announced an extension of our supply of core electrical components for 1.5 megawatt (MW) wind turbines to Sinovel through late 2013 under a new contract valued at approximately $445 million.</w:t>
      </w:r>
    </w:p>
    <w:p>
      <w:pPr>
        <w:spacing w:after="0" w:line="130" w:lineRule="exact"/>
        <w:rPr>
          <w:sz w:val="20"/>
          <w:szCs w:val="20"/>
          <w:color w:val="auto"/>
        </w:rPr>
      </w:pPr>
    </w:p>
    <w:p>
      <w:pPr>
        <w:jc w:val="both"/>
        <w:ind w:firstLine="497"/>
        <w:spacing w:after="0" w:line="272" w:lineRule="auto"/>
        <w:rPr>
          <w:sz w:val="20"/>
          <w:szCs w:val="20"/>
          <w:color w:val="auto"/>
        </w:rPr>
      </w:pPr>
      <w:r>
        <w:rPr>
          <w:rFonts w:ascii="Arial" w:cs="Arial" w:eastAsia="Arial" w:hAnsi="Arial"/>
          <w:sz w:val="17"/>
          <w:szCs w:val="17"/>
          <w:color w:val="auto"/>
        </w:rPr>
        <w:t>Revenues in our AMSC Superconductors business unit consist of contract revenues, sales of our Amperium™ HTS wire, revenues under government-sponsored electric utility projects and other prototype development contracts. Our AMSC Superconductors business unit revenues are primarily recorded using the percentage-of-completion method. Our AMSC Superconductors business unit accounted for 2% of total revenues for both the three and nine months ended December 31, 2010, respectively, compared to 5% and 4% for the three and nine months ended December 31, 2009, respectively. Our AMSC Superconductors business unit revenues decreased 43% and 17% to $2.1 million and $7.4 million in the three and nine months ended December 31, 2010, respectively, from $3.6 million and $8.8 million for the three and nine months ended December 31, 2009, respectively. Revenues from significant AMSC Superconductors government-funded contracts are summarized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4"/>
          </w:tcPr>
          <w:p>
            <w:pPr>
              <w:jc w:val="center"/>
              <w:ind w:right="276"/>
              <w:spacing w:after="0"/>
              <w:rPr>
                <w:sz w:val="20"/>
                <w:szCs w:val="20"/>
                <w:color w:val="auto"/>
              </w:rPr>
            </w:pPr>
            <w:r>
              <w:rPr>
                <w:rFonts w:ascii="Arial" w:cs="Arial" w:eastAsia="Arial" w:hAnsi="Arial"/>
                <w:sz w:val="14"/>
                <w:szCs w:val="14"/>
                <w:b w:val="1"/>
                <w:bCs w:val="1"/>
                <w:color w:val="auto"/>
                <w:w w:val="86"/>
              </w:rPr>
              <w:t>Revenue earned for the</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w w:val="87"/>
              </w:rPr>
              <w:t>Revenue earned for the</w:t>
            </w:r>
          </w:p>
        </w:tc>
      </w:tr>
      <w:tr>
        <w:trPr>
          <w:trHeight w:val="149"/>
        </w:trPr>
        <w:tc>
          <w:tcPr>
            <w:tcW w:w="3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gridSpan w:val="4"/>
          </w:tcPr>
          <w:p>
            <w:pPr>
              <w:jc w:val="center"/>
              <w:ind w:right="276"/>
              <w:spacing w:after="0" w:line="149" w:lineRule="exact"/>
              <w:rPr>
                <w:sz w:val="20"/>
                <w:szCs w:val="20"/>
                <w:color w:val="auto"/>
              </w:rPr>
            </w:pPr>
            <w:r>
              <w:rPr>
                <w:rFonts w:ascii="Arial" w:cs="Arial" w:eastAsia="Arial" w:hAnsi="Arial"/>
                <w:sz w:val="14"/>
                <w:szCs w:val="14"/>
                <w:b w:val="1"/>
                <w:bCs w:val="1"/>
                <w:color w:val="auto"/>
                <w:w w:val="85"/>
              </w:rPr>
              <w:t>three months ended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3"/>
          </w:tcPr>
          <w:p>
            <w:pPr>
              <w:jc w:val="center"/>
              <w:ind w:left="355"/>
              <w:spacing w:after="0" w:line="149" w:lineRule="exact"/>
              <w:rPr>
                <w:sz w:val="20"/>
                <w:szCs w:val="20"/>
                <w:color w:val="auto"/>
              </w:rPr>
            </w:pPr>
            <w:r>
              <w:rPr>
                <w:rFonts w:ascii="Arial" w:cs="Arial" w:eastAsia="Arial" w:hAnsi="Arial"/>
                <w:sz w:val="14"/>
                <w:szCs w:val="14"/>
                <w:b w:val="1"/>
                <w:bCs w:val="1"/>
                <w:color w:val="auto"/>
                <w:w w:val="84"/>
              </w:rPr>
              <w:t>nine months ended</w:t>
            </w:r>
          </w:p>
        </w:tc>
        <w:tc>
          <w:tcPr>
            <w:tcW w:w="740" w:type="dxa"/>
            <w:vAlign w:val="bottom"/>
          </w:tcPr>
          <w:p>
            <w:pPr>
              <w:spacing w:after="0"/>
              <w:rPr>
                <w:sz w:val="12"/>
                <w:szCs w:val="12"/>
                <w:color w:val="auto"/>
              </w:rPr>
            </w:pPr>
          </w:p>
        </w:tc>
      </w:tr>
      <w:tr>
        <w:trPr>
          <w:trHeight w:val="161"/>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Revenue earned</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4"/>
                <w:szCs w:val="14"/>
                <w:b w:val="1"/>
                <w:bCs w:val="1"/>
                <w:color w:val="auto"/>
                <w:w w:val="85"/>
              </w:rPr>
              <w:t>December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Borders>
              <w:bottom w:val="single" w:sz="8" w:color="auto"/>
            </w:tcBorders>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114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Expected total</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6"/>
              </w:rPr>
              <w:t>through</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3360" w:type="dxa"/>
            <w:vAlign w:val="bottom"/>
          </w:tcPr>
          <w:p>
            <w:pPr>
              <w:ind w:left="1240"/>
              <w:spacing w:after="0"/>
              <w:rPr>
                <w:sz w:val="20"/>
                <w:szCs w:val="20"/>
                <w:color w:val="auto"/>
              </w:rPr>
            </w:pPr>
            <w:r>
              <w:rPr>
                <w:rFonts w:ascii="Arial" w:cs="Arial" w:eastAsia="Arial" w:hAnsi="Arial"/>
                <w:sz w:val="14"/>
                <w:szCs w:val="14"/>
                <w:b w:val="1"/>
                <w:bCs w:val="1"/>
                <w:color w:val="auto"/>
              </w:rPr>
              <w:t>Project name</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contract value</w:t>
            </w:r>
          </w:p>
        </w:tc>
        <w:tc>
          <w:tcPr>
            <w:tcW w:w="20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December 31, 2010</w:t>
            </w:r>
          </w:p>
        </w:tc>
        <w:tc>
          <w:tcPr>
            <w:tcW w:w="320" w:type="dxa"/>
            <w:vAlign w:val="bottom"/>
          </w:tcPr>
          <w:p>
            <w:pPr>
              <w:spacing w:after="0"/>
              <w:rPr>
                <w:sz w:val="14"/>
                <w:szCs w:val="14"/>
                <w:color w:val="auto"/>
              </w:rPr>
            </w:pPr>
          </w:p>
        </w:tc>
        <w:tc>
          <w:tcPr>
            <w:tcW w:w="8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76"/>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75"/>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396"/>
              <w:spacing w:after="0"/>
              <w:rPr>
                <w:sz w:val="20"/>
                <w:szCs w:val="20"/>
                <w:color w:val="auto"/>
              </w:rPr>
            </w:pPr>
            <w:r>
              <w:rPr>
                <w:rFonts w:ascii="Arial" w:cs="Arial" w:eastAsia="Arial" w:hAnsi="Arial"/>
                <w:sz w:val="14"/>
                <w:szCs w:val="14"/>
                <w:b w:val="1"/>
                <w:bCs w:val="1"/>
                <w:color w:val="auto"/>
                <w:w w:val="83"/>
              </w:rPr>
              <w:t>2009</w:t>
            </w:r>
          </w:p>
        </w:tc>
      </w:tr>
      <w:tr>
        <w:trPr>
          <w:trHeight w:val="129"/>
        </w:trPr>
        <w:tc>
          <w:tcPr>
            <w:tcW w:w="33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r>
      <w:tr>
        <w:trPr>
          <w:trHeight w:val="135"/>
        </w:trPr>
        <w:tc>
          <w:tcPr>
            <w:tcW w:w="33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HYDRA</w:t>
            </w:r>
          </w:p>
        </w:tc>
        <w:tc>
          <w:tcPr>
            <w:tcW w:w="4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24,908</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10,194</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112</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196</w:t>
            </w:r>
          </w:p>
        </w:tc>
        <w:tc>
          <w:tcPr>
            <w:tcW w:w="5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621</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1,025</w:t>
            </w:r>
          </w:p>
        </w:tc>
      </w:tr>
      <w:tr>
        <w:trPr>
          <w:trHeight w:val="135"/>
        </w:trPr>
        <w:tc>
          <w:tcPr>
            <w:tcW w:w="3360" w:type="dxa"/>
            <w:vAlign w:val="bottom"/>
          </w:tcPr>
          <w:p>
            <w:pPr>
              <w:ind w:left="220"/>
              <w:spacing w:after="0" w:line="135" w:lineRule="exact"/>
              <w:rPr>
                <w:sz w:val="20"/>
                <w:szCs w:val="20"/>
                <w:color w:val="auto"/>
              </w:rPr>
            </w:pPr>
            <w:r>
              <w:rPr>
                <w:rFonts w:ascii="Arial" w:cs="Arial" w:eastAsia="Arial" w:hAnsi="Arial"/>
                <w:sz w:val="13"/>
                <w:szCs w:val="13"/>
                <w:color w:val="auto"/>
              </w:rPr>
              <w:t>LIPA I and II</w:t>
            </w:r>
          </w:p>
        </w:tc>
        <w:tc>
          <w:tcPr>
            <w:tcW w:w="44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40,141</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jc w:val="right"/>
              <w:ind w:right="56"/>
              <w:spacing w:after="0" w:line="135" w:lineRule="exact"/>
              <w:rPr>
                <w:sz w:val="20"/>
                <w:szCs w:val="20"/>
                <w:color w:val="auto"/>
              </w:rPr>
            </w:pPr>
            <w:r>
              <w:rPr>
                <w:rFonts w:ascii="Arial" w:cs="Arial" w:eastAsia="Arial" w:hAnsi="Arial"/>
                <w:sz w:val="13"/>
                <w:szCs w:val="13"/>
                <w:color w:val="auto"/>
              </w:rPr>
              <w:t>37,360</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35"/>
              <w:spacing w:after="0" w:line="135" w:lineRule="exact"/>
              <w:rPr>
                <w:sz w:val="20"/>
                <w:szCs w:val="20"/>
                <w:color w:val="auto"/>
              </w:rPr>
            </w:pPr>
            <w:r>
              <w:rPr>
                <w:rFonts w:ascii="Arial" w:cs="Arial" w:eastAsia="Arial" w:hAnsi="Arial"/>
                <w:sz w:val="13"/>
                <w:szCs w:val="13"/>
                <w:color w:val="auto"/>
              </w:rPr>
              <w:t>861</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1,115</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jc w:val="right"/>
              <w:ind w:right="35"/>
              <w:spacing w:after="0" w:line="135" w:lineRule="exact"/>
              <w:rPr>
                <w:sz w:val="20"/>
                <w:szCs w:val="20"/>
                <w:color w:val="auto"/>
              </w:rPr>
            </w:pPr>
            <w:r>
              <w:rPr>
                <w:rFonts w:ascii="Arial" w:cs="Arial" w:eastAsia="Arial" w:hAnsi="Arial"/>
                <w:sz w:val="13"/>
                <w:szCs w:val="13"/>
                <w:color w:val="auto"/>
              </w:rPr>
              <w:t>3,009</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jc w:val="right"/>
              <w:ind w:right="56"/>
              <w:spacing w:after="0" w:line="135" w:lineRule="exact"/>
              <w:rPr>
                <w:sz w:val="20"/>
                <w:szCs w:val="20"/>
                <w:color w:val="auto"/>
              </w:rPr>
            </w:pPr>
            <w:r>
              <w:rPr>
                <w:rFonts w:ascii="Arial" w:cs="Arial" w:eastAsia="Arial" w:hAnsi="Arial"/>
                <w:sz w:val="13"/>
                <w:szCs w:val="13"/>
                <w:color w:val="auto"/>
              </w:rPr>
              <w:t>2,754</w:t>
            </w:r>
          </w:p>
        </w:tc>
      </w:tr>
      <w:tr>
        <w:trPr>
          <w:trHeight w:val="135"/>
        </w:trPr>
        <w:tc>
          <w:tcPr>
            <w:tcW w:w="33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DOE-FCL</w:t>
            </w: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7,898</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5,964</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571</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403</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1,558</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980</w:t>
            </w:r>
          </w:p>
        </w:tc>
      </w:tr>
      <w:tr>
        <w:trPr>
          <w:trHeight w:val="142"/>
        </w:trPr>
        <w:tc>
          <w:tcPr>
            <w:tcW w:w="3360" w:type="dxa"/>
            <w:vAlign w:val="bottom"/>
          </w:tcPr>
          <w:p>
            <w:pPr>
              <w:ind w:left="220"/>
              <w:spacing w:after="0" w:line="135" w:lineRule="exact"/>
              <w:rPr>
                <w:sz w:val="20"/>
                <w:szCs w:val="20"/>
                <w:color w:val="auto"/>
              </w:rPr>
            </w:pPr>
            <w:r>
              <w:rPr>
                <w:rFonts w:ascii="Arial" w:cs="Arial" w:eastAsia="Arial" w:hAnsi="Arial"/>
                <w:sz w:val="13"/>
                <w:szCs w:val="13"/>
                <w:color w:val="auto"/>
              </w:rPr>
              <w:t>NAVSEA Motor Study</w:t>
            </w: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6,511</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
              <w:spacing w:after="0" w:line="135" w:lineRule="exact"/>
              <w:rPr>
                <w:sz w:val="20"/>
                <w:szCs w:val="20"/>
                <w:color w:val="auto"/>
              </w:rPr>
            </w:pPr>
            <w:r>
              <w:rPr>
                <w:rFonts w:ascii="Arial" w:cs="Arial" w:eastAsia="Arial" w:hAnsi="Arial"/>
                <w:sz w:val="13"/>
                <w:szCs w:val="13"/>
                <w:color w:val="auto"/>
              </w:rPr>
              <w:t>6,464</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
              <w:spacing w:after="0" w:line="135" w:lineRule="exact"/>
              <w:rPr>
                <w:sz w:val="20"/>
                <w:szCs w:val="20"/>
                <w:color w:val="auto"/>
              </w:rPr>
            </w:pPr>
            <w:r>
              <w:rPr>
                <w:rFonts w:ascii="Arial" w:cs="Arial" w:eastAsia="Arial" w:hAnsi="Arial"/>
                <w:sz w:val="13"/>
                <w:szCs w:val="13"/>
                <w:color w:val="auto"/>
              </w:rPr>
              <w:t>103</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6"/>
              <w:spacing w:after="0" w:line="135" w:lineRule="exact"/>
              <w:rPr>
                <w:sz w:val="20"/>
                <w:szCs w:val="20"/>
                <w:color w:val="auto"/>
              </w:rPr>
            </w:pPr>
            <w:r>
              <w:rPr>
                <w:rFonts w:ascii="Arial" w:cs="Arial" w:eastAsia="Arial" w:hAnsi="Arial"/>
                <w:sz w:val="13"/>
                <w:szCs w:val="13"/>
                <w:color w:val="auto"/>
              </w:rPr>
              <w:t>133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
              <w:spacing w:after="0" w:line="135" w:lineRule="exact"/>
              <w:rPr>
                <w:sz w:val="20"/>
                <w:szCs w:val="20"/>
                <w:color w:val="auto"/>
              </w:rPr>
            </w:pPr>
            <w:r>
              <w:rPr>
                <w:rFonts w:ascii="Arial" w:cs="Arial" w:eastAsia="Arial" w:hAnsi="Arial"/>
                <w:sz w:val="13"/>
                <w:szCs w:val="13"/>
                <w:color w:val="auto"/>
              </w:rPr>
              <w:t>252</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6"/>
              <w:spacing w:after="0" w:line="135" w:lineRule="exact"/>
              <w:rPr>
                <w:sz w:val="20"/>
                <w:szCs w:val="20"/>
                <w:color w:val="auto"/>
              </w:rPr>
            </w:pPr>
            <w:r>
              <w:rPr>
                <w:rFonts w:ascii="Arial" w:cs="Arial" w:eastAsia="Arial" w:hAnsi="Arial"/>
                <w:sz w:val="13"/>
                <w:szCs w:val="13"/>
                <w:color w:val="auto"/>
              </w:rPr>
              <w:t>207</w:t>
            </w:r>
          </w:p>
        </w:tc>
      </w:tr>
      <w:tr>
        <w:trPr>
          <w:trHeight w:val="135"/>
        </w:trPr>
        <w:tc>
          <w:tcPr>
            <w:tcW w:w="3360" w:type="dxa"/>
            <w:vAlign w:val="bottom"/>
            <w:shd w:val="clear" w:color="auto" w:fill="CCEEFF"/>
          </w:tcPr>
          <w:p>
            <w:pPr>
              <w:ind w:left="3000"/>
              <w:spacing w:after="0" w:line="135" w:lineRule="exact"/>
              <w:rPr>
                <w:sz w:val="20"/>
                <w:szCs w:val="20"/>
                <w:color w:val="auto"/>
              </w:rPr>
            </w:pPr>
            <w:r>
              <w:rPr>
                <w:rFonts w:ascii="Arial" w:cs="Arial" w:eastAsia="Arial" w:hAnsi="Arial"/>
                <w:sz w:val="13"/>
                <w:szCs w:val="13"/>
                <w:color w:val="auto"/>
              </w:rPr>
              <w:t>Total</w:t>
            </w:r>
          </w:p>
        </w:tc>
        <w:tc>
          <w:tcPr>
            <w:tcW w:w="4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79,458</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59,982</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1,647</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1,847</w:t>
            </w:r>
          </w:p>
        </w:tc>
        <w:tc>
          <w:tcPr>
            <w:tcW w:w="5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5,440</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4,966</w:t>
            </w:r>
          </w:p>
        </w:tc>
      </w:tr>
      <w:tr>
        <w:trPr>
          <w:trHeight w:val="20"/>
        </w:trPr>
        <w:tc>
          <w:tcPr>
            <w:tcW w:w="3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These significant projects represented 79% and 74% of AMSC Superconductors business unit revenues for the three and nine months ended December 31, 2010, respectively, compared to 51% and 56% for the three and nine months ended December 31, 2009, respectively.</w:t>
      </w:r>
    </w:p>
    <w:p>
      <w:pPr>
        <w:spacing w:after="0" w:line="106" w:lineRule="exact"/>
        <w:rPr>
          <w:sz w:val="20"/>
          <w:szCs w:val="20"/>
          <w:color w:val="auto"/>
        </w:rPr>
      </w:pPr>
    </w:p>
    <w:p>
      <w:pPr>
        <w:jc w:val="both"/>
        <w:ind w:firstLine="507"/>
        <w:spacing w:after="0" w:line="297" w:lineRule="auto"/>
        <w:rPr>
          <w:sz w:val="20"/>
          <w:szCs w:val="20"/>
          <w:color w:val="auto"/>
        </w:rPr>
      </w:pPr>
      <w:r>
        <w:rPr>
          <w:rFonts w:ascii="Arial" w:cs="Arial" w:eastAsia="Arial" w:hAnsi="Arial"/>
          <w:sz w:val="16"/>
          <w:szCs w:val="16"/>
          <w:color w:val="auto"/>
        </w:rPr>
        <w:t>Project HYDRA is a contract with Consolidated Edison, Inc. which is being partially funded by the U.S. Department of Homeland Security (“DHS”). DHS is expected to invest up to a total of $24.9 million in the development of a new high temperature superconductor power grid technology called FaultBlocker™ cable systems. FaultBlocker cable systems are designed to utilize customized Amperium™ HTS wires, and ancillary controls to deliver more power through the grid while also being able to suppress power surges that can disrupt service. Of the total $24.9 million in funding expected from DHS, it has committed funding of $12.6 million to us as of December 31, 2010. Consolidated Edison and Southwire Company are subcontractors to us on this project.</w:t>
      </w:r>
    </w:p>
    <w:p>
      <w:pPr>
        <w:spacing w:after="0" w:line="118" w:lineRule="exact"/>
        <w:rPr>
          <w:sz w:val="20"/>
          <w:szCs w:val="20"/>
          <w:color w:val="auto"/>
        </w:rPr>
      </w:pPr>
    </w:p>
    <w:p>
      <w:pPr>
        <w:jc w:val="both"/>
        <w:ind w:firstLine="655"/>
        <w:spacing w:after="0" w:line="259" w:lineRule="auto"/>
        <w:rPr>
          <w:sz w:val="20"/>
          <w:szCs w:val="20"/>
          <w:color w:val="auto"/>
        </w:rPr>
      </w:pPr>
      <w:r>
        <w:rPr>
          <w:rFonts w:ascii="Arial" w:cs="Arial" w:eastAsia="Arial" w:hAnsi="Arial"/>
          <w:sz w:val="18"/>
          <w:szCs w:val="18"/>
          <w:color w:val="auto"/>
        </w:rPr>
        <w:t>LIPA I, completed in the first quarter of fiscal 2009, was a project to install an HTS power cable system at transmission voltage using our first generation HTS wire for the Long Island Power Authority. LIPA II is a project to install an HTS power cable utilizing our Amperium™ wire for the Long Island Power Authority. DOE-FCL is a project to develop and demonstrate a transmission voltage SuperLimiter fault current limiter (“FCL”). The NAVSEA Motor Study is a project designed to test the 36.5 MW superconductor motor developed for the U.S. Navy.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Cost-sharing funding</w:t>
      </w:r>
    </w:p>
    <w:p>
      <w:pPr>
        <w:spacing w:after="0" w:line="252" w:lineRule="exact"/>
        <w:rPr>
          <w:sz w:val="20"/>
          <w:szCs w:val="20"/>
          <w:color w:val="auto"/>
        </w:rPr>
      </w:pPr>
    </w:p>
    <w:p>
      <w:pPr>
        <w:jc w:val="both"/>
        <w:ind w:firstLine="529"/>
        <w:spacing w:after="0" w:line="273" w:lineRule="auto"/>
        <w:rPr>
          <w:sz w:val="20"/>
          <w:szCs w:val="20"/>
          <w:color w:val="auto"/>
        </w:rPr>
      </w:pPr>
      <w:r>
        <w:rPr>
          <w:rFonts w:ascii="Arial" w:cs="Arial" w:eastAsia="Arial" w:hAnsi="Arial"/>
          <w:sz w:val="17"/>
          <w:szCs w:val="17"/>
          <w:color w:val="auto"/>
        </w:rPr>
        <w:t>In addition to reported revenues, we also received funding of $0.2 million and $0.7 million for the three and nine months ended December 31, 2010, respectively, under U.S. government cost-sharing agreements with the U.S. Air Force and the Department of Energy, compared to $0.4 million and $1.6 million for the three and nine months ended December 31, 2009, respectively. The decrease in cost-sharing funding is primarily due to the completion of the NIST Advanced Technology Program. All of our cost-sharing agreements provide funding in support of development work on our Amperium™ HTS wires being done in our AMSC Superconductors business unit. We anticipate that a portion of our funding in the future will continue to come from cost-sharing agreements as we execute joint programs with government agencies.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Funding from government cost-sharing agreements is recorded as an offset to research and development (“R&amp;D”) and selling, general and administrative (“SG&amp;A”) expenses, rather than as revenues.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90" w:lineRule="exact"/>
        <w:rPr>
          <w:sz w:val="20"/>
          <w:szCs w:val="20"/>
          <w:color w:val="auto"/>
        </w:rPr>
      </w:pPr>
    </w:p>
    <w:p>
      <w:pPr>
        <w:jc w:val="both"/>
        <w:ind w:firstLine="462"/>
        <w:spacing w:after="0" w:line="270" w:lineRule="auto"/>
        <w:rPr>
          <w:sz w:val="20"/>
          <w:szCs w:val="20"/>
          <w:color w:val="auto"/>
        </w:rPr>
      </w:pPr>
      <w:r>
        <w:rPr>
          <w:rFonts w:ascii="Arial" w:cs="Arial" w:eastAsia="Arial" w:hAnsi="Arial"/>
          <w:sz w:val="17"/>
          <w:szCs w:val="17"/>
          <w:color w:val="auto"/>
        </w:rPr>
        <w:t>Cost of revenues increased by 34% and 27% to $67.7 million and $186.2 million for the three and nine months ended December 31, 2010, respectively, compared to $50.4 million and $146.5 million for the three and nine months ended December 31, 2009, respectively. Gross margin was 40.7% and 40.5% for the three and nine months ended December 31, 2010, respectively, compared to 37.5% and 35.8%, respectively, for the same periods of fiscal 2009. The increases in gross margin in the three and nine months ended December 31, 2010 as compared to the same periods in fiscal 2009 were due primarily to a shift in the mix of products sold towards higher margin wind turbine core electrical component shipments; material cost reductions primarily resulting from the localization of component supply in China for our power electronic converters, which are now manufactured in China; as well as favorable foreign exchange effects. Based on the average Euro and renminbi exchange rates for the third quarter of fiscal 2010, cost of revenues denominated in these foreign currencies translated into U.S. dollars was $0.6 million higher compared to the translation of cost of revenues using the average exchange rates of these currencies for the third quarter of fiscal 2009.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jc w:val="both"/>
        <w:ind w:firstLine="558"/>
        <w:spacing w:after="0" w:line="34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11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14"/>
                <w:szCs w:val="14"/>
                <w:color w:val="auto"/>
              </w:rPr>
            </w:pPr>
          </w:p>
        </w:tc>
        <w:tc>
          <w:tcPr>
            <w:tcW w:w="23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80"/>
              <w:spacing w:after="0"/>
              <w:rPr>
                <w:sz w:val="20"/>
                <w:szCs w:val="20"/>
                <w:color w:val="auto"/>
              </w:rPr>
            </w:pPr>
            <w:r>
              <w:rPr>
                <w:rFonts w:ascii="Arial" w:cs="Arial" w:eastAsia="Arial" w:hAnsi="Arial"/>
                <w:sz w:val="14"/>
                <w:szCs w:val="14"/>
                <w:b w:val="1"/>
                <w:bCs w:val="1"/>
                <w:color w:val="auto"/>
                <w:w w:val="87"/>
              </w:rPr>
              <w:t>December 31,</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9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0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condensed consolidated statements of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9,057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9"/>
              </w:rPr>
              <w:t>$ 6,421</w:t>
            </w: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$ 24,249</w:t>
            </w:r>
          </w:p>
        </w:tc>
        <w:tc>
          <w:tcPr>
            <w:tcW w:w="1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$ 16,365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3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3,862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1,832</w:t>
            </w: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11,582</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color w:val="auto"/>
              </w:rPr>
              <w:t>4,679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867</w:t>
            </w: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0"/>
        </w:trPr>
        <w:tc>
          <w:tcPr>
            <w:tcW w:w="6200" w:type="dxa"/>
            <w:vAlign w:val="bottom"/>
          </w:tcPr>
          <w:p>
            <w:pPr>
              <w:ind w:left="200"/>
              <w:spacing w:after="0"/>
              <w:rPr>
                <w:sz w:val="20"/>
                <w:szCs w:val="20"/>
                <w:color w:val="auto"/>
              </w:rPr>
            </w:pPr>
            <w:r>
              <w:rPr>
                <w:rFonts w:ascii="Arial" w:cs="Arial" w:eastAsia="Arial" w:hAnsi="Arial"/>
                <w:sz w:val="18"/>
                <w:szCs w:val="18"/>
                <w:color w:val="auto"/>
              </w:rPr>
              <w:t>Aggregated R&amp;D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0"/>
              <w:spacing w:after="0"/>
              <w:rPr>
                <w:sz w:val="20"/>
                <w:szCs w:val="20"/>
                <w:color w:val="auto"/>
              </w:rPr>
            </w:pPr>
            <w:r>
              <w:rPr>
                <w:rFonts w:ascii="Arial" w:cs="Arial" w:eastAsia="Arial" w:hAnsi="Arial"/>
                <w:sz w:val="18"/>
                <w:szCs w:val="18"/>
                <w:color w:val="auto"/>
                <w:w w:val="90"/>
              </w:rPr>
              <w:t>13,047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89"/>
              </w:rPr>
              <w:t>$ 8,503</w:t>
            </w: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$ 36,233</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color w:val="auto"/>
              </w:rPr>
              <w:t>$ 21,911</w:t>
            </w:r>
          </w:p>
        </w:tc>
      </w:tr>
      <w:tr>
        <w:trPr>
          <w:trHeight w:val="20"/>
        </w:trPr>
        <w:tc>
          <w:tcPr>
            <w:tcW w:w="6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72"/>
        <w:spacing w:after="0" w:line="289" w:lineRule="auto"/>
        <w:rPr>
          <w:sz w:val="20"/>
          <w:szCs w:val="20"/>
          <w:color w:val="auto"/>
        </w:rPr>
      </w:pPr>
      <w:r>
        <w:rPr>
          <w:rFonts w:ascii="Arial" w:cs="Arial" w:eastAsia="Arial" w:hAnsi="Arial"/>
          <w:sz w:val="16"/>
          <w:szCs w:val="16"/>
          <w:color w:val="auto"/>
        </w:rPr>
        <w:t>R&amp;D expenses (exclusive of amounts classified as cost of revenues and amounts offset by cost-sharing funding) increased by 41% and 48% to $9.1 million and $24.3 million, or 8% of revenues, for each of the three and nine months ended December 31, 2010, respectively, from $6.4 million and $16.4 million, or 8% and 7% of revenues, for the three and nine months ended December 31, 2009, respectively. The increases in R&amp;D expenses were driven primarily by increased headcount and related labor spending, as well as added material and overhead spending to support new product development in our AMSC Power Systems business unit. The increases in R&amp;D expenditures reclassified to costs of revenue was a result of increased efforts under license and development contracts for wind turbine designs at AMSC Windtec compared to the prior year. Aggregated R&amp;D expenses, which include amounts classified as cost of revenues and amounts offset by cost-sharing funding, increased 53% and 65% to $13.0 million and $36.2 million, or 11% and 12% of revenues for the three and nine months ended December 31, 2010, respectively, compared to $8.5 million and $21.9 million, or 11% and 10% of revenues, for the three and nine months ended December 31, 2009, respectively. The increases in fiscal 2010 were driven primarily by the net impact of the factors described above.</w:t>
      </w:r>
    </w:p>
    <w:p>
      <w:pPr>
        <w:spacing w:after="0" w:line="140" w:lineRule="exact"/>
        <w:rPr>
          <w:sz w:val="20"/>
          <w:szCs w:val="20"/>
          <w:color w:val="auto"/>
        </w:rPr>
      </w:pPr>
    </w:p>
    <w:p>
      <w:pPr>
        <w:jc w:val="both"/>
        <w:ind w:firstLine="487"/>
        <w:spacing w:after="0" w:line="259" w:lineRule="auto"/>
        <w:rPr>
          <w:sz w:val="20"/>
          <w:szCs w:val="20"/>
          <w:color w:val="auto"/>
        </w:rPr>
      </w:pPr>
      <w:r>
        <w:rPr>
          <w:rFonts w:ascii="Arial" w:cs="Arial" w:eastAsia="Arial" w:hAnsi="Arial"/>
          <w:sz w:val="18"/>
          <w:szCs w:val="18"/>
          <w:color w:val="auto"/>
        </w:rPr>
        <w:t>We present aggregated R&amp;D, which is a non-GAAP measure, because we believe this presentation provides useful information on our aggregate R&amp;D spending and because R&amp;D expenses as reported on the condensed consolidated statements of income have been, and may in the future, be subject to significant fluctuations solely as a result of changes in the level of externally funded contract development work, resulting in significant changes in the amount of the costs recorded as costs of revenues rather than as R&amp;D expenses, as discussed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71"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8"/>
          <w:szCs w:val="18"/>
          <w:color w:val="auto"/>
        </w:rPr>
        <w:t>SG&amp;A expenses increased by 21% and 31% to $15.6 million and $47.9 million, or 14% and 15% of revenues, in the three and nine months ended December 31, 2010, respectively, from $12.9 million and $36.5 million, or 16% of revenues, for both the three and nine months ended December 31, 2009, respectively. The increases in SG&amp;A expenses were due primarily to higher labor and related costs driven by headcount growth and costs incurred related to the implementation of our new ERP system.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117" w:lineRule="exact"/>
        <w:rPr>
          <w:sz w:val="20"/>
          <w:szCs w:val="20"/>
          <w:color w:val="auto"/>
        </w:rPr>
      </w:pPr>
    </w:p>
    <w:p>
      <w:pPr>
        <w:jc w:val="both"/>
        <w:ind w:firstLine="666"/>
        <w:spacing w:after="0" w:line="264" w:lineRule="auto"/>
        <w:rPr>
          <w:sz w:val="20"/>
          <w:szCs w:val="20"/>
          <w:color w:val="auto"/>
        </w:rPr>
      </w:pPr>
      <w:r>
        <w:rPr>
          <w:rFonts w:ascii="Arial" w:cs="Arial" w:eastAsia="Arial" w:hAnsi="Arial"/>
          <w:sz w:val="18"/>
          <w:szCs w:val="18"/>
          <w:color w:val="auto"/>
        </w:rPr>
        <w:t>We recorded $0.4 million and $1.2 million in the three and nine months ended December 31, 2010, respectively, compared to $0.5 million and $1.4 million in the three and nine months ended December 31, 2009, respectively, in amortization expense related to our contractual relationships/backlog, customer relationships, core technology and know-how, trade names and trademark intangible assets.</w:t>
      </w:r>
    </w:p>
    <w:p>
      <w:pPr>
        <w:spacing w:after="0" w:line="73" w:lineRule="exact"/>
        <w:rPr>
          <w:sz w:val="20"/>
          <w:szCs w:val="20"/>
          <w:color w:val="auto"/>
        </w:rPr>
      </w:pPr>
    </w:p>
    <w:p>
      <w:pPr>
        <w:jc w:val="both"/>
        <w:ind w:firstLine="516"/>
        <w:spacing w:after="0" w:line="277" w:lineRule="auto"/>
        <w:rPr>
          <w:sz w:val="20"/>
          <w:szCs w:val="20"/>
          <w:color w:val="auto"/>
        </w:rPr>
      </w:pPr>
      <w:r>
        <w:rPr>
          <w:rFonts w:ascii="Arial" w:cs="Arial" w:eastAsia="Arial" w:hAnsi="Arial"/>
          <w:sz w:val="18"/>
          <w:szCs w:val="18"/>
          <w:color w:val="auto"/>
        </w:rPr>
        <w:t>We plan to continue to increase our operating expenses on a dollar basis for the rest of this fiscal year to provide a platform for growth in subsequent years, but expect them to decline as a percent of revenues compared to the year ended March 31,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income is summarized as follows (in thousands):</w:t>
      </w:r>
    </w:p>
    <w:p>
      <w:pPr>
        <w:spacing w:after="0" w:line="20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0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94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$ 31,833</w:t>
            </w:r>
          </w:p>
        </w:tc>
        <w:tc>
          <w:tcPr>
            <w:tcW w:w="12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$ 19,941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84,159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55,202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AMSC Superconductors</w:t>
            </w:r>
          </w:p>
        </w:tc>
        <w:tc>
          <w:tcPr>
            <w:tcW w:w="940" w:type="dxa"/>
            <w:vAlign w:val="bottom"/>
          </w:tcPr>
          <w:p>
            <w:pPr>
              <w:jc w:val="right"/>
              <w:spacing w:after="0"/>
              <w:rPr>
                <w:sz w:val="20"/>
                <w:szCs w:val="20"/>
                <w:color w:val="auto"/>
              </w:rPr>
            </w:pPr>
            <w:r>
              <w:rPr>
                <w:rFonts w:ascii="Arial" w:cs="Arial" w:eastAsia="Arial" w:hAnsi="Arial"/>
                <w:sz w:val="18"/>
                <w:szCs w:val="18"/>
                <w:color w:val="auto"/>
              </w:rPr>
              <w:t>(6,878)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(5,941)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(19,322)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2"/>
              </w:rPr>
              <w:t>(17,085)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(11,342)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(10,956)</w:t>
            </w:r>
          </w:p>
        </w:tc>
      </w:tr>
      <w:tr>
        <w:trPr>
          <w:trHeight w:val="223"/>
        </w:trPr>
        <w:tc>
          <w:tcPr>
            <w:tcW w:w="6060" w:type="dxa"/>
            <w:vAlign w:val="bottom"/>
          </w:tcPr>
          <w:p>
            <w:pPr>
              <w:ind w:left="40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$ 21,470</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$ 10,440</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53,495</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27,161</w:t>
            </w:r>
          </w:p>
        </w:tc>
      </w:tr>
      <w:tr>
        <w:trPr>
          <w:trHeight w:val="20"/>
        </w:trPr>
        <w:tc>
          <w:tcPr>
            <w:tcW w:w="6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662"/>
        <w:spacing w:after="0" w:line="264" w:lineRule="auto"/>
        <w:rPr>
          <w:sz w:val="20"/>
          <w:szCs w:val="20"/>
          <w:color w:val="auto"/>
        </w:rPr>
      </w:pPr>
      <w:r>
        <w:rPr>
          <w:rFonts w:ascii="Arial" w:cs="Arial" w:eastAsia="Arial" w:hAnsi="Arial"/>
          <w:sz w:val="18"/>
          <w:szCs w:val="18"/>
          <w:color w:val="auto"/>
        </w:rPr>
        <w:t>AMSC Power Systems operating income increased to $31.8 million and $84.2 million in the three and nine months ended December 31, 2010, respectively, from $19.9 million and $55.2 million in the three and nine months ended December 31, 2009, respectively. The increase in the three and nine months ended December 31, 2010 were primarily the result of greater sales, as described above.</w:t>
      </w:r>
    </w:p>
    <w:p>
      <w:pPr>
        <w:spacing w:after="0" w:line="73" w:lineRule="exact"/>
        <w:rPr>
          <w:sz w:val="20"/>
          <w:szCs w:val="20"/>
          <w:color w:val="auto"/>
        </w:rPr>
      </w:pPr>
    </w:p>
    <w:p>
      <w:pPr>
        <w:jc w:val="both"/>
        <w:ind w:firstLine="751"/>
        <w:spacing w:after="0" w:line="264" w:lineRule="auto"/>
        <w:rPr>
          <w:sz w:val="20"/>
          <w:szCs w:val="20"/>
          <w:color w:val="auto"/>
        </w:rPr>
      </w:pPr>
      <w:r>
        <w:rPr>
          <w:rFonts w:ascii="Arial" w:cs="Arial" w:eastAsia="Arial" w:hAnsi="Arial"/>
          <w:sz w:val="18"/>
          <w:szCs w:val="18"/>
          <w:color w:val="auto"/>
        </w:rPr>
        <w:t>AMSC Superconductors operating loss increased to $6.9 million and $19.3 million in the three and nine months ended December 31, 2010, respectively, from $5.9 million and $17.1 million in the three and nine months ended December 31, 2009, respectively. The increase in operating loss for the three and nine months ended December 31, 2010 is primarily due to lower sales, as described above.</w:t>
      </w:r>
    </w:p>
    <w:p>
      <w:pPr>
        <w:spacing w:after="0" w:line="73" w:lineRule="exact"/>
        <w:rPr>
          <w:sz w:val="20"/>
          <w:szCs w:val="20"/>
          <w:color w:val="auto"/>
        </w:rPr>
      </w:pPr>
    </w:p>
    <w:p>
      <w:pPr>
        <w:jc w:val="both"/>
        <w:ind w:firstLine="632"/>
        <w:spacing w:after="0" w:line="259" w:lineRule="auto"/>
        <w:rPr>
          <w:sz w:val="20"/>
          <w:szCs w:val="20"/>
          <w:color w:val="auto"/>
        </w:rPr>
      </w:pPr>
      <w:r>
        <w:rPr>
          <w:rFonts w:ascii="Arial" w:cs="Arial" w:eastAsia="Arial" w:hAnsi="Arial"/>
          <w:sz w:val="18"/>
          <w:szCs w:val="18"/>
          <w:color w:val="auto"/>
        </w:rPr>
        <w:t>Unallocated corporate expenses include stock-based compensation expense of $3.4 million and $11.3 million in the three and nine months ended December 31, 2010, respectively, compared to $3.5 million and $10.4 million in the three and nine months ended December 31, 2009, respectively. Unallocated corporate expenses for the nine months ended December 31, 2009 included $0.5 million of restructuring charges related to the closure of the Company’s facility in Westborough, Massachusetts.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jc w:val="both"/>
        <w:ind w:firstLine="547"/>
        <w:spacing w:after="0" w:line="264" w:lineRule="auto"/>
        <w:rPr>
          <w:sz w:val="20"/>
          <w:szCs w:val="20"/>
          <w:color w:val="auto"/>
        </w:rPr>
      </w:pPr>
      <w:r>
        <w:rPr>
          <w:rFonts w:ascii="Arial" w:cs="Arial" w:eastAsia="Arial" w:hAnsi="Arial"/>
          <w:sz w:val="18"/>
          <w:szCs w:val="18"/>
          <w:color w:val="auto"/>
        </w:rPr>
        <w:t>Interest income (expense), net, was $0.2 million and $0.5 million in the three and nine months ended December 31, 2010, respectively, compared to $0.2 million and $0.6 million in the three and nine months ended December 31, 2009, respectively. Due to current economic conditions, yields are low for interest bearing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640"/>
        <w:spacing w:after="0" w:line="302" w:lineRule="auto"/>
        <w:rPr>
          <w:sz w:val="20"/>
          <w:szCs w:val="20"/>
          <w:color w:val="auto"/>
        </w:rPr>
      </w:pPr>
      <w:r>
        <w:rPr>
          <w:rFonts w:ascii="Arial" w:cs="Arial" w:eastAsia="Arial" w:hAnsi="Arial"/>
          <w:sz w:val="16"/>
          <w:szCs w:val="16"/>
          <w:color w:val="auto"/>
        </w:rPr>
        <w:t>Other income (expense), net, was income of $2.1 million and $4.7 million in the three and nine months ended December 31, 2010, respectively, compared to income of $0.2 million and expense of $2.7 million for the three and nine months ended December 31, 2009, respectively. Other income (expense), net primarily relates to foreign currency translation gains, net of hedging activities, of $2.6 million and $5.7 million and losses on investments in Blade Dynamics and Tres Amigas of $0.7 million and $1.3 million for the three and nine months ended December 31, 2010,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99"/>
        <w:spacing w:after="0" w:line="312" w:lineRule="auto"/>
        <w:rPr>
          <w:sz w:val="20"/>
          <w:szCs w:val="20"/>
          <w:color w:val="auto"/>
        </w:rPr>
      </w:pPr>
      <w:r>
        <w:rPr>
          <w:rFonts w:ascii="Arial" w:cs="Arial" w:eastAsia="Arial" w:hAnsi="Arial"/>
          <w:sz w:val="16"/>
          <w:szCs w:val="16"/>
          <w:color w:val="auto"/>
        </w:rPr>
        <w:t>In the three and nine months ended December 31, 2010, we recorded income tax expense of $7.8 million and $23.6 million, respectively, compared to $5.6 million and $13.8 million in the three and nine months ended December 31, 2009, respectively. Income tax expense in all periods was driven primarily by income generated in foreign jurisdictions. We incurred losses in the U.S. during the three and nine months of fiscal 2010 and fiscal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 prepared in accordance with GAAP.</w:t>
      </w:r>
    </w:p>
    <w:p>
      <w:pPr>
        <w:spacing w:after="0" w:line="79" w:lineRule="exact"/>
        <w:rPr>
          <w:sz w:val="20"/>
          <w:szCs w:val="20"/>
          <w:color w:val="auto"/>
        </w:rPr>
      </w:pPr>
    </w:p>
    <w:p>
      <w:pPr>
        <w:jc w:val="both"/>
        <w:ind w:firstLine="608"/>
        <w:spacing w:after="0" w:line="257" w:lineRule="auto"/>
        <w:rPr>
          <w:sz w:val="20"/>
          <w:szCs w:val="20"/>
          <w:color w:val="auto"/>
        </w:rPr>
      </w:pPr>
      <w:r>
        <w:rPr>
          <w:rFonts w:ascii="Arial" w:cs="Arial" w:eastAsia="Arial" w:hAnsi="Arial"/>
          <w:sz w:val="18"/>
          <w:szCs w:val="18"/>
          <w:color w:val="auto"/>
        </w:rPr>
        <w:t>We define non-GAAP net income as net income before amortization of acquisition-related intangibles, restructuring and impairments, stock-based compensation, other unusual charges and any tax effects related to these items. We believe non-GAAP net income is an important measurement for management and investors given the effect that these non-cash or non-recurring charges have on our net income. We regard non-GAAP net income as a useful measure of operating performance which more closely aligns net income with cash earnings generated by continuing operations. A reconciliation of non-GAAP to GAAP net income is set forth in the table below (in thousands, except per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16,004</w:t>
            </w:r>
          </w:p>
        </w:tc>
        <w:tc>
          <w:tcPr>
            <w:tcW w:w="660" w:type="dxa"/>
            <w:vAlign w:val="bottom"/>
            <w:gridSpan w:val="2"/>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5,179</w:t>
            </w:r>
          </w:p>
        </w:tc>
        <w:tc>
          <w:tcPr>
            <w:tcW w:w="6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35,161</w:t>
            </w:r>
          </w:p>
        </w:tc>
        <w:tc>
          <w:tcPr>
            <w:tcW w:w="660" w:type="dxa"/>
            <w:vAlign w:val="bottom"/>
            <w:gridSpan w:val="2"/>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11,311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Amortization of acquisition-related intangibles</w:t>
            </w:r>
          </w:p>
        </w:tc>
        <w:tc>
          <w:tcPr>
            <w:tcW w:w="26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393</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473</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1,154</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Restructuring and impairments</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3,445</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3,522</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11,269</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effects</w:t>
            </w: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3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3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56"/>
        </w:trPr>
        <w:tc>
          <w:tcPr>
            <w:tcW w:w="6200" w:type="dxa"/>
            <w:vAlign w:val="bottom"/>
            <w:gridSpan w:val="2"/>
          </w:tcPr>
          <w:p>
            <w:pPr>
              <w:spacing w:after="0" w:line="155" w:lineRule="exact"/>
              <w:rPr>
                <w:sz w:val="20"/>
                <w:szCs w:val="20"/>
                <w:color w:val="auto"/>
              </w:rPr>
            </w:pPr>
            <w:r>
              <w:rPr>
                <w:rFonts w:ascii="Arial" w:cs="Arial" w:eastAsia="Arial" w:hAnsi="Arial"/>
                <w:sz w:val="14"/>
                <w:szCs w:val="14"/>
                <w:color w:val="auto"/>
              </w:rPr>
              <w:t>Non-GAAP net income</w:t>
            </w:r>
          </w:p>
        </w:tc>
        <w:tc>
          <w:tcPr>
            <w:tcW w:w="2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19,754</w:t>
            </w:r>
          </w:p>
        </w:tc>
        <w:tc>
          <w:tcPr>
            <w:tcW w:w="340" w:type="dxa"/>
            <w:vAlign w:val="bottom"/>
          </w:tcPr>
          <w:p>
            <w:pPr>
              <w:spacing w:after="0"/>
              <w:rPr>
                <w:sz w:val="13"/>
                <w:szCs w:val="13"/>
                <w:color w:val="auto"/>
              </w:rPr>
            </w:pPr>
          </w:p>
        </w:tc>
        <w:tc>
          <w:tcPr>
            <w:tcW w:w="3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9,078</w:t>
            </w:r>
          </w:p>
        </w:tc>
        <w:tc>
          <w:tcPr>
            <w:tcW w:w="340" w:type="dxa"/>
            <w:vAlign w:val="bottom"/>
          </w:tcPr>
          <w:p>
            <w:pPr>
              <w:spacing w:after="0"/>
              <w:rPr>
                <w:sz w:val="13"/>
                <w:szCs w:val="13"/>
                <w:color w:val="auto"/>
              </w:rPr>
            </w:pPr>
          </w:p>
        </w:tc>
        <w:tc>
          <w:tcPr>
            <w:tcW w:w="2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47,329</w:t>
            </w:r>
          </w:p>
        </w:tc>
        <w:tc>
          <w:tcPr>
            <w:tcW w:w="340" w:type="dxa"/>
            <w:vAlign w:val="bottom"/>
          </w:tcPr>
          <w:p>
            <w:pPr>
              <w:spacing w:after="0"/>
              <w:rPr>
                <w:sz w:val="13"/>
                <w:szCs w:val="13"/>
                <w:color w:val="auto"/>
              </w:rPr>
            </w:pPr>
          </w:p>
        </w:tc>
        <w:tc>
          <w:tcPr>
            <w:tcW w:w="3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23,303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Non-GAAP earnings per share</w:t>
            </w:r>
          </w:p>
        </w:tc>
        <w:tc>
          <w:tcPr>
            <w:tcW w:w="2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0.40</w:t>
            </w:r>
          </w:p>
        </w:tc>
        <w:tc>
          <w:tcPr>
            <w:tcW w:w="6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0.20</w:t>
            </w:r>
          </w:p>
        </w:tc>
        <w:tc>
          <w:tcPr>
            <w:tcW w:w="6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1.01</w:t>
            </w:r>
          </w:p>
        </w:tc>
        <w:tc>
          <w:tcPr>
            <w:tcW w:w="6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diluted shares out 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0" w:type="dxa"/>
            <w:vAlign w:val="bottom"/>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49,017</w:t>
            </w: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45,566</w:t>
            </w: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47,076</w:t>
            </w: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45,072</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558"/>
        <w:spacing w:after="0" w:line="286" w:lineRule="auto"/>
        <w:rPr>
          <w:sz w:val="20"/>
          <w:szCs w:val="20"/>
          <w:color w:val="auto"/>
        </w:rPr>
      </w:pPr>
      <w:r>
        <w:rPr>
          <w:rFonts w:ascii="Arial" w:cs="Arial" w:eastAsia="Arial" w:hAnsi="Arial"/>
          <w:sz w:val="17"/>
          <w:szCs w:val="17"/>
          <w:color w:val="auto"/>
        </w:rPr>
        <w:t>We generated non-GAAP net income of $19.8 million and $47.3, million or $0.40 and $1.01 per diluted share, for the three and nine months ended December 31, 2010, compared to a non-GAAP net income of $9.1 million and $23.3 million, or $0.20 and $0.52 per diluted share, for the three and nine months ended December 31, 2009. The increase in non-GAAP net income was driven primarily by higher net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 w:firstLine="606"/>
        <w:spacing w:after="0" w:line="312" w:lineRule="auto"/>
        <w:rPr>
          <w:sz w:val="20"/>
          <w:szCs w:val="20"/>
          <w:color w:val="auto"/>
        </w:rPr>
      </w:pPr>
      <w:r>
        <w:rPr>
          <w:rFonts w:ascii="Arial" w:cs="Arial" w:eastAsia="Arial" w:hAnsi="Arial"/>
          <w:sz w:val="16"/>
          <w:szCs w:val="16"/>
          <w:color w:val="auto"/>
        </w:rPr>
        <w:t>At December 31, 2010, we had cash, cash equivalents, marketable securities and restricted cash of $260.5 million, compared to $155.1 million at March 31, 2010, an increase of $105.4 million. In the quarter ended December 31, 2010, we completed a public offering of common stock in which we received net proceeds of $155.2 million. Our cash and cash equivalents, marketable securities and restricted cash are summarized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169,021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87,594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Marketable securities (short and long-term)</w:t>
            </w:r>
          </w:p>
        </w:tc>
        <w:tc>
          <w:tcPr>
            <w:tcW w:w="3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86,071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61,811</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w:t>
            </w:r>
          </w:p>
        </w:tc>
      </w:tr>
      <w:tr>
        <w:trPr>
          <w:trHeight w:val="223"/>
        </w:trPr>
        <w:tc>
          <w:tcPr>
            <w:tcW w:w="8820" w:type="dxa"/>
            <w:vAlign w:val="bottom"/>
          </w:tcPr>
          <w:p>
            <w:pPr>
              <w:ind w:left="42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260,525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155,118</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512"/>
        <w:spacing w:after="0" w:line="264" w:lineRule="auto"/>
        <w:rPr>
          <w:sz w:val="20"/>
          <w:szCs w:val="20"/>
          <w:color w:val="auto"/>
        </w:rPr>
      </w:pPr>
      <w:r>
        <w:rPr>
          <w:rFonts w:ascii="Arial" w:cs="Arial" w:eastAsia="Arial" w:hAnsi="Arial"/>
          <w:sz w:val="18"/>
          <w:szCs w:val="18"/>
          <w:color w:val="auto"/>
        </w:rPr>
        <w:t>The increase in cash and cash equivalents, marketable securities and restricted cash at December 31, 2010 from March 31, 2010 was due primarily to the net proceeds from our public offering of common stock, offset by cash used for working capital, primarily an increase in accounts receivable, and capital expenditures made in support of our effort to scale up our Amperium™ wire capacity.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549"/>
        <w:spacing w:after="0" w:line="264" w:lineRule="auto"/>
        <w:rPr>
          <w:sz w:val="20"/>
          <w:szCs w:val="20"/>
          <w:color w:val="auto"/>
        </w:rPr>
      </w:pPr>
      <w:r>
        <w:rPr>
          <w:rFonts w:ascii="Arial" w:cs="Arial" w:eastAsia="Arial" w:hAnsi="Arial"/>
          <w:sz w:val="18"/>
          <w:szCs w:val="18"/>
          <w:color w:val="auto"/>
        </w:rPr>
        <w:t>For the nine months ended December 31, 2010, net cash used in operating activities was $16.3 million compared to $1.1 million in the nine months ended December 31, 2009. The increase in cash used in operations is due primarily to an increase in cash used for working capital of $44.4 million, partially offset by our increase of net income of $23.9 million and stock-based compensation of $1.0 million.</w:t>
      </w:r>
    </w:p>
    <w:p>
      <w:pPr>
        <w:spacing w:after="0" w:line="73" w:lineRule="exact"/>
        <w:rPr>
          <w:sz w:val="20"/>
          <w:szCs w:val="20"/>
          <w:color w:val="auto"/>
        </w:rPr>
      </w:pPr>
    </w:p>
    <w:p>
      <w:pPr>
        <w:jc w:val="both"/>
        <w:ind w:firstLine="529"/>
        <w:spacing w:after="0" w:line="264" w:lineRule="auto"/>
        <w:rPr>
          <w:sz w:val="20"/>
          <w:szCs w:val="20"/>
          <w:color w:val="auto"/>
        </w:rPr>
      </w:pPr>
      <w:r>
        <w:rPr>
          <w:rFonts w:ascii="Arial" w:cs="Arial" w:eastAsia="Arial" w:hAnsi="Arial"/>
          <w:sz w:val="18"/>
          <w:szCs w:val="18"/>
          <w:color w:val="auto"/>
        </w:rPr>
        <w:t>For the nine months ended December 31, 2010, net cash used in investing activities was $65.1 million compared to $36.3 million in the nine months ended December 31, 2009. The increase in cash used in investing activities was driven primarily by an increase in capital expenditures and the purchased minority investment in Blade Dynamics during the nine months ended December 31, 2010.</w:t>
      </w:r>
    </w:p>
    <w:p>
      <w:pPr>
        <w:spacing w:after="0" w:line="73" w:lineRule="exact"/>
        <w:rPr>
          <w:sz w:val="20"/>
          <w:szCs w:val="20"/>
          <w:color w:val="auto"/>
        </w:rPr>
      </w:pPr>
    </w:p>
    <w:p>
      <w:pPr>
        <w:jc w:val="both"/>
        <w:ind w:firstLine="503"/>
        <w:spacing w:after="0" w:line="308" w:lineRule="auto"/>
        <w:rPr>
          <w:sz w:val="20"/>
          <w:szCs w:val="20"/>
          <w:color w:val="auto"/>
        </w:rPr>
      </w:pPr>
      <w:r>
        <w:rPr>
          <w:rFonts w:ascii="Arial" w:cs="Arial" w:eastAsia="Arial" w:hAnsi="Arial"/>
          <w:sz w:val="17"/>
          <w:szCs w:val="17"/>
          <w:color w:val="auto"/>
        </w:rPr>
        <w:t>For the nine months ended December 31, 2010, cash provided by financing activities was $162.6 million compared to $6.0 million in the same period of fiscal 2009. The increase in cash provided by financing activities is primarily due to the net proceeds from our public offering of $155.2 million.</w:t>
      </w:r>
    </w:p>
    <w:p>
      <w:pPr>
        <w:spacing w:after="0" w:line="38" w:lineRule="exact"/>
        <w:rPr>
          <w:sz w:val="20"/>
          <w:szCs w:val="20"/>
          <w:color w:val="auto"/>
        </w:rPr>
      </w:pPr>
    </w:p>
    <w:p>
      <w:pPr>
        <w:jc w:val="both"/>
        <w:ind w:firstLine="471"/>
        <w:spacing w:after="0" w:line="312" w:lineRule="auto"/>
        <w:rPr>
          <w:sz w:val="20"/>
          <w:szCs w:val="20"/>
          <w:color w:val="auto"/>
        </w:rPr>
      </w:pPr>
      <w:r>
        <w:rPr>
          <w:rFonts w:ascii="Arial" w:cs="Arial" w:eastAsia="Arial" w:hAnsi="Arial"/>
          <w:sz w:val="16"/>
          <w:szCs w:val="16"/>
          <w:color w:val="auto"/>
        </w:rPr>
        <w:t>Although our cash requirements fluctuate based on a variety of factors, including customer adoption of our products and our research and development efforts to commercialize our products, we believe that our revenue from product sales together with existing resources, including the cash from our public offering, will be sufficient to fund our working capital, capital expenditures, and other cash requirements for at least the next twelve months.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had unused, unsecured lines of credit consisting of $18.2 million (approximately CNY 120.4 million) and $2.7 million (approximately €2.0 million) as of December 31, 2010. We also had an additional $3.8 million in bank guarantees and letters of credit supported by unsecured lines of credit. Recently, the Chinese government adopted various economic measures designed to restrict the availability of credit and contain inflation which may impact our ability to access unused lines of credit in China.</w:t>
      </w:r>
    </w:p>
    <w:p>
      <w:pPr>
        <w:spacing w:after="0" w:line="79"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possibility exists that we may pursue additional acquisition and joint venture opportunities in the future that may affect liquidity and capital resource requirements.</w:t>
      </w:r>
    </w:p>
    <w:p>
      <w:pPr>
        <w:spacing w:after="0" w:line="62" w:lineRule="exact"/>
        <w:rPr>
          <w:sz w:val="20"/>
          <w:szCs w:val="20"/>
          <w:color w:val="auto"/>
        </w:rPr>
      </w:pPr>
    </w:p>
    <w:p>
      <w:pPr>
        <w:jc w:val="both"/>
        <w:ind w:firstLine="614"/>
        <w:spacing w:after="0" w:line="302" w:lineRule="auto"/>
        <w:rPr>
          <w:sz w:val="20"/>
          <w:szCs w:val="20"/>
          <w:color w:val="auto"/>
        </w:rPr>
      </w:pPr>
      <w:r>
        <w:rPr>
          <w:rFonts w:ascii="Arial" w:cs="Arial" w:eastAsia="Arial" w:hAnsi="Arial"/>
          <w:sz w:val="16"/>
          <w:szCs w:val="16"/>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the loss is not probable or cannot be reasonably estimated, a liability is not recorded in our consolidated financial statements. At December 31, 2010, we did not have any material pending litigation.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firstLine="672"/>
        <w:spacing w:after="0" w:line="264"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73"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December 31, 2010, there were no recorded performance-based liabilities.</w:t>
      </w:r>
    </w:p>
    <w:p>
      <w:pPr>
        <w:spacing w:after="0" w:line="73" w:lineRule="exact"/>
        <w:rPr>
          <w:sz w:val="20"/>
          <w:szCs w:val="20"/>
          <w:color w:val="auto"/>
        </w:rPr>
      </w:pPr>
    </w:p>
    <w:p>
      <w:pPr>
        <w:jc w:val="both"/>
        <w:ind w:right="20" w:firstLine="702"/>
        <w:spacing w:after="0" w:line="277" w:lineRule="auto"/>
        <w:rPr>
          <w:sz w:val="20"/>
          <w:szCs w:val="20"/>
          <w:color w:val="auto"/>
        </w:rPr>
      </w:pPr>
      <w:r>
        <w:rPr>
          <w:rFonts w:ascii="Arial" w:cs="Arial" w:eastAsia="Arial" w:hAnsi="Arial"/>
          <w:sz w:val="18"/>
          <w:szCs w:val="18"/>
          <w:color w:val="auto"/>
        </w:rPr>
        <w:t>In addition, the Company has various contractual arrangements in which minimum quantities of goods or services have been committed to be purchased on an annual basis.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ind w:firstLine="622"/>
        <w:spacing w:after="0" w:line="308" w:lineRule="auto"/>
        <w:rPr>
          <w:sz w:val="20"/>
          <w:szCs w:val="20"/>
          <w:color w:val="auto"/>
        </w:rPr>
      </w:pPr>
      <w:r>
        <w:rPr>
          <w:rFonts w:ascii="Arial" w:cs="Arial" w:eastAsia="Arial" w:hAnsi="Arial"/>
          <w:sz w:val="17"/>
          <w:szCs w:val="17"/>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17"/>
          <w:szCs w:val="17"/>
          <w:color w:val="auto"/>
        </w:rPr>
        <w:t>Our exposure to market risk through financial instruments, such as investments in marketable securities, is limited to interest rate risk and is not material. Our investments in marketable securities consist primarily of government-backed securities and sovereign debt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firstLine="481"/>
        <w:spacing w:after="0" w:line="259" w:lineRule="auto"/>
        <w:rPr>
          <w:sz w:val="20"/>
          <w:szCs w:val="20"/>
          <w:color w:val="auto"/>
        </w:rPr>
      </w:pPr>
      <w:r>
        <w:rPr>
          <w:rFonts w:ascii="Arial" w:cs="Arial" w:eastAsia="Arial" w:hAnsi="Arial"/>
          <w:sz w:val="18"/>
          <w:szCs w:val="18"/>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both forward contracts and currency options to manage the foreign currency exposures that exist as part of its ongoing business operations. We recognize all derivatives, including forward currency-exchange contracts, in the balance sheet at fair value.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We hedge a portion of our intercompany sales of inventory over a maximum period of 15 months using forward foreign exchange contracts accounted for as cash flow hedges to mitigate the impact of volatility associated with foreign currency transactions.</w:t>
      </w:r>
    </w:p>
    <w:p>
      <w:pPr>
        <w:spacing w:after="0" w:line="35"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To the extent that a previously forecasted transaction is no longer an effective hedge, any ineffectiveness measured in the hedging relationship is recorded in earnings in the period it occurs. We do not enter into derivative instruments for trading or speculative purposes. Realized gains and losses resulting from these cash flow hedges offset the foreign exchange gains and losses on the underlying transactions being hedged. Gains and losses on derivatives not designated for hedge accounting or representing either hedge ineffectiveness or hedge components excluded from the assessment of effectiveness are recognized in other income (expense), net.</w:t>
      </w:r>
    </w:p>
    <w:p>
      <w:pPr>
        <w:spacing w:after="0" w:line="44" w:lineRule="exact"/>
        <w:rPr>
          <w:sz w:val="20"/>
          <w:szCs w:val="20"/>
          <w:color w:val="auto"/>
        </w:rPr>
      </w:pPr>
    </w:p>
    <w:p>
      <w:pPr>
        <w:jc w:val="both"/>
        <w:ind w:firstLine="462"/>
        <w:spacing w:after="0" w:line="259" w:lineRule="auto"/>
        <w:rPr>
          <w:sz w:val="20"/>
          <w:szCs w:val="20"/>
          <w:color w:val="auto"/>
        </w:rPr>
      </w:pPr>
      <w:r>
        <w:rPr>
          <w:rFonts w:ascii="Arial" w:cs="Arial" w:eastAsia="Arial" w:hAnsi="Arial"/>
          <w:sz w:val="18"/>
          <w:szCs w:val="18"/>
          <w:color w:val="auto"/>
        </w:rPr>
        <w:t>At December 31, 2010, we had forward contracts outstanding to hedge cash flow exposure at AMSC Windtec, with aggregate USD equivalent notional amounts of $28.9 million. These contracts will expire at various dates through December 2011. The net gain or loss from these cash flow hedges reported in accumulated other comprehensive income will be reclassified to earnings and recorded in cost of revenues in our condensed consolidated statement of income when the related inventory is sold to third-party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Hedges</w:t>
      </w:r>
    </w:p>
    <w:p>
      <w:pPr>
        <w:spacing w:after="0" w:line="90" w:lineRule="exact"/>
        <w:rPr>
          <w:sz w:val="20"/>
          <w:szCs w:val="20"/>
          <w:color w:val="auto"/>
        </w:rPr>
      </w:pPr>
    </w:p>
    <w:p>
      <w:pPr>
        <w:jc w:val="both"/>
        <w:ind w:firstLine="483"/>
        <w:spacing w:after="0" w:line="257" w:lineRule="auto"/>
        <w:rPr>
          <w:sz w:val="20"/>
          <w:szCs w:val="20"/>
          <w:color w:val="auto"/>
        </w:rPr>
      </w:pPr>
      <w:r>
        <w:rPr>
          <w:rFonts w:ascii="Arial" w:cs="Arial" w:eastAsia="Arial" w:hAnsi="Arial"/>
          <w:sz w:val="18"/>
          <w:szCs w:val="18"/>
          <w:color w:val="auto"/>
        </w:rPr>
        <w:t>In addition to cash flow hedges, we also enter into foreign currency forward exchange contracts to mitigate the impact of foreign exchange risk related to certain non-functional currency receivable balances in its foreign entities. We do not elect hedge accounting treatment for these hedges, consequently, changes in the fair value of these contracts are recorded within other income (expense), net, in the period which they occur. At December 31, 2010, we had forward contracts outstanding with aggregate USD equivalent notional amounts of $87.5 million. These contracts will expire at various dates through February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2010.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2010, our chief executive officer and chief financial officer concluded that, as of such date, our disclosure controls and procedures were effective at the reasonable assurance level.</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firstLine="539"/>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December 31, 2010 that has materially affected, or is reasonably likely to materially affect, our internal control over financial reporting.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jc w:val="both"/>
        <w:ind w:right="20" w:firstLine="499"/>
        <w:spacing w:after="0" w:line="286" w:lineRule="auto"/>
        <w:rPr>
          <w:sz w:val="20"/>
          <w:szCs w:val="20"/>
          <w:color w:val="auto"/>
        </w:rPr>
      </w:pPr>
      <w:r>
        <w:rPr>
          <w:rFonts w:ascii="Arial" w:cs="Arial" w:eastAsia="Arial" w:hAnsi="Arial"/>
          <w:sz w:val="17"/>
          <w:szCs w:val="17"/>
          <w:color w:val="auto"/>
        </w:rPr>
        <w:t>Investing in our common stock involves a high degree of risk. You should carefully consider the risks and uncertainties described in our annual report on Form 10-K for the year ended March 31, 2010 in addition to the other information included in this quarterly report. If any of the risks actually occurs, our business, financial condition or results of operations would likely suffer. In that case, the trading price of our common stock could fall.</w:t>
      </w:r>
    </w:p>
    <w:p>
      <w:pPr>
        <w:spacing w:after="0" w:line="30"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8"/>
          <w:szCs w:val="18"/>
          <w:color w:val="auto"/>
        </w:rPr>
        <w:t>As of December 31, 2010, there have not been any material changes to the risk factors disclosed in our Annual Report on Form 10-K for the fiscal year ended March 31, 2010, although we may disclose changes to such risk factors or disclose additional risk factors from time to time in our future filings with the SEC.</w:t>
      </w:r>
    </w:p>
    <w:p>
      <w:pPr>
        <w:spacing w:after="0" w:line="1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p>
      <w:pPr>
        <w:jc w:val="both"/>
        <w:ind w:firstLine="506"/>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6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AMERICAN SUPERCONDUCTOR CORPORATION</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3,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1500"/>
        <w:spacing w:after="0"/>
        <w:rPr>
          <w:sz w:val="20"/>
          <w:szCs w:val="20"/>
          <w:color w:val="auto"/>
        </w:rPr>
      </w:pPr>
      <w:r>
        <w:rPr>
          <w:rFonts w:ascii="Arial" w:cs="Arial" w:eastAsia="Arial" w:hAnsi="Arial"/>
          <w:sz w:val="16"/>
          <w:szCs w:val="16"/>
          <w:b w:val="1"/>
          <w:bCs w:val="1"/>
          <w:color w:val="auto"/>
        </w:rPr>
        <w:t>/s/ David A. Henry</w:t>
      </w:r>
    </w:p>
    <w:p>
      <w:pPr>
        <w:spacing w:after="0" w:line="50" w:lineRule="exact"/>
        <w:rPr>
          <w:sz w:val="20"/>
          <w:szCs w:val="20"/>
          <w:color w:val="auto"/>
        </w:rPr>
      </w:pPr>
    </w:p>
    <w:p>
      <w:pPr>
        <w:sectPr>
          <w:pgSz w:w="11900" w:h="16838" w:orient="portrait"/>
          <w:cols w:equalWidth="0" w:num="3">
            <w:col w:w="6100" w:space="720"/>
            <w:col w:w="960" w:space="720"/>
            <w:col w:w="2920"/>
          </w:cols>
          <w:pgMar w:left="240" w:top="419" w:right="239" w:bottom="1440" w:gutter="0" w:footer="0" w:header="0"/>
          <w:type w:val="continuous"/>
        </w:sectPr>
      </w:pPr>
    </w:p>
    <w:p>
      <w:pPr>
        <w:jc w:val="center"/>
        <w:ind w:left="710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8473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jc w:val="center"/>
        <w:ind w:left="7100"/>
        <w:spacing w:after="0"/>
        <w:rPr>
          <w:sz w:val="20"/>
          <w:szCs w:val="20"/>
          <w:color w:val="auto"/>
        </w:rPr>
      </w:pPr>
      <w:r>
        <w:rPr>
          <w:rFonts w:ascii="Arial" w:cs="Arial" w:eastAsia="Arial" w:hAnsi="Arial"/>
          <w:sz w:val="16"/>
          <w:szCs w:val="16"/>
          <w:color w:val="auto"/>
        </w:rPr>
        <w:t>Senior Vice President and Chief Financial Officer</w:t>
      </w:r>
    </w:p>
    <w:p>
      <w:pPr>
        <w:spacing w:after="0" w:line="32"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(Principal Financial and Accounting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0520" w:type="dxa"/>
            <w:vAlign w:val="bottom"/>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284"/>
        </w:trPr>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1052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Description</w:t>
            </w:r>
          </w:p>
        </w:tc>
      </w:tr>
      <w:tr>
        <w:trPr>
          <w:trHeight w:val="285"/>
        </w:trPr>
        <w:tc>
          <w:tcPr>
            <w:tcW w:w="900" w:type="dxa"/>
            <w:vAlign w:val="bottom"/>
          </w:tcPr>
          <w:p>
            <w:pPr>
              <w:spacing w:after="0"/>
              <w:rPr>
                <w:sz w:val="20"/>
                <w:szCs w:val="20"/>
                <w:color w:val="auto"/>
              </w:rPr>
            </w:pPr>
            <w:r>
              <w:rPr>
                <w:rFonts w:ascii="Arial" w:cs="Arial" w:eastAsia="Arial" w:hAnsi="Arial"/>
                <w:sz w:val="14"/>
                <w:szCs w:val="14"/>
                <w:color w:val="auto"/>
              </w:rPr>
              <w:t>31.1</w:t>
            </w:r>
          </w:p>
        </w:tc>
        <w:tc>
          <w:tcPr>
            <w:tcW w:w="10520" w:type="dxa"/>
            <w:vAlign w:val="bottom"/>
          </w:tcPr>
          <w:p>
            <w:pPr>
              <w:ind w:left="260"/>
              <w:spacing w:after="0"/>
              <w:rPr>
                <w:sz w:val="20"/>
                <w:szCs w:val="20"/>
                <w:color w:val="auto"/>
              </w:rPr>
            </w:pPr>
            <w:r>
              <w:rPr>
                <w:rFonts w:ascii="Arial" w:cs="Arial" w:eastAsia="Arial" w:hAnsi="Arial"/>
                <w:sz w:val="14"/>
                <w:szCs w:val="14"/>
                <w:color w:val="auto"/>
                <w:w w:val="93"/>
              </w:rPr>
              <w:t>Chief Executive Officer—Certification pursuant to Rule 13a-14(a) or Rule 15d-14(a) of the Securities Exchange Act of 1934, as adopted pursuant to Section 302 of the Sarbanes-</w:t>
            </w:r>
          </w:p>
        </w:tc>
      </w:tr>
      <w:tr>
        <w:trPr>
          <w:trHeight w:val="182"/>
        </w:trPr>
        <w:tc>
          <w:tcPr>
            <w:tcW w:w="900" w:type="dxa"/>
            <w:vAlign w:val="bottom"/>
          </w:tcPr>
          <w:p>
            <w:pPr>
              <w:spacing w:after="0"/>
              <w:rPr>
                <w:sz w:val="15"/>
                <w:szCs w:val="15"/>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Oxley Act of 2002</w:t>
            </w:r>
          </w:p>
        </w:tc>
      </w:tr>
      <w:tr>
        <w:trPr>
          <w:trHeight w:val="263"/>
        </w:trPr>
        <w:tc>
          <w:tcPr>
            <w:tcW w:w="900" w:type="dxa"/>
            <w:vAlign w:val="bottom"/>
          </w:tcPr>
          <w:p>
            <w:pPr>
              <w:spacing w:after="0"/>
              <w:rPr>
                <w:sz w:val="20"/>
                <w:szCs w:val="20"/>
                <w:color w:val="auto"/>
              </w:rPr>
            </w:pPr>
            <w:r>
              <w:rPr>
                <w:rFonts w:ascii="Arial" w:cs="Arial" w:eastAsia="Arial" w:hAnsi="Arial"/>
                <w:sz w:val="14"/>
                <w:szCs w:val="14"/>
                <w:color w:val="auto"/>
              </w:rPr>
              <w:t>31.2</w:t>
            </w:r>
          </w:p>
        </w:tc>
        <w:tc>
          <w:tcPr>
            <w:tcW w:w="10520" w:type="dxa"/>
            <w:vAlign w:val="bottom"/>
          </w:tcPr>
          <w:p>
            <w:pPr>
              <w:ind w:left="260"/>
              <w:spacing w:after="0"/>
              <w:rPr>
                <w:sz w:val="20"/>
                <w:szCs w:val="20"/>
                <w:color w:val="auto"/>
              </w:rPr>
            </w:pPr>
            <w:r>
              <w:rPr>
                <w:rFonts w:ascii="Arial" w:cs="Arial" w:eastAsia="Arial" w:hAnsi="Arial"/>
                <w:sz w:val="14"/>
                <w:szCs w:val="14"/>
                <w:color w:val="auto"/>
                <w:w w:val="93"/>
              </w:rPr>
              <w:t>Chief Financial Officer—Certification pursuant to Rule 13a-14(a) or Rule 15d-14(a) of the Securities Exchange Act of 1934, as adopted pursuant to Section 302 of the Sarbanes-</w:t>
            </w:r>
          </w:p>
        </w:tc>
      </w:tr>
      <w:tr>
        <w:trPr>
          <w:trHeight w:val="182"/>
        </w:trPr>
        <w:tc>
          <w:tcPr>
            <w:tcW w:w="900" w:type="dxa"/>
            <w:vAlign w:val="bottom"/>
          </w:tcPr>
          <w:p>
            <w:pPr>
              <w:spacing w:after="0"/>
              <w:rPr>
                <w:sz w:val="15"/>
                <w:szCs w:val="15"/>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Oxley Act of 2002</w:t>
            </w:r>
          </w:p>
        </w:tc>
      </w:tr>
      <w:tr>
        <w:trPr>
          <w:trHeight w:val="263"/>
        </w:trPr>
        <w:tc>
          <w:tcPr>
            <w:tcW w:w="900" w:type="dxa"/>
            <w:vAlign w:val="bottom"/>
          </w:tcPr>
          <w:p>
            <w:pPr>
              <w:spacing w:after="0"/>
              <w:rPr>
                <w:sz w:val="20"/>
                <w:szCs w:val="20"/>
                <w:color w:val="auto"/>
              </w:rPr>
            </w:pPr>
            <w:r>
              <w:rPr>
                <w:rFonts w:ascii="Arial" w:cs="Arial" w:eastAsia="Arial" w:hAnsi="Arial"/>
                <w:sz w:val="14"/>
                <w:szCs w:val="14"/>
                <w:color w:val="auto"/>
              </w:rPr>
              <w:t>32.1</w:t>
            </w:r>
          </w:p>
        </w:tc>
        <w:tc>
          <w:tcPr>
            <w:tcW w:w="10520" w:type="dxa"/>
            <w:vAlign w:val="bottom"/>
          </w:tcPr>
          <w:p>
            <w:pPr>
              <w:ind w:left="260"/>
              <w:spacing w:after="0"/>
              <w:rPr>
                <w:sz w:val="20"/>
                <w:szCs w:val="20"/>
                <w:color w:val="auto"/>
              </w:rPr>
            </w:pPr>
            <w:r>
              <w:rPr>
                <w:rFonts w:ascii="Arial" w:cs="Arial" w:eastAsia="Arial" w:hAnsi="Arial"/>
                <w:sz w:val="14"/>
                <w:szCs w:val="14"/>
                <w:color w:val="auto"/>
                <w:w w:val="94"/>
              </w:rPr>
              <w:t>Chief Executive Officer—Certification pursuant to Rule13a-14(b) or Rule 15d-14(b) of the Securities Exchange Act of 1934 and 18 U.S.C. Section 1350, as adopted pursuant to</w:t>
            </w:r>
          </w:p>
        </w:tc>
      </w:tr>
      <w:tr>
        <w:trPr>
          <w:trHeight w:val="182"/>
        </w:trPr>
        <w:tc>
          <w:tcPr>
            <w:tcW w:w="900" w:type="dxa"/>
            <w:vAlign w:val="bottom"/>
          </w:tcPr>
          <w:p>
            <w:pPr>
              <w:spacing w:after="0"/>
              <w:rPr>
                <w:sz w:val="15"/>
                <w:szCs w:val="15"/>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Section 906 of the Sarbanes-Oxley Act of 2002</w:t>
            </w:r>
          </w:p>
        </w:tc>
      </w:tr>
      <w:tr>
        <w:trPr>
          <w:trHeight w:val="263"/>
        </w:trPr>
        <w:tc>
          <w:tcPr>
            <w:tcW w:w="900" w:type="dxa"/>
            <w:vAlign w:val="bottom"/>
          </w:tcPr>
          <w:p>
            <w:pPr>
              <w:spacing w:after="0"/>
              <w:rPr>
                <w:sz w:val="20"/>
                <w:szCs w:val="20"/>
                <w:color w:val="auto"/>
              </w:rPr>
            </w:pPr>
            <w:r>
              <w:rPr>
                <w:rFonts w:ascii="Arial" w:cs="Arial" w:eastAsia="Arial" w:hAnsi="Arial"/>
                <w:sz w:val="14"/>
                <w:szCs w:val="14"/>
                <w:color w:val="auto"/>
              </w:rPr>
              <w:t>32.2</w:t>
            </w:r>
          </w:p>
        </w:tc>
        <w:tc>
          <w:tcPr>
            <w:tcW w:w="10520" w:type="dxa"/>
            <w:vAlign w:val="bottom"/>
          </w:tcPr>
          <w:p>
            <w:pPr>
              <w:ind w:left="260"/>
              <w:spacing w:after="0"/>
              <w:rPr>
                <w:sz w:val="20"/>
                <w:szCs w:val="20"/>
                <w:color w:val="auto"/>
              </w:rPr>
            </w:pPr>
            <w:r>
              <w:rPr>
                <w:rFonts w:ascii="Arial" w:cs="Arial" w:eastAsia="Arial" w:hAnsi="Arial"/>
                <w:sz w:val="14"/>
                <w:szCs w:val="14"/>
                <w:color w:val="auto"/>
                <w:w w:val="94"/>
              </w:rPr>
              <w:t>Chief Financial Officer—Certification pursuant to Rule 13a-14(b) or Rule 15d-14(b) of the Securities Exchange Act of 1934 and 18 U.S.C. Section 1350, as adopted pursuant to</w:t>
            </w:r>
          </w:p>
        </w:tc>
      </w:tr>
      <w:tr>
        <w:trPr>
          <w:trHeight w:val="182"/>
        </w:trPr>
        <w:tc>
          <w:tcPr>
            <w:tcW w:w="900" w:type="dxa"/>
            <w:vAlign w:val="bottom"/>
          </w:tcPr>
          <w:p>
            <w:pPr>
              <w:spacing w:after="0"/>
              <w:rPr>
                <w:sz w:val="15"/>
                <w:szCs w:val="15"/>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Section 906 of the Sarbanes-Oxley Act of 2002</w:t>
            </w:r>
          </w:p>
        </w:tc>
      </w:tr>
      <w:tr>
        <w:trPr>
          <w:trHeight w:val="446"/>
        </w:trPr>
        <w:tc>
          <w:tcPr>
            <w:tcW w:w="900" w:type="dxa"/>
            <w:vAlign w:val="bottom"/>
          </w:tcPr>
          <w:p>
            <w:pPr>
              <w:spacing w:after="0"/>
              <w:rPr>
                <w:sz w:val="20"/>
                <w:szCs w:val="20"/>
                <w:color w:val="auto"/>
              </w:rPr>
            </w:pPr>
            <w:r>
              <w:rPr>
                <w:rFonts w:ascii="Arial" w:cs="Arial" w:eastAsia="Arial" w:hAnsi="Arial"/>
                <w:sz w:val="14"/>
                <w:szCs w:val="14"/>
                <w:color w:val="auto"/>
              </w:rPr>
              <w:t>101.INS</w:t>
            </w:r>
          </w:p>
        </w:tc>
        <w:tc>
          <w:tcPr>
            <w:tcW w:w="10520" w:type="dxa"/>
            <w:vAlign w:val="bottom"/>
          </w:tcPr>
          <w:p>
            <w:pPr>
              <w:ind w:left="260"/>
              <w:spacing w:after="0"/>
              <w:rPr>
                <w:sz w:val="20"/>
                <w:szCs w:val="20"/>
                <w:color w:val="auto"/>
              </w:rPr>
            </w:pPr>
            <w:r>
              <w:rPr>
                <w:rFonts w:ascii="Arial" w:cs="Arial" w:eastAsia="Arial" w:hAnsi="Arial"/>
                <w:sz w:val="14"/>
                <w:szCs w:val="14"/>
                <w:color w:val="auto"/>
              </w:rPr>
              <w:t>XBRL Instance Document.**</w:t>
            </w:r>
          </w:p>
        </w:tc>
      </w:tr>
      <w:tr>
        <w:trPr>
          <w:trHeight w:val="297"/>
        </w:trPr>
        <w:tc>
          <w:tcPr>
            <w:tcW w:w="900" w:type="dxa"/>
            <w:vAlign w:val="bottom"/>
          </w:tcPr>
          <w:p>
            <w:pPr>
              <w:spacing w:after="0"/>
              <w:rPr>
                <w:sz w:val="20"/>
                <w:szCs w:val="20"/>
                <w:color w:val="auto"/>
              </w:rPr>
            </w:pPr>
            <w:r>
              <w:rPr>
                <w:rFonts w:ascii="Arial" w:cs="Arial" w:eastAsia="Arial" w:hAnsi="Arial"/>
                <w:sz w:val="14"/>
                <w:szCs w:val="14"/>
                <w:color w:val="auto"/>
              </w:rPr>
              <w:t>101.SCH</w:t>
            </w:r>
          </w:p>
        </w:tc>
        <w:tc>
          <w:tcPr>
            <w:tcW w:w="10520" w:type="dxa"/>
            <w:vAlign w:val="bottom"/>
          </w:tcPr>
          <w:p>
            <w:pPr>
              <w:ind w:left="260"/>
              <w:spacing w:after="0"/>
              <w:rPr>
                <w:sz w:val="20"/>
                <w:szCs w:val="20"/>
                <w:color w:val="auto"/>
              </w:rPr>
            </w:pPr>
            <w:r>
              <w:rPr>
                <w:rFonts w:ascii="Arial" w:cs="Arial" w:eastAsia="Arial" w:hAnsi="Arial"/>
                <w:sz w:val="14"/>
                <w:szCs w:val="14"/>
                <w:color w:val="auto"/>
              </w:rPr>
              <w:t>XBRL Taxonomy Extension Schema Document.**</w:t>
            </w:r>
          </w:p>
        </w:tc>
      </w:tr>
      <w:tr>
        <w:trPr>
          <w:trHeight w:val="297"/>
        </w:trPr>
        <w:tc>
          <w:tcPr>
            <w:tcW w:w="900" w:type="dxa"/>
            <w:vAlign w:val="bottom"/>
          </w:tcPr>
          <w:p>
            <w:pPr>
              <w:spacing w:after="0"/>
              <w:rPr>
                <w:sz w:val="20"/>
                <w:szCs w:val="20"/>
                <w:color w:val="auto"/>
              </w:rPr>
            </w:pPr>
            <w:r>
              <w:rPr>
                <w:rFonts w:ascii="Arial" w:cs="Arial" w:eastAsia="Arial" w:hAnsi="Arial"/>
                <w:sz w:val="14"/>
                <w:szCs w:val="14"/>
                <w:color w:val="auto"/>
              </w:rPr>
              <w:t>101.CAL</w:t>
            </w:r>
          </w:p>
        </w:tc>
        <w:tc>
          <w:tcPr>
            <w:tcW w:w="10520" w:type="dxa"/>
            <w:vAlign w:val="bottom"/>
          </w:tcPr>
          <w:p>
            <w:pPr>
              <w:ind w:left="260"/>
              <w:spacing w:after="0"/>
              <w:rPr>
                <w:sz w:val="20"/>
                <w:szCs w:val="20"/>
                <w:color w:val="auto"/>
              </w:rPr>
            </w:pPr>
            <w:r>
              <w:rPr>
                <w:rFonts w:ascii="Arial" w:cs="Arial" w:eastAsia="Arial" w:hAnsi="Arial"/>
                <w:sz w:val="14"/>
                <w:szCs w:val="14"/>
                <w:color w:val="auto"/>
              </w:rPr>
              <w:t>XBRL Taxonomy Calculation Linkbase Document.**</w:t>
            </w:r>
          </w:p>
        </w:tc>
      </w:tr>
      <w:tr>
        <w:trPr>
          <w:trHeight w:val="297"/>
        </w:trPr>
        <w:tc>
          <w:tcPr>
            <w:tcW w:w="900" w:type="dxa"/>
            <w:vAlign w:val="bottom"/>
          </w:tcPr>
          <w:p>
            <w:pPr>
              <w:spacing w:after="0"/>
              <w:rPr>
                <w:sz w:val="20"/>
                <w:szCs w:val="20"/>
                <w:color w:val="auto"/>
              </w:rPr>
            </w:pPr>
            <w:r>
              <w:rPr>
                <w:rFonts w:ascii="Arial" w:cs="Arial" w:eastAsia="Arial" w:hAnsi="Arial"/>
                <w:sz w:val="14"/>
                <w:szCs w:val="14"/>
                <w:color w:val="auto"/>
              </w:rPr>
              <w:t>101.LAB</w:t>
            </w:r>
          </w:p>
        </w:tc>
        <w:tc>
          <w:tcPr>
            <w:tcW w:w="10520" w:type="dxa"/>
            <w:vAlign w:val="bottom"/>
          </w:tcPr>
          <w:p>
            <w:pPr>
              <w:ind w:left="260"/>
              <w:spacing w:after="0"/>
              <w:rPr>
                <w:sz w:val="20"/>
                <w:szCs w:val="20"/>
                <w:color w:val="auto"/>
              </w:rPr>
            </w:pPr>
            <w:r>
              <w:rPr>
                <w:rFonts w:ascii="Arial" w:cs="Arial" w:eastAsia="Arial" w:hAnsi="Arial"/>
                <w:sz w:val="14"/>
                <w:szCs w:val="14"/>
                <w:color w:val="auto"/>
              </w:rPr>
              <w:t>XBRL Taxonomy Label Linkbase Document.**</w:t>
            </w:r>
          </w:p>
        </w:tc>
      </w:tr>
      <w:tr>
        <w:trPr>
          <w:trHeight w:val="297"/>
        </w:trPr>
        <w:tc>
          <w:tcPr>
            <w:tcW w:w="900" w:type="dxa"/>
            <w:vAlign w:val="bottom"/>
          </w:tcPr>
          <w:p>
            <w:pPr>
              <w:spacing w:after="0"/>
              <w:rPr>
                <w:sz w:val="20"/>
                <w:szCs w:val="20"/>
                <w:color w:val="auto"/>
              </w:rPr>
            </w:pPr>
            <w:r>
              <w:rPr>
                <w:rFonts w:ascii="Arial" w:cs="Arial" w:eastAsia="Arial" w:hAnsi="Arial"/>
                <w:sz w:val="14"/>
                <w:szCs w:val="14"/>
                <w:color w:val="auto"/>
              </w:rPr>
              <w:t>101.PRE</w:t>
            </w:r>
          </w:p>
        </w:tc>
        <w:tc>
          <w:tcPr>
            <w:tcW w:w="10520" w:type="dxa"/>
            <w:vAlign w:val="bottom"/>
          </w:tcPr>
          <w:p>
            <w:pPr>
              <w:ind w:left="260"/>
              <w:spacing w:after="0"/>
              <w:rPr>
                <w:sz w:val="20"/>
                <w:szCs w:val="20"/>
                <w:color w:val="auto"/>
              </w:rPr>
            </w:pPr>
            <w:r>
              <w:rPr>
                <w:rFonts w:ascii="Arial" w:cs="Arial" w:eastAsia="Arial" w:hAnsi="Arial"/>
                <w:sz w:val="14"/>
                <w:szCs w:val="14"/>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submitted electronically herewith</w:t>
      </w:r>
    </w:p>
    <w:p>
      <w:pPr>
        <w:spacing w:after="0" w:line="96"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Attached as Exhibits 101 to this report are the following formatted in XBRL (Extensible Business Reporting Language): (i) Condensed Consolidated Statements of Income for the three and nine months ended December 31, 2010 and 2009, (ii) Condensed Consolidated Balance Sheets as of December 31, 2010 and March 31, 2010, (iii) Condensed Consolidated Statements of Comprehensive Income for the three and nine months ended December 31, 2010 and 2009, (iv) Condensed Consolidated Statements of Cash Flows for the nine months ended December 31, 2010 and 2009, and (v) Notes to Condensed Consolidated Financial Statements.</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 accordance with Rule 406T of Regulation S-T, the XBRL related information in Exhibit 101 to this Quarterly Report on Form 10-Q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41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Gregory J. Yurek,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13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840" w:val="left"/>
          <w:tab w:leader="none" w:pos="8460" w:val="left"/>
        </w:tabs>
        <w:rPr>
          <w:sz w:val="20"/>
          <w:szCs w:val="20"/>
          <w:color w:val="auto"/>
        </w:rPr>
      </w:pPr>
      <w:r>
        <w:rPr>
          <w:rFonts w:ascii="Arial" w:cs="Arial" w:eastAsia="Arial" w:hAnsi="Arial"/>
          <w:sz w:val="18"/>
          <w:szCs w:val="18"/>
          <w:color w:val="auto"/>
        </w:rPr>
        <w:t>Date: February 3, 2011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G</w:t>
      </w:r>
      <w:r>
        <w:rPr>
          <w:rFonts w:ascii="Arial" w:cs="Arial" w:eastAsia="Arial" w:hAnsi="Arial"/>
          <w:sz w:val="11"/>
          <w:szCs w:val="11"/>
          <w:b w:val="1"/>
          <w:bCs w:val="1"/>
          <w:color w:val="auto"/>
        </w:rPr>
        <w:t>REGORY</w:t>
      </w:r>
      <w:r>
        <w:rPr>
          <w:rFonts w:ascii="Arial" w:cs="Arial" w:eastAsia="Arial" w:hAnsi="Arial"/>
          <w:sz w:val="17"/>
          <w:szCs w:val="17"/>
          <w:b w:val="1"/>
          <w:bCs w:val="1"/>
          <w:color w:val="auto"/>
        </w:rPr>
        <w:t xml:space="preserve"> J. Y</w:t>
      </w:r>
      <w:r>
        <w:rPr>
          <w:rFonts w:ascii="Arial" w:cs="Arial" w:eastAsia="Arial" w:hAnsi="Arial"/>
          <w:sz w:val="11"/>
          <w:szCs w:val="11"/>
          <w:b w:val="1"/>
          <w:bCs w:val="1"/>
          <w:color w:val="auto"/>
        </w:rPr>
        <w:t>UREK</w:t>
      </w:r>
    </w:p>
    <w:p>
      <w:pPr>
        <w:spacing w:after="0" w:line="27" w:lineRule="exact"/>
        <w:rPr>
          <w:sz w:val="20"/>
          <w:szCs w:val="20"/>
          <w:color w:val="auto"/>
        </w:rPr>
      </w:pPr>
    </w:p>
    <w:p>
      <w:pPr>
        <w:jc w:val="center"/>
        <w:ind w:left="7140"/>
        <w:spacing w:after="0"/>
        <w:rPr>
          <w:sz w:val="20"/>
          <w:szCs w:val="20"/>
          <w:color w:val="auto"/>
        </w:rPr>
      </w:pPr>
      <w:r>
        <w:rPr>
          <w:rFonts w:ascii="Arial" w:cs="Arial" w:eastAsia="Arial" w:hAnsi="Arial"/>
          <w:sz w:val="18"/>
          <w:szCs w:val="18"/>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213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jc w:val="center"/>
        <w:ind w:left="7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11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13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920" w:val="left"/>
          <w:tab w:leader="none" w:pos="8660" w:val="left"/>
        </w:tabs>
        <w:rPr>
          <w:sz w:val="20"/>
          <w:szCs w:val="20"/>
          <w:color w:val="auto"/>
        </w:rPr>
      </w:pPr>
      <w:r>
        <w:rPr>
          <w:rFonts w:ascii="Arial" w:cs="Arial" w:eastAsia="Arial" w:hAnsi="Arial"/>
          <w:sz w:val="18"/>
          <w:szCs w:val="18"/>
          <w:color w:val="auto"/>
        </w:rPr>
        <w:t>Date: February 3, 2011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D</w:t>
      </w:r>
      <w:r>
        <w:rPr>
          <w:rFonts w:ascii="Arial" w:cs="Arial" w:eastAsia="Arial" w:hAnsi="Arial"/>
          <w:sz w:val="11"/>
          <w:szCs w:val="11"/>
          <w:b w:val="1"/>
          <w:bCs w:val="1"/>
          <w:color w:val="auto"/>
        </w:rPr>
        <w:t>AVID</w:t>
      </w:r>
      <w:r>
        <w:rPr>
          <w:rFonts w:ascii="Arial" w:cs="Arial" w:eastAsia="Arial" w:hAnsi="Arial"/>
          <w:sz w:val="17"/>
          <w:szCs w:val="17"/>
          <w:b w:val="1"/>
          <w:bCs w:val="1"/>
          <w:color w:val="auto"/>
        </w:rPr>
        <w:t xml:space="preserve"> A. H</w:t>
      </w:r>
      <w:r>
        <w:rPr>
          <w:rFonts w:ascii="Arial" w:cs="Arial" w:eastAsia="Arial" w:hAnsi="Arial"/>
          <w:sz w:val="11"/>
          <w:szCs w:val="11"/>
          <w:b w:val="1"/>
          <w:bCs w:val="1"/>
          <w:color w:val="auto"/>
        </w:rPr>
        <w:t>ENRY</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-130810</wp:posOffset>
            </wp:positionV>
            <wp:extent cx="28473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2010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700" w:hanging="24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6920" w:val="left"/>
          <w:tab w:leader="none" w:pos="8560" w:val="left"/>
        </w:tabs>
        <w:rPr>
          <w:sz w:val="20"/>
          <w:szCs w:val="20"/>
          <w:color w:val="auto"/>
        </w:rPr>
      </w:pPr>
      <w:r>
        <w:rPr>
          <w:rFonts w:ascii="Arial" w:cs="Arial" w:eastAsia="Arial" w:hAnsi="Arial"/>
          <w:sz w:val="18"/>
          <w:szCs w:val="18"/>
          <w:color w:val="auto"/>
        </w:rPr>
        <w:t>Date: February 3, 2011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G</w:t>
      </w:r>
      <w:r>
        <w:rPr>
          <w:rFonts w:ascii="Arial" w:cs="Arial" w:eastAsia="Arial" w:hAnsi="Arial"/>
          <w:sz w:val="11"/>
          <w:szCs w:val="11"/>
          <w:b w:val="1"/>
          <w:bCs w:val="1"/>
          <w:color w:val="auto"/>
        </w:rPr>
        <w:t>REGORY</w:t>
      </w:r>
      <w:r>
        <w:rPr>
          <w:rFonts w:ascii="Arial" w:cs="Arial" w:eastAsia="Arial" w:hAnsi="Arial"/>
          <w:sz w:val="17"/>
          <w:szCs w:val="17"/>
          <w:b w:val="1"/>
          <w:bCs w:val="1"/>
          <w:color w:val="auto"/>
        </w:rPr>
        <w:t xml:space="preserve"> J. Y</w:t>
      </w:r>
      <w:r>
        <w:rPr>
          <w:rFonts w:ascii="Arial" w:cs="Arial" w:eastAsia="Arial" w:hAnsi="Arial"/>
          <w:sz w:val="11"/>
          <w:szCs w:val="11"/>
          <w:b w:val="1"/>
          <w:bCs w:val="1"/>
          <w:color w:val="auto"/>
        </w:rPr>
        <w:t>UREK</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-130810</wp:posOffset>
            </wp:positionV>
            <wp:extent cx="28473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2010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700" w:hanging="24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920" w:val="left"/>
          <w:tab w:leader="none" w:pos="8660" w:val="left"/>
        </w:tabs>
        <w:rPr>
          <w:sz w:val="20"/>
          <w:szCs w:val="20"/>
          <w:color w:val="auto"/>
        </w:rPr>
      </w:pPr>
      <w:r>
        <w:rPr>
          <w:rFonts w:ascii="Arial" w:cs="Arial" w:eastAsia="Arial" w:hAnsi="Arial"/>
          <w:sz w:val="18"/>
          <w:szCs w:val="18"/>
          <w:color w:val="auto"/>
        </w:rPr>
        <w:t>Date: February 3, 2011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D</w:t>
      </w:r>
      <w:r>
        <w:rPr>
          <w:rFonts w:ascii="Arial" w:cs="Arial" w:eastAsia="Arial" w:hAnsi="Arial"/>
          <w:sz w:val="11"/>
          <w:szCs w:val="11"/>
          <w:b w:val="1"/>
          <w:bCs w:val="1"/>
          <w:color w:val="auto"/>
        </w:rPr>
        <w:t>AVID</w:t>
      </w:r>
      <w:r>
        <w:rPr>
          <w:rFonts w:ascii="Arial" w:cs="Arial" w:eastAsia="Arial" w:hAnsi="Arial"/>
          <w:sz w:val="17"/>
          <w:szCs w:val="17"/>
          <w:b w:val="1"/>
          <w:bCs w:val="1"/>
          <w:color w:val="auto"/>
        </w:rPr>
        <w:t xml:space="preserve"> A. H</w:t>
      </w:r>
      <w:r>
        <w:rPr>
          <w:rFonts w:ascii="Arial" w:cs="Arial" w:eastAsia="Arial" w:hAnsi="Arial"/>
          <w:sz w:val="11"/>
          <w:szCs w:val="11"/>
          <w:b w:val="1"/>
          <w:bCs w:val="1"/>
          <w:color w:val="auto"/>
        </w:rPr>
        <w:t>ENRY</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-130810</wp:posOffset>
            </wp:positionV>
            <wp:extent cx="28473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2019-12-10T11:12:05Z</dcterms:created>
  <dcterms:modified xsi:type="dcterms:W3CDTF">2019-12-10T11:12:05Z</dcterms:modified>
</cp:coreProperties>
</file>