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6" w:right="339" w:bottom="109"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09"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09"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36" w:right="339" w:bottom="109"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58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28,566,168</w:t>
            </w:r>
          </w:p>
        </w:tc>
      </w:tr>
      <w:tr>
        <w:trPr>
          <w:trHeight w:val="228"/>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440" w:type="dxa"/>
            <w:vAlign w:val="bottom"/>
          </w:tcPr>
          <w:p>
            <w:pPr>
              <w:spacing w:after="0"/>
              <w:rPr>
                <w:sz w:val="19"/>
                <w:szCs w:val="19"/>
                <w:color w:val="auto"/>
              </w:rPr>
            </w:pPr>
          </w:p>
        </w:tc>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 as of July 29, 2022</w:t>
            </w:r>
          </w:p>
        </w:tc>
      </w:tr>
      <w:tr>
        <w:trPr>
          <w:trHeight w:val="252"/>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0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9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II—OTHER INFORMATION</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Mine Safety Disclosure</w:t>
              </w:r>
            </w:hyperlink>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9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2022</w:t>
            </w: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94,336</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13,397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3,502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173,887</w:t>
            </w:r>
          </w:p>
        </w:tc>
      </w:tr>
      <w:tr>
        <w:trPr>
          <w:trHeight w:val="196"/>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35,404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53,964</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long-term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long-term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long-term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74,595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64,498</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1,134,707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1,133,536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(1,020,506)</w:t>
            </w:r>
          </w:p>
        </w:tc>
      </w:tr>
      <w:tr>
        <w:trPr>
          <w:trHeight w:val="210"/>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22,679</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25,420</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20,458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22,051</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10,868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(7,499)</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Loss before income tax expense (benefit)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(7,531)</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(2,128)</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(8,710)</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(5,403)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(0.32)</w:t>
            </w:r>
          </w:p>
        </w:tc>
        <w:tc>
          <w:tcPr>
            <w:tcW w:w="102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(0.20)</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27,560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26,826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1"/>
        </w:trPr>
        <w:tc>
          <w:tcPr>
            <w:tcW w:w="8000" w:type="dxa"/>
            <w:vAlign w:val="bottom"/>
          </w:tcPr>
          <w:p>
            <w:pPr>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27,560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26,826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(8,710)</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(5,403)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(loss) gain, net of tax:</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0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 gain, net of tax</w:t>
            </w: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MONTHS ENDED JUNE 30, 2022 AND 2021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1"/>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$ 1,133,536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(1,020,506)</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109,389</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 net of forfeited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shares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(8,710)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49"/>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$ 1,134,707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(1,029,216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1"/>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Neeltran acquisition</w:t>
            </w: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900" w:type="dxa"/>
            <w:vAlign w:val="bottom"/>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$ 1,128,961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(3,639)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441"/>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1,292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(2,207)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Non-cash interest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(7,388)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463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8,563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4,099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(2,779)</w:t>
            </w:r>
          </w:p>
        </w:tc>
      </w:tr>
      <w:tr>
        <w:trPr>
          <w:trHeight w:val="210"/>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other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Repurchase of treasury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Repayment of debt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w:t>
            </w: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(17,588)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49,486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75,539</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43,090</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57,951</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income taxes,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4,387</w:t>
            </w: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1,793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June 30, 2022 and 2021 and the financial position at June 30, 2022;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2022, and notes thereto, included in the Company’s Annual Report on Form 10-K for the year ended March 31, 2022 filed with the SEC on June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historically experienced recurring operating losses and as of June 30, 2022, the Company had an accumulated deficit of $1,029 million. In addition, the Company has historically experienced recurring negative operating cash flows. At June 30, 2022, the Company had cash and cash equivalents of $33.4 million. Cash used in operations for the three months ended June 30, 2022 was $5.9 million.</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pandemic, the Company has followed the guidelines of the U.S. Centers for Disease Control and Prevention (“CDC”)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COVID-19 pandemic continues to rapidly evolve. The Company is experiencing substantial inflationary pressure in its supply chain, some delays in sourcing materials needed for its products and some production disruption resulting from higher than typical employee absenteeism, all of which have increased the Company’s cost of revenues and decreased gross margin. The extent to which the pandemic impacts the Company’s business, liquidity, results of operations and financial condition will depend on future developments, which are highly uncertain and cannot be predicted with confidence. Changes in macroeconomic conditions arising from the COVID-19 pandemic or for other reasons, such as the ongoing war between Russia and Ukraine, including inflation, labor force availability, sourcing, material delays and global supply chain disruptions could have a material adverse effect on the Company’s business, financial condition and results of operation.</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three months ended June 30, 2022. The Company’s liquidity is highly dependent on its ability to increase revenues, its ability to control its operating costs, and its ability to raise additional capital, if necessary. The impact of the COVID-19 pandemic and other sources of instability, including the war between Russia and Ukraine,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6, 2021, the Company entered into a Purchase and Sale Agreement (the "Real Property Purchase Agreement") and a Stock Purchase Agreement (the "Neeltran Stock Purchase Agreement") with the selling equity holders named therein. Also on May 6, 2021</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the terms of the Real Property Purchase Agreement, the Company's wholly-owned Connecticut limited liability company, AMSC Husky LLC ("AMSC Husky"), purchased the real property that serves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Neeltran Stock Purchase Agreement, the Company purchased all of the issued and outstanding shares of capital stock of Neeltran, Inc., a Connecticut corporation ("Neeltran") and Neeltran International, Inc., a Connecticut corporation ("International") for $1.0 million in cash and 301,556 shares of the Company's common stock, $.01 par value per share ("AMSC Shares"), that were paid and issued, respectively, to the Neeltran selling stockholders. The Company also paid $1.1 million to International selling stockholders to pay off previous loans made by them to Neeltran.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the Company paid approximately $7.6 million, including $1.9 million of indebtedness secured by the mortgage on the real property as described above, directly to Neeltran lenders at closing to extinguish outstanding Neeltran indebtedness to third parties. The total purchase price of $16.4 million includes cash paid, the fair value of the AMSC Shares issued at closing and the debt payoff on behalf of the sellers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fiscal year ended March 31, 2022 has been accounted for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as part of prior year audited financial statements.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09"/>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80" w:firstLine="675"/>
        <w:spacing w:after="0" w:line="257" w:lineRule="auto"/>
        <w:rPr>
          <w:sz w:val="20"/>
          <w:szCs w:val="20"/>
          <w:color w:val="auto"/>
        </w:rPr>
      </w:pPr>
      <w:r>
        <w:rPr>
          <w:rFonts w:ascii="Arial" w:cs="Arial" w:eastAsia="Arial" w:hAnsi="Arial"/>
          <w:sz w:val="18"/>
          <w:szCs w:val="18"/>
          <w:color w:val="auto"/>
        </w:rPr>
        <w:t>Inventory include 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by $0.6 million in the twelve month period ended March 31, 2022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98"/>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38"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The Company has finalized its purchase price allocation for the Neeltran Acquisition, and there were no changes to the net assets and goodwill recorded by the Company as of May 6, 2021.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months ended June 30, 2022 and 2021 is presented as if the Neeltran Acquisition had occurred on April 1, 2021.</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560" w:type="dxa"/>
            <w:vAlign w:val="bottom"/>
            <w:gridSpan w:val="3"/>
          </w:tcPr>
          <w:p>
            <w:pPr>
              <w:ind w:left="500"/>
              <w:spacing w:after="0"/>
              <w:rPr>
                <w:sz w:val="20"/>
                <w:szCs w:val="20"/>
                <w:color w:val="auto"/>
              </w:rPr>
            </w:pPr>
            <w:r>
              <w:rPr>
                <w:rFonts w:ascii="Arial" w:cs="Arial" w:eastAsia="Arial" w:hAnsi="Arial"/>
                <w:sz w:val="18"/>
                <w:szCs w:val="18"/>
                <w:b w:val="1"/>
                <w:bCs w:val="1"/>
                <w:color w:val="auto"/>
                <w:w w:val="90"/>
              </w:rPr>
              <w:t>Three Months Ended June</w:t>
            </w:r>
          </w:p>
        </w:tc>
      </w:tr>
      <w:tr>
        <w:trPr>
          <w:trHeight w:val="216"/>
        </w:trPr>
        <w:tc>
          <w:tcPr>
            <w:tcW w:w="22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0"/>
        </w:trPr>
        <w:tc>
          <w:tcPr>
            <w:tcW w:w="2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$ 22,679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$ 28,250</w:t>
            </w:r>
          </w:p>
        </w:tc>
        <w:tc>
          <w:tcPr>
            <w:tcW w:w="20" w:type="dxa"/>
            <w:vAlign w:val="bottom"/>
          </w:tcPr>
          <w:p>
            <w:pPr>
              <w:spacing w:after="0"/>
              <w:rPr>
                <w:sz w:val="18"/>
                <w:szCs w:val="18"/>
                <w:color w:val="auto"/>
              </w:rPr>
            </w:pPr>
          </w:p>
        </w:tc>
      </w:tr>
      <w:tr>
        <w:trPr>
          <w:trHeight w:val="216"/>
        </w:trPr>
        <w:tc>
          <w:tcPr>
            <w:tcW w:w="2280" w:type="dxa"/>
            <w:vAlign w:val="bottom"/>
          </w:tcPr>
          <w:p>
            <w:pPr>
              <w:ind w:left="500"/>
              <w:spacing w:after="0"/>
              <w:rPr>
                <w:sz w:val="20"/>
                <w:szCs w:val="20"/>
                <w:color w:val="auto"/>
              </w:rPr>
            </w:pPr>
            <w:r>
              <w:rPr>
                <w:rFonts w:ascii="Arial" w:cs="Arial" w:eastAsia="Arial" w:hAnsi="Arial"/>
                <w:sz w:val="18"/>
                <w:szCs w:val="18"/>
                <w:color w:val="auto"/>
              </w:rPr>
              <w:t>Operating loss</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(8,883)</w:t>
            </w:r>
          </w:p>
        </w:tc>
        <w:tc>
          <w:tcPr>
            <w:tcW w:w="900" w:type="dxa"/>
            <w:vAlign w:val="bottom"/>
          </w:tcPr>
          <w:p>
            <w:pPr>
              <w:jc w:val="right"/>
              <w:spacing w:after="0"/>
              <w:rPr>
                <w:sz w:val="20"/>
                <w:szCs w:val="20"/>
                <w:color w:val="auto"/>
              </w:rPr>
            </w:pPr>
            <w:r>
              <w:rPr>
                <w:rFonts w:ascii="Arial" w:cs="Arial" w:eastAsia="Arial" w:hAnsi="Arial"/>
                <w:sz w:val="18"/>
                <w:szCs w:val="18"/>
                <w:color w:val="auto"/>
              </w:rPr>
              <w:t>(7,384)</w:t>
            </w:r>
          </w:p>
        </w:tc>
        <w:tc>
          <w:tcPr>
            <w:tcW w:w="20" w:type="dxa"/>
            <w:vAlign w:val="bottom"/>
          </w:tcPr>
          <w:p>
            <w:pPr>
              <w:spacing w:after="0"/>
              <w:rPr>
                <w:sz w:val="18"/>
                <w:szCs w:val="18"/>
                <w:color w:val="auto"/>
              </w:rPr>
            </w:pPr>
          </w:p>
        </w:tc>
      </w:tr>
      <w:tr>
        <w:trPr>
          <w:trHeight w:val="216"/>
        </w:trPr>
        <w:tc>
          <w:tcPr>
            <w:tcW w:w="2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(8,724)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(7,693)</w:t>
            </w:r>
          </w:p>
        </w:tc>
        <w:tc>
          <w:tcPr>
            <w:tcW w:w="2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Net loss per common</w:t>
            </w:r>
          </w:p>
        </w:tc>
        <w:tc>
          <w:tcPr>
            <w:tcW w:w="1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6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280" w:type="dxa"/>
            <w:vAlign w:val="bottom"/>
          </w:tcPr>
          <w:p>
            <w:pPr>
              <w:ind w:left="500"/>
              <w:spacing w:after="0"/>
              <w:rPr>
                <w:sz w:val="20"/>
                <w:szCs w:val="20"/>
                <w:color w:val="auto"/>
              </w:rPr>
            </w:pPr>
            <w:r>
              <w:rPr>
                <w:rFonts w:ascii="Arial" w:cs="Arial" w:eastAsia="Arial" w:hAnsi="Arial"/>
                <w:sz w:val="18"/>
                <w:szCs w:val="18"/>
                <w:color w:val="auto"/>
              </w:rPr>
              <w:t>Basic</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 (0.32)</w:t>
            </w:r>
          </w:p>
        </w:tc>
        <w:tc>
          <w:tcPr>
            <w:tcW w:w="900" w:type="dxa"/>
            <w:vAlign w:val="bottom"/>
          </w:tcPr>
          <w:p>
            <w:pPr>
              <w:jc w:val="right"/>
              <w:spacing w:after="0"/>
              <w:rPr>
                <w:sz w:val="20"/>
                <w:szCs w:val="20"/>
                <w:color w:val="auto"/>
              </w:rPr>
            </w:pPr>
            <w:r>
              <w:rPr>
                <w:rFonts w:ascii="Arial" w:cs="Arial" w:eastAsia="Arial" w:hAnsi="Arial"/>
                <w:sz w:val="18"/>
                <w:szCs w:val="18"/>
                <w:color w:val="auto"/>
              </w:rPr>
              <w:t>$ (0.29)</w:t>
            </w:r>
          </w:p>
        </w:tc>
        <w:tc>
          <w:tcPr>
            <w:tcW w:w="20" w:type="dxa"/>
            <w:vAlign w:val="bottom"/>
          </w:tcPr>
          <w:p>
            <w:pPr>
              <w:spacing w:after="0"/>
              <w:rPr>
                <w:sz w:val="18"/>
                <w:szCs w:val="18"/>
                <w:color w:val="auto"/>
              </w:rPr>
            </w:pPr>
          </w:p>
        </w:tc>
      </w:tr>
      <w:tr>
        <w:trPr>
          <w:trHeight w:val="216"/>
        </w:trPr>
        <w:tc>
          <w:tcPr>
            <w:tcW w:w="2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(0.32)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(0.29)</w:t>
            </w:r>
          </w:p>
        </w:tc>
        <w:tc>
          <w:tcPr>
            <w:tcW w:w="20" w:type="dxa"/>
            <w:vAlign w:val="bottom"/>
          </w:tcPr>
          <w:p>
            <w:pPr>
              <w:spacing w:after="0"/>
              <w:rPr>
                <w:sz w:val="18"/>
                <w:szCs w:val="18"/>
                <w:color w:val="auto"/>
              </w:rPr>
            </w:pPr>
          </w:p>
        </w:tc>
      </w:tr>
      <w:tr>
        <w:trPr>
          <w:trHeight w:val="216"/>
        </w:trPr>
        <w:tc>
          <w:tcPr>
            <w:tcW w:w="2280" w:type="dxa"/>
            <w:vAlign w:val="bottom"/>
          </w:tcPr>
          <w:p>
            <w:pPr>
              <w:ind w:left="500"/>
              <w:spacing w:after="0"/>
              <w:rPr>
                <w:sz w:val="20"/>
                <w:szCs w:val="20"/>
                <w:color w:val="auto"/>
              </w:rPr>
            </w:pPr>
            <w:r>
              <w:rPr>
                <w:rFonts w:ascii="Arial" w:cs="Arial" w:eastAsia="Arial" w:hAnsi="Arial"/>
                <w:sz w:val="18"/>
                <w:szCs w:val="18"/>
                <w:color w:val="auto"/>
              </w:rPr>
              <w:t>Shares - basic</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27,560</w:t>
            </w:r>
          </w:p>
        </w:tc>
        <w:tc>
          <w:tcPr>
            <w:tcW w:w="900" w:type="dxa"/>
            <w:vAlign w:val="bottom"/>
          </w:tcPr>
          <w:p>
            <w:pPr>
              <w:jc w:val="right"/>
              <w:spacing w:after="0"/>
              <w:rPr>
                <w:sz w:val="20"/>
                <w:szCs w:val="20"/>
                <w:color w:val="auto"/>
              </w:rPr>
            </w:pPr>
            <w:r>
              <w:rPr>
                <w:rFonts w:ascii="Arial" w:cs="Arial" w:eastAsia="Arial" w:hAnsi="Arial"/>
                <w:sz w:val="18"/>
                <w:szCs w:val="18"/>
                <w:color w:val="auto"/>
              </w:rPr>
              <w:t>26,948</w:t>
            </w:r>
          </w:p>
        </w:tc>
        <w:tc>
          <w:tcPr>
            <w:tcW w:w="20" w:type="dxa"/>
            <w:vAlign w:val="bottom"/>
          </w:tcPr>
          <w:p>
            <w:pPr>
              <w:spacing w:after="0"/>
              <w:rPr>
                <w:sz w:val="18"/>
                <w:szCs w:val="18"/>
                <w:color w:val="auto"/>
              </w:rPr>
            </w:pPr>
          </w:p>
        </w:tc>
      </w:tr>
      <w:tr>
        <w:trPr>
          <w:trHeight w:val="216"/>
        </w:trPr>
        <w:tc>
          <w:tcPr>
            <w:tcW w:w="2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Shares - diluted</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27,560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 forma amounts include the historical operating results of the Company, and Neeltran, with appropriate adjustments that give effect to acquisition related costs, income taxes, intangible amortization resulting from the Neeltran Acquisition and certain conforming accounting policies of the Company. The pro forma amounts are not necessarily indicative of the operating results that would have occurred if the Neeltran Acquisition and related transactions had been completed at the beginning of the applicable periods presented. In addition, the pro forma amounts are not necessarily indicative of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57" w:right="339" w:bottom="0"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The $1.7 million of deferred tax liability is primarily related to inventory step up and intangibles.</w:t>
      </w:r>
    </w:p>
    <w:p>
      <w:pPr>
        <w:spacing w:after="0" w:line="3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months ended June 30, 2022 and 2021, 70% and 78% of revenue, respectively, was recognized at the point in time when control transferred to the customer, with the remainder being recognized over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The Company recorded no grant revenue in the three months ended June 30, 2022 and $0.5 million in grant revenue in the three months ended June 30, 2021.</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a reasonable profit margin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 2022</w:t>
            </w: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4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 2021</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22,645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2022, and 2021,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50"/>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June 30, 2022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 acquired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Ending balance as of June 30, 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8,561</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28,622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3" w:name="page14"/>
    <w:bookmarkEnd w:id="13"/>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June 30, 2022, the Company had outstanding performance obligations on existing contracts under ASC 606 to be recognized in the next twelve months of approximately $101.5 million. There are also approximately $13.1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three months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900" w:type="dxa"/>
            <w:vAlign w:val="bottom"/>
          </w:tcPr>
          <w:p>
            <w:pPr>
              <w:spacing w:after="0"/>
              <w:rPr>
                <w:sz w:val="20"/>
                <w:szCs w:val="20"/>
                <w:color w:val="auto"/>
              </w:rPr>
            </w:pP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Reportable</w:t>
            </w:r>
          </w:p>
        </w:tc>
        <w:tc>
          <w:tcPr>
            <w:tcW w:w="20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w:t>
            </w: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Grid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&lt;10%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Nextera Energy Resources</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Grid</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SGL Carbon LLC</w:t>
            </w: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Grid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Ascend Performance Materials Ops LLC</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Grid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&lt;10%</w:t>
            </w:r>
          </w:p>
        </w:tc>
        <w:tc>
          <w:tcPr>
            <w:tcW w:w="3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months ended June 30,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issued 25,806 shares of immediately vested common stock during the three months ended June 30, 2022. The Company issued 119,044 shares of immediately vested common stock, of which 110,752 shares were issued in-lieu of cash bonuses in the period, and 309,700 shares of restricted stock awards during the three months ended June 30, 2021.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estimated fair value of the Company’s stock-based awards, less expected annual forfeitures, is amortized over the awards’ service period. The total unrecognized compensation cost for unvested stock options was $0.1 million at June 30, 2022. This expense will be recognized over a weighted average of approximately 2.0 years. The total unrecognized compensation cost for unvested outstanding restricted stock was $4.3 million at June 30, 2022. This expense will be recognized over a weighted-average expense period of approximately 1.2 years.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granted 20,564 stock options during the three months ended June 30, 2022. The Company did not grant any stock options during the three months ended June 30, 2021. The stock options granted during the three months ended June 30, 2022 will vest over 2 years. The weighted average assumptions used in the Black Scholes valuation model for stock options granted during the three months ended June 30,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Three Months</w:t>
            </w:r>
          </w:p>
        </w:tc>
      </w:tr>
      <w:tr>
        <w:trPr>
          <w:trHeight w:val="234"/>
        </w:trPr>
        <w:tc>
          <w:tcPr>
            <w:tcW w:w="2300" w:type="dxa"/>
            <w:vAlign w:val="bottom"/>
          </w:tcPr>
          <w:p>
            <w:pPr>
              <w:spacing w:after="0"/>
              <w:rPr>
                <w:sz w:val="20"/>
                <w:szCs w:val="20"/>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Ended June 30,</w:t>
            </w:r>
          </w:p>
        </w:tc>
      </w:tr>
      <w:tr>
        <w:trPr>
          <w:trHeight w:val="210"/>
        </w:trPr>
        <w:tc>
          <w:tcPr>
            <w:tcW w:w="23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660" w:type="dxa"/>
            <w:vAlign w:val="bottom"/>
          </w:tcPr>
          <w:p>
            <w:pPr>
              <w:ind w:left="3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660" w:type="dxa"/>
            <w:vAlign w:val="bottom"/>
          </w:tcPr>
          <w:p>
            <w:pPr>
              <w:ind w:left="3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each of the three months ended June 30, 2022, and 2021, 1.1 million shares were not included in the calculation of diluted EPS. Of these, 1.0 million relate to shares tied to the derivative liability for which the contingency has not yet been met, and 0.1 million relate to outstanding stock options as they were considered anti-dilutive.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2022 and 2021 (in thousands, except per share data):</w:t>
      </w:r>
    </w:p>
    <w:p>
      <w:pPr>
        <w:spacing w:after="0" w:line="166"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5405"/>
                    </a:xfrm>
                    <a:prstGeom prst="rect">
                      <a:avLst/>
                    </a:prstGeom>
                    <a:noFill/>
                  </pic:spPr>
                </pic:pic>
              </a:graphicData>
            </a:graphic>
          </wp:anchor>
        </w:drawing>
      </w:r>
    </w:p>
    <w:p>
      <w:pPr>
        <w:sectPr>
          <w:pgSz w:w="11900" w:h="16838" w:orient="portrait"/>
          <w:cols w:equalWidth="0" w:num="1">
            <w:col w:w="11240"/>
          </w:cols>
          <w:pgMar w:left="320" w:top="611" w:right="3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3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(8,710)</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(5,403)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28,520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27,919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used in per-share calculation ― basic</w:t>
            </w:r>
          </w:p>
        </w:tc>
        <w:tc>
          <w:tcPr>
            <w:tcW w:w="32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26,826</w:t>
            </w:r>
          </w:p>
        </w:tc>
        <w:tc>
          <w:tcPr>
            <w:tcW w:w="100" w:type="dxa"/>
            <w:vAlign w:val="bottom"/>
            <w:tcBorders>
              <w:bottom w:val="single" w:sz="8" w:color="CCEEFF"/>
            </w:tcBorders>
          </w:tcPr>
          <w:p>
            <w:pPr>
              <w:spacing w:after="0"/>
              <w:rPr>
                <w:sz w:val="18"/>
                <w:szCs w:val="18"/>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3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26,826</w:t>
            </w:r>
          </w:p>
        </w:tc>
        <w:tc>
          <w:tcPr>
            <w:tcW w:w="10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32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3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432"/>
        </w:trPr>
        <w:tc>
          <w:tcPr>
            <w:tcW w:w="4760" w:type="dxa"/>
            <w:vAlign w:val="bottom"/>
          </w:tcPr>
          <w:p>
            <w:pPr>
              <w:spacing w:after="0"/>
              <w:rPr>
                <w:sz w:val="24"/>
                <w:szCs w:val="24"/>
                <w:color w:val="auto"/>
              </w:rPr>
            </w:pPr>
          </w:p>
        </w:tc>
        <w:tc>
          <w:tcPr>
            <w:tcW w:w="3240" w:type="dxa"/>
            <w:vAlign w:val="bottom"/>
          </w:tcPr>
          <w:p>
            <w:pPr>
              <w:jc w:val="right"/>
              <w:ind w:right="219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15" w:name="page16"/>
    <w:bookmarkEnd w:id="15"/>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fiscal 2021,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620"/>
              <w:spacing w:after="0"/>
              <w:rPr>
                <w:sz w:val="20"/>
                <w:szCs w:val="20"/>
                <w:color w:val="auto"/>
              </w:rPr>
            </w:pPr>
            <w:r>
              <w:rPr>
                <w:rFonts w:ascii="Arial" w:cs="Arial" w:eastAsia="Arial" w:hAnsi="Arial"/>
                <w:sz w:val="18"/>
                <w:szCs w:val="18"/>
                <w:color w:val="auto"/>
                <w:w w:val="94"/>
              </w:rPr>
              <w:t>The following table provides a roll forward of the changes in the Company's Grid business segment goodwill balance: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4"/>
                <w:szCs w:val="24"/>
                <w:color w:val="auto"/>
              </w:rPr>
            </w:pPr>
          </w:p>
        </w:tc>
      </w:tr>
      <w:tr>
        <w:trPr>
          <w:trHeight w:val="209"/>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Neeltran Acquisition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r>
      <w:tr>
        <w:trPr>
          <w:trHeight w:val="210"/>
        </w:trPr>
        <w:tc>
          <w:tcPr>
            <w:tcW w:w="9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Less impairment loss</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2022</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Company did not identify any triggering events in the three months ended June 30, 2022 that would require interim impairment testing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June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Backlog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(3,278)</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6,322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6,877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(11,062)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11,311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 recorded intangible amortization expense related to customer relationship and core technology and know-how of $0.7 million and $0.6 million, in the three months ended June 30, 2022, and 2021 respectively. Additionally, in the three months ended June 30, 2022 and 2021, the Company recorded less than $0.1 million related to intangible amortization related to backlog that is reported in cost of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50"/>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w:t>
      </w:r>
    </w:p>
    <w:p>
      <w:pPr>
        <w:sectPr>
          <w:pgSz w:w="11900" w:h="16930" w:orient="portrait"/>
          <w:cols w:equalWidth="0" w:num="1">
            <w:col w:w="11320"/>
          </w:cols>
          <w:pgMar w:left="320" w:top="850" w:right="25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total cash and investments. The Company did not have any transfers of assets and liabilities from Level 1, Level 2 or Level 3 of the fair value measurement hierarchy during the three months ended June 30,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had no outstanding marketable securities as of June 30, 2022 and the Company recognized no change in the three months ended June 30, 2022. The Company recognized $0.1 million in unrealized losses on marketable securities, which is recorded in other income (expense), net, for the three months ended June 30, 2021.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June 30, 2022 and March 31,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June 30,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r>
      <w:tr>
        <w:trPr>
          <w:trHeight w:val="414"/>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432"/>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3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3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Change in fair value</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(5,850)</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Change in fair value</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49"/>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656"/>
        </w:trPr>
        <w:tc>
          <w:tcPr>
            <w:tcW w:w="374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w w:val="91"/>
              </w:rPr>
              <w:t>Accounts receivable at June 30, 2022 and</w:t>
            </w:r>
          </w:p>
        </w:tc>
        <w:tc>
          <w:tcPr>
            <w:tcW w:w="444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March 31, 2022 consisted of the following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4"/>
                <w:szCs w:val="2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6,492</w:t>
            </w:r>
          </w:p>
        </w:tc>
      </w:tr>
      <w:tr>
        <w:trPr>
          <w:trHeight w:val="249"/>
        </w:trPr>
        <w:tc>
          <w:tcPr>
            <w:tcW w:w="3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June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10,462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r>
      <w:tr>
        <w:trPr>
          <w:trHeight w:val="250"/>
        </w:trPr>
        <w:tc>
          <w:tcPr>
            <w:tcW w:w="8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inventory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inventory write-downs of $0.3 million and $0.6 million for the three months ended June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write-downs were based on the Company's evaluation of its inventory on hand for excess quantities and obsolescence.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program costs as of June 30, 2022, and March 31, 2022,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cost and accumulated depreciation of property, plant and equipment at June 30, 2022 and March 31, 2022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43,737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43,668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(44,856)</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$0.7 million and $0.6 million for the three months ended June 30, 2022 and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June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660"/>
              <w:spacing w:after="0"/>
              <w:rPr>
                <w:sz w:val="20"/>
                <w:szCs w:val="20"/>
                <w:color w:val="auto"/>
              </w:rPr>
            </w:pPr>
            <w:r>
              <w:rPr>
                <w:rFonts w:ascii="Arial" w:cs="Arial" w:eastAsia="Arial" w:hAnsi="Arial"/>
                <w:sz w:val="18"/>
                <w:szCs w:val="18"/>
                <w:color w:val="auto"/>
              </w:rPr>
              <w:t>Product warranty activity was as follows (in thousands):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32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Acquired warranty obligations</w:t>
            </w:r>
          </w:p>
        </w:tc>
        <w:tc>
          <w:tcPr>
            <w:tcW w:w="9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9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49"/>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an income tax expense of less than $0.1 million in the three months ended June 30, 2022. The Company recorded an income tax benefit of $2.1 million in the three months ended June 30,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Neeltran Acquisition (see Note 2, "Acquisitions"), the Company recorded a deferred tax liability of $2.3 million during the three months ended June 30, 2021. As a result, the Company was able to benefit from additional deferred tax assets and therefore released a corresponding valuation allowance of $2.3 million during the three months ended June 30 2021. Goodwill recognized in the Neeltran Acquisition is not deductible for tax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spacing w:after="0" w:line="1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three months ended June 30, 2022 and did not have any gross unrecognized tax benefits as of June 30,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0" w:type="dxa"/>
            <w:vAlign w:val="bottom"/>
            <w:gridSpan w:val="2"/>
          </w:tcPr>
          <w:p>
            <w:pPr>
              <w:jc w:val="center"/>
              <w:ind w:right="58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480" w:type="dxa"/>
            <w:vAlign w:val="bottom"/>
          </w:tcPr>
          <w:p>
            <w:pPr>
              <w:spacing w:after="0"/>
              <w:rPr>
                <w:sz w:val="20"/>
                <w:szCs w:val="20"/>
                <w:color w:val="auto"/>
              </w:rPr>
            </w:pPr>
            <w:r>
              <w:rPr>
                <w:rFonts w:ascii="Arial" w:cs="Arial" w:eastAsia="Arial" w:hAnsi="Arial"/>
                <w:sz w:val="18"/>
                <w:szCs w:val="18"/>
                <w:color w:val="auto"/>
              </w:rPr>
              <w:t>Fiscal Year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5660" w:type="dxa"/>
            <w:vAlign w:val="bottom"/>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6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jc w:val="right"/>
              <w:ind w:right="5500"/>
              <w:spacing w:after="0"/>
              <w:rPr>
                <w:sz w:val="20"/>
                <w:szCs w:val="20"/>
                <w:color w:val="auto"/>
              </w:rPr>
            </w:pPr>
            <w:r>
              <w:rPr>
                <w:rFonts w:ascii="Arial" w:cs="Arial" w:eastAsia="Arial" w:hAnsi="Arial"/>
                <w:sz w:val="18"/>
                <w:szCs w:val="18"/>
                <w:color w:val="auto"/>
              </w:rPr>
              <w:t>6.60%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Revenue volatility</w:t>
            </w:r>
          </w:p>
        </w:tc>
        <w:tc>
          <w:tcPr>
            <w:tcW w:w="160" w:type="dxa"/>
            <w:vAlign w:val="bottom"/>
          </w:tcPr>
          <w:p>
            <w:pPr>
              <w:spacing w:after="0"/>
              <w:rPr>
                <w:sz w:val="18"/>
                <w:szCs w:val="18"/>
                <w:color w:val="auto"/>
              </w:rPr>
            </w:pPr>
          </w:p>
        </w:tc>
        <w:tc>
          <w:tcPr>
            <w:tcW w:w="6600" w:type="dxa"/>
            <w:vAlign w:val="bottom"/>
            <w:gridSpan w:val="2"/>
          </w:tcPr>
          <w:p>
            <w:pPr>
              <w:jc w:val="right"/>
              <w:ind w:right="5500"/>
              <w:spacing w:after="0"/>
              <w:rPr>
                <w:sz w:val="20"/>
                <w:szCs w:val="20"/>
                <w:color w:val="auto"/>
              </w:rPr>
            </w:pPr>
            <w:r>
              <w:rPr>
                <w:rFonts w:ascii="Arial" w:cs="Arial" w:eastAsia="Arial" w:hAnsi="Arial"/>
                <w:sz w:val="18"/>
                <w:szCs w:val="18"/>
                <w:color w:val="auto"/>
              </w:rPr>
              <w:t>30%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0" w:type="dxa"/>
            <w:vAlign w:val="bottom"/>
            <w:gridSpan w:val="2"/>
            <w:shd w:val="clear" w:color="auto" w:fill="CCEEFF"/>
          </w:tcPr>
          <w:p>
            <w:pPr>
              <w:jc w:val="right"/>
              <w:ind w:right="5660"/>
              <w:spacing w:after="0"/>
              <w:rPr>
                <w:sz w:val="20"/>
                <w:szCs w:val="20"/>
                <w:color w:val="auto"/>
              </w:rPr>
            </w:pPr>
            <w:r>
              <w:rPr>
                <w:rFonts w:ascii="Arial" w:cs="Arial" w:eastAsia="Arial" w:hAnsi="Arial"/>
                <w:sz w:val="18"/>
                <w:szCs w:val="18"/>
                <w:color w:val="auto"/>
              </w:rPr>
              <w:t>5.18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Payment delay (days)</w:t>
            </w:r>
          </w:p>
        </w:tc>
        <w:tc>
          <w:tcPr>
            <w:tcW w:w="160" w:type="dxa"/>
            <w:vAlign w:val="bottom"/>
          </w:tcPr>
          <w:p>
            <w:pPr>
              <w:spacing w:after="0"/>
              <w:rPr>
                <w:sz w:val="18"/>
                <w:szCs w:val="18"/>
                <w:color w:val="auto"/>
              </w:rPr>
            </w:pPr>
          </w:p>
        </w:tc>
        <w:tc>
          <w:tcPr>
            <w:tcW w:w="6600" w:type="dxa"/>
            <w:vAlign w:val="bottom"/>
            <w:gridSpan w:val="2"/>
          </w:tcPr>
          <w:p>
            <w:pPr>
              <w:jc w:val="right"/>
              <w:ind w:right="5660"/>
              <w:spacing w:after="0"/>
              <w:rPr>
                <w:sz w:val="20"/>
                <w:szCs w:val="20"/>
                <w:color w:val="auto"/>
              </w:rPr>
            </w:pPr>
            <w:r>
              <w:rPr>
                <w:rFonts w:ascii="Arial" w:cs="Arial" w:eastAsia="Arial" w:hAnsi="Arial"/>
                <w:sz w:val="18"/>
                <w:szCs w:val="18"/>
                <w:color w:val="auto"/>
              </w:rPr>
              <w:t>80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0" w:type="dxa"/>
            <w:vAlign w:val="bottom"/>
            <w:gridSpan w:val="2"/>
            <w:shd w:val="clear" w:color="auto" w:fill="CCEEFF"/>
          </w:tcPr>
          <w:p>
            <w:pPr>
              <w:jc w:val="right"/>
              <w:ind w:right="5660"/>
              <w:spacing w:after="0"/>
              <w:rPr>
                <w:sz w:val="20"/>
                <w:szCs w:val="20"/>
                <w:color w:val="auto"/>
              </w:rPr>
            </w:pPr>
            <w:r>
              <w:rPr>
                <w:rFonts w:ascii="Arial" w:cs="Arial" w:eastAsia="Arial" w:hAnsi="Arial"/>
                <w:sz w:val="18"/>
                <w:szCs w:val="18"/>
                <w:color w:val="auto"/>
              </w:rPr>
              <w:t>1.4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Fiscal Year 2021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Revenue volatility</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Payment delay (days)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both"/>
        <w:ind w:left="140" w:right="140" w:firstLine="486"/>
        <w:spacing w:after="0" w:line="263" w:lineRule="auto"/>
        <w:rPr>
          <w:sz w:val="20"/>
          <w:szCs w:val="20"/>
          <w:color w:val="auto"/>
        </w:rPr>
      </w:pPr>
      <w:r>
        <w:rPr>
          <w:rFonts w:ascii="Arial" w:cs="Arial" w:eastAsia="Arial" w:hAnsi="Arial"/>
          <w:sz w:val="18"/>
          <w:szCs w:val="18"/>
          <w:color w:val="auto"/>
        </w:rPr>
        <w:t>The Company recorded a net loss of $0.2 million resulting from the increase in the fair value of the contingent consideration in the three months ended June 30, 2022. The Company recorded a net loss of $0.1 million resulting from the increase in the fair value of the contingent consideration in the three months ended June 30,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three months ended June 30, 2021. The current and long term debt balance is $0.1 million each as of the three months ended June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w:t>
      </w:r>
    </w:p>
    <w:p>
      <w:pPr>
        <w:sectPr>
          <w:pgSz w:w="11900" w:h="16958" w:orient="portrait"/>
          <w:cols w:equalWidth="0" w:num="1">
            <w:col w:w="11240"/>
          </w:cols>
          <w:pgMar w:left="320" w:top="611" w:right="339" w:bottom="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finance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June 30, 2022, the right-of-use asset related to the finance lease was $5.8 thousand, net of accumulated amortization of $7.4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June 30,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2022</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2022</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3,484</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3,502</w:t>
            </w: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2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2,783</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2,900</w:t>
            </w: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6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costs related to the Company's finance lease are not material. The costs related to the Company's operating leases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are as follows (in thousands):</w:t>
      </w:r>
    </w:p>
    <w:p>
      <w:pPr>
        <w:sectPr>
          <w:pgSz w:w="11900" w:h="16838" w:orient="portrait"/>
          <w:cols w:equalWidth="0" w:num="1">
            <w:col w:w="11240"/>
          </w:cols>
          <w:pgMar w:left="320" w:top="611" w:right="339"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costs -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costs -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estimated minimum future lease obligations under the Company's leases are as follows (in thousands):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minimum lease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lease liabilities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4" w:lineRule="exact"/>
        <w:rPr>
          <w:sz w:val="20"/>
          <w:szCs w:val="20"/>
          <w:color w:val="auto"/>
        </w:rPr>
      </w:pPr>
    </w:p>
    <w:p>
      <w:pPr>
        <w:ind w:left="1180" w:hanging="1173"/>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242</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38</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31</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4" w:lineRule="exact"/>
        <w:rPr>
          <w:sz w:val="20"/>
          <w:szCs w:val="20"/>
          <w:color w:val="auto"/>
        </w:rPr>
      </w:pPr>
    </w:p>
    <w:p>
      <w:pPr>
        <w:ind w:left="1180" w:hanging="1173"/>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231</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169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23" w:lineRule="exact"/>
        <w:rPr>
          <w:sz w:val="20"/>
          <w:szCs w:val="20"/>
          <w:color w:val="auto"/>
        </w:rPr>
      </w:pPr>
    </w:p>
    <w:p>
      <w:pPr>
        <w:ind w:left="1180" w:hanging="1173"/>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762</w:t>
      </w:r>
    </w:p>
    <w:p>
      <w:pPr>
        <w:spacing w:after="0" w:line="46"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974</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780</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719</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579</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357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4,171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567</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3,604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16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ectPr>
          <w:pgSz w:w="11900" w:h="16838" w:orient="portrait"/>
          <w:cols w:equalWidth="0" w:num="2">
            <w:col w:w="9200" w:space="480"/>
            <w:col w:w="1560"/>
          </w:cols>
          <w:pgMar w:left="320" w:top="611" w:right="339" w:bottom="254"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2022, the Company had $6.0 million of restricted cash included in long-term assets and $3.8 million of restricted cash included in current assets. As of March 31, 2022, the Company had $6.1 million of restricted cash included in long term assets and $2.8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19,829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23,501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22,679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25,420</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Grid</w:t>
            </w:r>
          </w:p>
        </w:tc>
        <w:tc>
          <w:tcPr>
            <w:tcW w:w="5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(7,281)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4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r>
      <w:tr>
        <w:trPr>
          <w:trHeight w:val="249"/>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2"/>
        </w:trPr>
        <w:tc>
          <w:tcPr>
            <w:tcW w:w="3920" w:type="dxa"/>
            <w:vAlign w:val="bottom"/>
          </w:tcPr>
          <w:p>
            <w:pPr>
              <w:spacing w:after="0"/>
              <w:rPr>
                <w:sz w:val="24"/>
                <w:szCs w:val="24"/>
                <w:color w:val="auto"/>
              </w:rPr>
            </w:pP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consist of a loss on contingent consideration of $0.2 million in the three months ended June 30, 2022. Unallocated corporate expenses consist of a loss on contingent consideration of $0.1 million in the three months ended June 30, 2021. Additionally, unallocated corporate expenses consist of stock-based compensation expense of $1.0 million and $1.3 million in the three months ended June 30, 2022, and 2021,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June 30,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120,583</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114,053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Wind</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9,433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9,866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46,492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49,968</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176,508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2022.The Company is currently evaluating the impact, if any, that the adoption of ASU 2016-13 may have on its consolidated financial statements.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The Company is currently evaluating the impact, if any, that the adoption of ASU 2021-08 may have on its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As of April 1, 2022, the Company has adopted ASU 2021-10 and noted no material impact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including increasing inflation and impacts from the COVID-19 pandemic,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w:t>
      </w:r>
      <w:r>
        <w:rPr>
          <w:rFonts w:ascii="Arial" w:cs="Arial" w:eastAsia="Arial" w:hAnsi="Arial"/>
          <w:sz w:val="16"/>
          <w:szCs w:val="16"/>
          <w:color w:val="auto"/>
        </w:rPr>
        <w:t>’</w:t>
      </w:r>
      <w:r>
        <w:rPr>
          <w:rFonts w:ascii="Arial" w:cs="Arial" w:eastAsia="Arial" w:hAnsi="Arial"/>
          <w:sz w:val="16"/>
          <w:szCs w:val="16"/>
          <w:i w:val="1"/>
          <w:iCs w:val="1"/>
          <w:color w:val="auto"/>
        </w:rPr>
        <w:t>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The increasing focus on environmental sustainability and social initiatives could increase our costs, and inaction could harm our reputation and adversely impact our financial results; We may be unable to adequately prevent disclosure of trade secrets and other proprietary information; 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2022,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American Superconductor®, Amperium®, AMSC®, D-VAR®, PowerModule™, </w:t>
      </w:r>
      <w:r>
        <w:rPr>
          <w:rFonts w:ascii="Arial" w:cs="Arial" w:eastAsia="Arial" w:hAnsi="Arial"/>
          <w:sz w:val="16"/>
          <w:szCs w:val="16"/>
          <w:i w:val="1"/>
          <w:iCs w:val="1"/>
          <w:color w:val="auto"/>
        </w:rPr>
        <w:t>D-VAR VVO®,</w:t>
      </w:r>
      <w:r>
        <w:rPr>
          <w:rFonts w:ascii="Arial" w:cs="Arial" w:eastAsia="Arial" w:hAnsi="Arial"/>
          <w:sz w:val="16"/>
          <w:szCs w:val="16"/>
          <w:color w:val="auto"/>
        </w:rPr>
        <w:t xml:space="preserve"> 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w:t>
      </w:r>
    </w:p>
    <w:p>
      <w:pPr>
        <w:sectPr>
          <w:pgSz w:w="11900" w:h="16838" w:orient="portrait"/>
          <w:cols w:equalWidth="0" w:num="1">
            <w:col w:w="11240"/>
          </w:cols>
          <w:pgMar w:left="320" w:top="904" w:right="339" w:bottom="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Form 10-Q by an ® or ™ symbol. All other brand names, product names, trademarks or service marks appearing in this Quarterly Report on Form 10-Q are the property of their respective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ind w:left="800" w:right="40" w:hanging="239"/>
        <w:spacing w:after="0" w:line="255"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and renewable energy project developers to connect,</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ind w:left="800" w:right="180" w:hanging="252"/>
        <w:spacing w:after="0" w:line="275"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2022 refers to the fiscal year that began on April 1, 2022. Other fiscal years follow similarly.</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resilient electric grid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agreed, among other things, to provide the REG system and to supervise ComEd’s installation of the REG system in Chicago. As part of our separate cost sharing arrangement with DHS under the Prime Contract, we received funding provided by DHS in connection with the Subcontract Agreement of approximately $10.0 million, which represents the total amount of revenue we recognized over the term of the Subcontract Agreement and includes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The COVID-19 pandemic continues to rapidly evolve. We are experiencing substantial inflationary pressure in our supply chain, some delays in sourcing materials needed for our products and some production disruption resulting from higher than typical employee absenteeism which have increased our cost of revenues and decreased gross margin. The extent to which the pandemic impacts our business, liquidity, results of operations and financial condition will depend on future developments, which are highly uncertain and cannot be predicted with confidence. Changes in macroeconomic and market conditions arising from the COVID-19 pandemic, or for other reasons, such as the ongoing war between Russia and Ukraine, including inflation, labor force availability, sourcing, material delays and global supply chain disruptions could have a material adverse effect on our business, financial condition and results of operation.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Annual Report on Form 10-K for the fiscal year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revenues decreased 11% to $22.7 million for the three months ended June 30, 2022, compared to $25.4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Our revenues are summarized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19,829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23,501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22,679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25,420</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Grid business unit accounted for 87% of total revenues for the three months ended June 30, 2022, compared to 92% for the three months ended June 30, 2021. Our Grid business unit revenues decreased 16% to $19.8 million in the three months ended June 30, 2022, from $23.5 million in the three months ended June 30, 2021. The decrease in the Grid business unit revenue in the three months ended June 30, 2022, was primarily driven by lower D-VAR revenues than in the prior year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Wind business unit accounted for 13% of total revenues for the three months ended June 30, 2022, compared to 8% for the three months ended June 30, 2021. Revenues in the Wind business unit increased 49% to $2.9 million in the three months ended June 30, 2022, from $1.9 million in the three months ended June 30, 2021. The increase in the three months ended June 30, 2022, was driven by additional shipments of electrical control systems ("ECS") to Inox in the period ended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Cost of revenues decreased by 7% to $20.5 million for the three months ended June 30, 2022, compared to $22.1 million for the three months ended June 30, 2021. Gross margin was 10% for the three months ended June 30, 2022, compared to 13% for the three months ended June 30, 2021. The decrease in gross margin in the three months ended June 30, 2022, was due to lower revenues, an unfavorable product mix, inflation pressure in our supply chain and some delays in sourcing materials due to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("R&amp;D") expense decreased 12% in the three months ended June 30, 2022 to $2.7 million from $3.0 million in the three months ended June 30, 2021. The decrease in R&amp;D expense was due to lower overall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("SG&amp;A") expenses increased 6% in the three months ended June 30, 2022, to $7.6 million from $7.1 million in the three months ended June 30, 2021. The increase in SG&amp;A expense in the three months ended June 30, 2022, was due to higher overall compensation expense than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amortization expense related to our core technology and know-how, customer relationships, and other intangible assets of $0.7 million in the three months ended June 30, 2022 and $0.6 million in the three months ended June 30, 2021. The increase in amortization expense is a result of additional expense relating to Neeltran.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loss of $0.2 million in the three months ended June 30, 2022, compared to a loss of $0.1 million in the three months ended June 30, 2021. The change in the fair value was primarily driven by an increased likelihood of achieving certain revenue targets.</w:t>
      </w:r>
    </w:p>
    <w:p>
      <w:pPr>
        <w:sectPr>
          <w:pgSz w:w="11900" w:h="16838" w:orient="portrait"/>
          <w:cols w:equalWidth="0" w:num="1">
            <w:col w:w="11240"/>
          </w:cols>
          <w:pgMar w:left="320" w:top="584"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(7,281)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(5,345)</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(763)</w:t>
            </w:r>
          </w:p>
        </w:tc>
      </w:tr>
      <w:tr>
        <w:trPr>
          <w:trHeight w:val="230"/>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(1,391)</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Grid business segment generated operating losses of $7.3 million in the three months ended June 30, 2022, compared to $5.3 million in the three months ended June 30, 2021. The increase in the Grid business unit operating loss in the three months ended June 30, 2022 was due to lower revenues and gross margins, and additional operating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Wind business segment generated operating losses of $0.4 million in the three months ended June 30, 2022, compared to an operating loss of $0.8 million in the three months ended June 30, 2021. The decrease in the Wind business unit operating loss was due to additional revenues and higher gross margins driven by additional shipments of ECS than in the year ago period.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included a loss on contingent consideration of $0.2 million in the three months ended June 30, 2022. Unallocated corporate expenses included a loss on contingent consideration of $0.1 million in the three months ended June 30, 2021. Additionally, unallocated corporate expenses included stock-based compensation expense of $1.0 million and $1.3 million in the three months ended June 30, 2022 and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net, was less than $0.1 million in both the three months ended June 30, 2022 and June 30,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was $0.2 million in the three months ended June 30, 2022, compared to other expense, net, of less than $0.1 million in the three months ended June 30, 2021. The increase in other income during the period ended June 30, 2022, was driven by the impacts of favorable fluctuations in foreign currencies.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less than $0.1 million in the three months ended June 30, 2022. Income tax benefit was $2.1 million in the three months ended June 30, 2021. The increase in income tax expense in the three month period ended June 30, 2022 is due primarily to the tax benefit from the acquisition of all of the issued and outstanding shares of capital stock of Neeltran and International (the "Neeltran Acquisition") in the period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loss was $8.7 million in the three months ended June 30, 2022, compared to $5.4 million in the three months ended June 30, 2021. The increase in net loss was driven primarily by the income tax benefit of $2.1 million from the acquisition of Neeltran in the period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define non-GAAP net loss as net loss before stock-based compensation, amortization of acquisition-related intangibles, acquisition costs, change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 costs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Non-GAAP 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(6,795)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27,560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26,826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incurred non-GAAP net losses of $6.8 million or $0.25 per share, for the three months ended June 30, 2022, compared to $2.7 million or $0.10, for the three months ended June 30, 2021. The increase in the non-GAAP net loss for the three months ended June 30, 2022 was due to a higher operating loss driven by lower gross margin and higher operating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June 30, 2022, had an accumulated deficit of $1,029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we had cash, cash equivalents and restricted cash of $43.1 million, compared to $49.5 million as of March 31, 2022, a decrease of $6.4 million. As of June 30, 2022, we had approximately $2.1 million of cash, cash equivalents, and restricted cash in foreign bank accounts. Our cash, cash equivalents, and restricted cash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49,486</w:t>
            </w: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June 30, 2022, net cash used in operating activities was $5.9 million, compared to $5.8 million for the three months ended June 30, 2021. The increase in net cash used in operations was due primarily to an increase in inventory purchases offset by accounts receivable collections in the three months ended June 30, 2022 as compared to June 30, 2021.</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June 30, 2022, net cash used in investing activities was $0.5 million, compared to $11.7 million for the three months ended June 30, 2021. The decrease in net cash used in investing activities was primarily due to the cash that was used to pay for the Neeltran Acquisition in the three months ended June 30, 2021. There was no such transaction in the three months ended June 30, 2022.</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June 30, 2022 and 2021, respectively, net cash used in financing activities remained consistent at less than $0.1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we had $6.0 million of restricted cash included in long-term assets and $3.8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June 30, 2022,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improve upon gross margins,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are currently evaluating the impact, if any, that the adoption of ASU 2016-13 may have on our consolidated financial statements.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We are currently evaluating the impact, if any, that the adoption of ASU 2021-08 may have on our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effective date was annual reporting periods beginning after December 15, 2021. As of April 1, 2022, we have adopted ASU 2021-10 and noted no material impact on our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of our Annual Report on Form 10-K for the fiscal year ended March 31, 2022, filed with the SEC on June 1, 2022.</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June 30,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2022 - April 30, 2022</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May 1, 2022 - May 31, 2022</w:t>
            </w:r>
          </w:p>
        </w:tc>
        <w:tc>
          <w:tcPr>
            <w:tcW w:w="1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2022 - June 30, 2022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During the three months ended June 30, 2022, we did not repurchase shares in connection with our stock-based compensation plans.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40" w:type="dxa"/>
            <w:vAlign w:val="bottom"/>
            <w:gridSpan w:val="14"/>
          </w:tcPr>
          <w:p>
            <w:pPr>
              <w:ind w:left="30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5120" w:type="dxa"/>
            <w:vAlign w:val="bottom"/>
            <w:gridSpan w:val="12"/>
          </w:tcPr>
          <w:p>
            <w:pPr>
              <w:ind w:left="176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5"/>
              </w:rPr>
              <w:t>File No.</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95"/>
        </w:trPr>
        <w:tc>
          <w:tcPr>
            <w:tcW w:w="6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6/10/22</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2"/>
          </w:tcPr>
          <w:p>
            <w:pPr>
              <w:spacing w:after="0" w:line="190" w:lineRule="exact"/>
              <w:rPr>
                <w:rFonts w:ascii="Arial" w:cs="Arial" w:eastAsia="Arial" w:hAnsi="Arial"/>
                <w:sz w:val="18"/>
                <w:szCs w:val="18"/>
                <w:color w:val="0000EE"/>
              </w:rPr>
            </w:pPr>
            <w:hyperlink r:id="rId60">
              <w:r>
                <w:rPr>
                  <w:rFonts w:ascii="Arial" w:cs="Arial" w:eastAsia="Arial" w:hAnsi="Arial"/>
                  <w:sz w:val="18"/>
                  <w:szCs w:val="18"/>
                  <w:color w:val="0000EE"/>
                </w:rPr>
                <w:t>Fiscal 2022 Executive Incentive Plan</w:t>
              </w:r>
            </w:hyperlink>
          </w:p>
        </w:tc>
        <w:tc>
          <w:tcPr>
            <w:tcW w:w="660" w:type="dxa"/>
            <w:vAlign w:val="bottom"/>
          </w:tcPr>
          <w:p>
            <w:pPr>
              <w:spacing w:after="0"/>
              <w:rPr>
                <w:sz w:val="16"/>
                <w:szCs w:val="16"/>
                <w:color w:val="auto"/>
              </w:rPr>
            </w:pPr>
          </w:p>
        </w:tc>
        <w:tc>
          <w:tcPr>
            <w:tcW w:w="780" w:type="dxa"/>
            <w:vAlign w:val="bottom"/>
            <w:gridSpan w:val="2"/>
          </w:tcPr>
          <w:p>
            <w:pPr>
              <w:jc w:val="right"/>
              <w:ind w:right="30"/>
              <w:spacing w:after="0" w:line="190" w:lineRule="exact"/>
              <w:rPr>
                <w:sz w:val="20"/>
                <w:szCs w:val="20"/>
                <w:color w:val="auto"/>
              </w:rPr>
            </w:pPr>
            <w:r>
              <w:rPr>
                <w:rFonts w:ascii="Arial" w:cs="Arial" w:eastAsia="Arial" w:hAnsi="Arial"/>
                <w:sz w:val="18"/>
                <w:szCs w:val="18"/>
                <w:color w:val="auto"/>
              </w:rPr>
              <w:t>19672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0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Chief Executive Officer—Certification pursuant to Rule 13a-14(a) or</w:t>
              </w:r>
            </w:hyperlink>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Rule 15d-14(a) of the Securities Exchange Act of 1934, as adopted</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2"/>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Rule 15d-14(a) of the Securities Exchange Act of 1934, as adopted</w:t>
              </w:r>
            </w:hyperlink>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Chief Executive Officer—Certification pursuant to Rule13a-14(b) or</w:t>
              </w:r>
            </w:hyperlink>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Rule 15d-14(b) of the Securities Exchange Act of 1934 and 18</w:t>
              </w:r>
            </w:hyperlink>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Chief Financial Officer—Certification pursuant to Rule 13a-14(b) or</w:t>
              </w:r>
            </w:hyperlink>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Rule 15d-14(b) of the Securities Exchange Act of 1934 and 18</w:t>
              </w:r>
            </w:hyperlink>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Sarbanes-Oxley Act of 2002.</w:t>
              </w:r>
            </w:hyperlink>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Attached as Exhibits 101 to this report are the following formatted in inline XBRL (Extensible Business Reporting Language): (i) Condensed Consolidated Balance Sheet as of June 30, 2022 and March 31, 2022 (ii) Condensed Statements of Operations and Income for the three months ended June 30, 2022 and 2021, (iii) Condensed Consolidated Statements of Comprehensive (Loss) Income for the three months ended June 30, 2022 and 2021, (iv) Condensed Consolidated Statements of Cash Flows for the three months ended June 30, 2022 and 2021, and (v)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August 3, 2022</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August 3, 2022</w:t>
            </w:r>
          </w:p>
        </w:tc>
        <w:tc>
          <w:tcPr>
            <w:tcW w:w="34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b w:val="1"/>
                <w:bCs w:val="1"/>
                <w:color w:val="auto"/>
                <w:w w:val="92"/>
              </w:rPr>
              <w:t>Daniel P. McGahn</w:t>
            </w:r>
          </w:p>
        </w:tc>
      </w:tr>
      <w:tr>
        <w:trPr>
          <w:trHeight w:val="195"/>
        </w:trPr>
        <w:tc>
          <w:tcPr>
            <w:tcW w:w="42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2022,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2022,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0" Type="http://schemas.openxmlformats.org/officeDocument/2006/relationships/hyperlink" Target="http://www.sec.gov/Archives/edgar/data/880807/000143774922014780/ex_3856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2022-08-03T15:31:59Z</dcterms:created>
  <dcterms:modified xsi:type="dcterms:W3CDTF">2022-08-03T15:31:59Z</dcterms:modified>
</cp:coreProperties>
</file>