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29845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2" w:lineRule="exact"/>
        <w:rPr>
          <w:sz w:val="24"/>
          <w:szCs w:val="24"/>
          <w:color w:val="auto"/>
        </w:rPr>
      </w:pPr>
    </w:p>
    <w:p>
      <w:pPr>
        <w:ind w:left="820" w:right="400" w:hanging="812"/>
        <w:spacing w:after="0" w:line="256" w:lineRule="auto"/>
        <w:tabs>
          <w:tab w:leader="none" w:pos="8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31,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20" w:right="300" w:hanging="812"/>
        <w:spacing w:after="0" w:line="256" w:lineRule="auto"/>
        <w:tabs>
          <w:tab w:leader="none" w:pos="8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p>
      <w:pPr>
        <w:spacing w:after="0" w:line="219"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04-2959321</w:t>
      </w:r>
    </w:p>
    <w:p>
      <w:pPr>
        <w:spacing w:after="0" w:line="50" w:lineRule="exact"/>
        <w:rPr>
          <w:sz w:val="24"/>
          <w:szCs w:val="24"/>
          <w:color w:val="auto"/>
        </w:rPr>
      </w:pPr>
    </w:p>
    <w:p>
      <w:pPr>
        <w:sectPr>
          <w:pgSz w:w="11900" w:h="16838" w:orient="portrait"/>
          <w:cols w:equalWidth="0" w:num="2">
            <w:col w:w="7280" w:space="720"/>
            <w:col w:w="3240"/>
          </w:cols>
          <w:pgMar w:left="320" w:top="1160" w:right="339" w:bottom="1440" w:gutter="0" w:footer="0" w:header="0"/>
          <w:type w:val="continuous"/>
        </w:sectPr>
      </w:pPr>
    </w:p>
    <w:p>
      <w:pPr>
        <w:jc w:val="center"/>
        <w:ind w:right="1260"/>
        <w:spacing w:after="0"/>
        <w:rPr>
          <w:sz w:val="20"/>
          <w:szCs w:val="20"/>
          <w:color w:val="auto"/>
        </w:rPr>
      </w:pPr>
      <w:r>
        <w:rPr>
          <w:rFonts w:ascii="Arial" w:cs="Arial" w:eastAsia="Arial" w:hAnsi="Arial"/>
          <w:sz w:val="16"/>
          <w:szCs w:val="16"/>
          <w:b w:val="1"/>
          <w:bCs w:val="1"/>
          <w:color w:val="auto"/>
        </w:rPr>
        <w:t>(State or Other Jurisdiction</w:t>
      </w:r>
    </w:p>
    <w:p>
      <w:pPr>
        <w:spacing w:after="0" w:line="13" w:lineRule="exact"/>
        <w:rPr>
          <w:sz w:val="24"/>
          <w:szCs w:val="24"/>
          <w:color w:val="auto"/>
        </w:rPr>
      </w:pPr>
    </w:p>
    <w:p>
      <w:pPr>
        <w:jc w:val="center"/>
        <w:ind w:right="1260"/>
        <w:spacing w:after="0"/>
        <w:rPr>
          <w:sz w:val="20"/>
          <w:szCs w:val="20"/>
          <w:color w:val="auto"/>
        </w:rPr>
      </w:pPr>
      <w:r>
        <w:rPr>
          <w:rFonts w:ascii="Arial" w:cs="Arial" w:eastAsia="Arial" w:hAnsi="Arial"/>
          <w:sz w:val="15"/>
          <w:szCs w:val="15"/>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6"/>
          <w:szCs w:val="16"/>
          <w:b w:val="1"/>
          <w:bCs w:val="1"/>
          <w:color w:val="auto"/>
        </w:rPr>
        <w:t>(IRS Employer</w:t>
      </w:r>
    </w:p>
    <w:p>
      <w:pPr>
        <w:spacing w:after="0" w:line="13"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620"/>
          </w:cols>
          <w:pgMar w:left="320" w:top="1160" w:right="339" w:bottom="1440" w:gutter="0" w:footer="0" w:header="0"/>
          <w:type w:val="continuous"/>
        </w:sectPr>
      </w:pPr>
    </w:p>
    <w:p>
      <w:pPr>
        <w:spacing w:after="0" w:line="20"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114 East Main Street</w:t>
      </w:r>
    </w:p>
    <w:p>
      <w:pPr>
        <w:spacing w:after="0" w:line="50" w:lineRule="exact"/>
        <w:rPr>
          <w:sz w:val="24"/>
          <w:szCs w:val="24"/>
          <w:color w:val="auto"/>
        </w:rPr>
      </w:pPr>
    </w:p>
    <w:p>
      <w:pPr>
        <w:ind w:left="2040"/>
        <w:spacing w:after="0"/>
        <w:rPr>
          <w:sz w:val="20"/>
          <w:szCs w:val="20"/>
          <w:color w:val="auto"/>
        </w:rPr>
      </w:pPr>
      <w:r>
        <w:rPr>
          <w:rFonts w:ascii="Arial" w:cs="Arial" w:eastAsia="Arial" w:hAnsi="Arial"/>
          <w:sz w:val="15"/>
          <w:szCs w:val="15"/>
          <w:b w:val="1"/>
          <w:bCs w:val="1"/>
          <w:color w:val="auto"/>
        </w:rPr>
        <w:t>Ayer, Massachusetts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01432</w:t>
      </w:r>
    </w:p>
    <w:p>
      <w:pPr>
        <w:spacing w:after="0" w:line="50" w:lineRule="exact"/>
        <w:rPr>
          <w:sz w:val="24"/>
          <w:szCs w:val="24"/>
          <w:color w:val="auto"/>
        </w:rPr>
      </w:pPr>
    </w:p>
    <w:p>
      <w:pPr>
        <w:sectPr>
          <w:pgSz w:w="11900" w:h="16838" w:orient="portrait"/>
          <w:cols w:equalWidth="0" w:num="2">
            <w:col w:w="7480" w:space="720"/>
            <w:col w:w="3040"/>
          </w:cols>
          <w:pgMar w:left="320" w:top="1160" w:right="339" w:bottom="1440" w:gutter="0" w:footer="0" w:header="0"/>
          <w:type w:val="continuous"/>
        </w:sectPr>
      </w:pPr>
    </w:p>
    <w:p>
      <w:pPr>
        <w:ind w:left="1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340" w:space="720"/>
            <w:col w:w="3180"/>
          </w:cols>
          <w:pgMar w:left="320" w:top="1160"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(978) 842-3000</w:t>
      </w:r>
    </w:p>
    <w:p>
      <w:pPr>
        <w:sectPr>
          <w:pgSz w:w="11900" w:h="16838" w:orient="portrait"/>
          <w:cols w:equalWidth="0" w:num="1">
            <w:col w:w="11240"/>
          </w:cols>
          <w:pgMar w:left="320" w:top="1160" w:right="339" w:bottom="144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jc w:val="center"/>
        <w:ind w:left="940"/>
        <w:spacing w:after="0" w:line="266" w:lineRule="auto"/>
        <w:rPr>
          <w:sz w:val="20"/>
          <w:szCs w:val="20"/>
          <w:color w:val="auto"/>
        </w:rPr>
      </w:pPr>
      <w:r>
        <w:rPr>
          <w:rFonts w:ascii="Arial" w:cs="Arial" w:eastAsia="Arial" w:hAnsi="Arial"/>
          <w:sz w:val="18"/>
          <w:szCs w:val="18"/>
          <w:b w:val="1"/>
          <w:bCs w:val="1"/>
          <w:color w:val="auto"/>
        </w:rPr>
        <w:t>Title of each class Common Stock, $0.01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p>
      <w:pPr>
        <w:ind w:left="840"/>
        <w:spacing w:after="0"/>
        <w:tabs>
          <w:tab w:leader="none" w:pos="292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280"/>
        <w:spacing w:after="0"/>
        <w:tabs>
          <w:tab w:leader="none" w:pos="3460" w:val="left"/>
        </w:tabs>
        <w:rPr>
          <w:sz w:val="20"/>
          <w:szCs w:val="20"/>
          <w:color w:val="auto"/>
        </w:rPr>
      </w:pPr>
      <w:r>
        <w:rPr>
          <w:rFonts w:ascii="Arial" w:cs="Arial" w:eastAsia="Arial" w:hAnsi="Arial"/>
          <w:sz w:val="18"/>
          <w:szCs w:val="18"/>
          <w:b w:val="1"/>
          <w:bCs w:val="1"/>
          <w:color w:val="auto"/>
        </w:rPr>
        <w:t>AMSC</w:t>
      </w:r>
      <w:r>
        <w:rPr>
          <w:sz w:val="20"/>
          <w:szCs w:val="20"/>
          <w:color w:val="auto"/>
        </w:rPr>
        <w:tab/>
      </w:r>
      <w:r>
        <w:rPr>
          <w:rFonts w:ascii="Arial" w:cs="Arial" w:eastAsia="Arial" w:hAnsi="Arial"/>
          <w:sz w:val="18"/>
          <w:szCs w:val="18"/>
          <w:b w:val="1"/>
          <w:bCs w:val="1"/>
          <w:color w:val="auto"/>
        </w:rPr>
        <w:t>Nasdaq Global Select Market</w:t>
      </w:r>
    </w:p>
    <w:p>
      <w:pPr>
        <w:spacing w:after="0" w:line="422" w:lineRule="exact"/>
        <w:rPr>
          <w:sz w:val="24"/>
          <w:szCs w:val="24"/>
          <w:color w:val="auto"/>
        </w:rPr>
      </w:pPr>
    </w:p>
    <w:p>
      <w:pPr>
        <w:sectPr>
          <w:pgSz w:w="11900" w:h="16838" w:orient="portrait"/>
          <w:cols w:equalWidth="0" w:num="2">
            <w:col w:w="2880" w:space="540"/>
            <w:col w:w="7820"/>
          </w:cols>
          <w:pgMar w:left="320" w:top="1160"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240"/>
          </w:cols>
          <w:pgMar w:left="320" w:top="1160" w:right="339" w:bottom="1440" w:gutter="0" w:footer="0" w:header="0"/>
          <w:type w:val="continuous"/>
        </w:sectPr>
      </w:pPr>
    </w:p>
    <w:p>
      <w:pPr>
        <w:spacing w:after="0" w:line="21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52" w:lineRule="exact"/>
        <w:rPr>
          <w:sz w:val="24"/>
          <w:szCs w:val="24"/>
          <w:color w:val="auto"/>
        </w:rPr>
      </w:pPr>
    </w:p>
    <w:p>
      <w:pPr>
        <w:sectPr>
          <w:pgSz w:w="11900" w:h="16838" w:orient="portrait"/>
          <w:cols w:equalWidth="0" w:num="5">
            <w:col w:w="8880" w:space="180"/>
            <w:col w:w="260" w:space="100"/>
            <w:col w:w="160" w:space="180"/>
            <w:col w:w="220" w:space="80"/>
            <w:col w:w="1180"/>
          </w:cols>
          <w:pgMar w:left="320" w:top="1160" w:right="339" w:bottom="1440" w:gutter="0" w:footer="0" w:header="0"/>
          <w:type w:val="continuous"/>
        </w:sectPr>
      </w:pPr>
    </w:p>
    <w:p>
      <w:pPr>
        <w:spacing w:after="0" w:line="45"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0" w:lineRule="exact"/>
        <w:rPr>
          <w:sz w:val="24"/>
          <w:szCs w:val="24"/>
          <w:color w:val="auto"/>
        </w:rPr>
      </w:pPr>
    </w:p>
    <w:p>
      <w:pPr>
        <w:sectPr>
          <w:pgSz w:w="11900" w:h="16838" w:orient="portrait"/>
          <w:cols w:equalWidth="0" w:num="5">
            <w:col w:w="9040" w:space="180"/>
            <w:col w:w="280" w:space="80"/>
            <w:col w:w="160" w:space="180"/>
            <w:col w:w="220" w:space="100"/>
            <w:col w:w="1000"/>
          </w:cols>
          <w:pgMar w:left="320" w:top="1160" w:right="339" w:bottom="1440" w:gutter="0" w:footer="0" w:header="0"/>
          <w:type w:val="continuous"/>
        </w:sectPr>
      </w:pPr>
    </w:p>
    <w:p>
      <w:pPr>
        <w:spacing w:after="0" w:line="37" w:lineRule="exact"/>
        <w:rPr>
          <w:sz w:val="24"/>
          <w:szCs w:val="24"/>
          <w:color w:val="auto"/>
        </w:rPr>
      </w:pPr>
    </w:p>
    <w:p>
      <w:pPr>
        <w:jc w:val="both"/>
        <w:ind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1" w:name="page2"/>
    <w:bookmarkEnd w:id="1"/>
    <w:p>
      <w:pPr>
        <w:jc w:val="both"/>
        <w:ind w:firstLine="486"/>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0"/>
          <w:szCs w:val="20"/>
          <w:color w:val="auto"/>
        </w:rPr>
      </w:pPr>
    </w:p>
    <w:p>
      <w:pPr>
        <w:jc w:val="both"/>
        <w:ind w:firstLine="486"/>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6" w:lineRule="exact"/>
        <w:rPr>
          <w:sz w:val="20"/>
          <w:szCs w:val="20"/>
          <w:color w:val="auto"/>
        </w:rPr>
      </w:pPr>
    </w:p>
    <w:p>
      <w:pPr>
        <w:jc w:val="both"/>
        <w:ind w:firstLine="486"/>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4" w:lineRule="exact"/>
        <w:rPr>
          <w:sz w:val="20"/>
          <w:szCs w:val="20"/>
          <w:color w:val="auto"/>
        </w:rPr>
      </w:pPr>
    </w:p>
    <w:p>
      <w:pPr>
        <w:jc w:val="both"/>
        <w:ind w:firstLine="486"/>
        <w:spacing w:after="0" w:line="237"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1" w:lineRule="exact"/>
        <w:rPr>
          <w:sz w:val="20"/>
          <w:szCs w:val="20"/>
          <w:color w:val="auto"/>
        </w:rPr>
      </w:pPr>
    </w:p>
    <w:p>
      <w:pPr>
        <w:ind w:left="500"/>
        <w:spacing w:after="0" w:line="207" w:lineRule="exact"/>
        <w:tabs>
          <w:tab w:leader="none" w:pos="8020" w:val="left"/>
          <w:tab w:leader="none" w:pos="8720" w:val="left"/>
        </w:tabs>
        <w:rPr>
          <w:sz w:val="20"/>
          <w:szCs w:val="20"/>
          <w:color w:val="auto"/>
        </w:rPr>
      </w:pPr>
      <w:r>
        <w:rPr>
          <w:rFonts w:ascii="Arial" w:cs="Arial" w:eastAsia="Arial" w:hAnsi="Arial"/>
          <w:sz w:val="17"/>
          <w:szCs w:val="17"/>
          <w:color w:val="auto"/>
        </w:rPr>
        <w:t>Indicate by checkmark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September 30, 2022, based on the closing price of the shares of Common Stock on the Nasdaq Global Select Market on that date ($4.38 per share) was $122.5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Number of shares outstanding of the registrant’s Common Stock, as of May 29, 2023 was 29,595,446.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center"/>
        <w:ind w:left="340" w:right="120"/>
        <w:spacing w:after="0" w:line="277" w:lineRule="auto"/>
        <w:rPr>
          <w:sz w:val="20"/>
          <w:szCs w:val="20"/>
          <w:color w:val="auto"/>
        </w:rPr>
      </w:pPr>
      <w:r>
        <w:rPr>
          <w:rFonts w:ascii="Arial" w:cs="Arial" w:eastAsia="Arial" w:hAnsi="Arial"/>
          <w:sz w:val="18"/>
          <w:szCs w:val="18"/>
          <w:color w:val="auto"/>
        </w:rPr>
        <w:t>Portions of the definitive proxy statement for the annual meeting of stockholders scheduled to be held on August 11, 2023, to be filed with the Securities and Exchange Commission (the “SEC”), are incorporated by reference in answer 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60" w:type="dxa"/>
            <w:vAlign w:val="bottom"/>
            <w:gridSpan w:val="11"/>
          </w:tcPr>
          <w:p>
            <w:pPr>
              <w:jc w:val="center"/>
              <w:ind w:right="2600"/>
              <w:spacing w:after="0"/>
              <w:rPr>
                <w:sz w:val="20"/>
                <w:szCs w:val="20"/>
                <w:color w:val="auto"/>
              </w:rPr>
            </w:pPr>
            <w:r>
              <w:rPr>
                <w:rFonts w:ascii="Arial" w:cs="Arial" w:eastAsia="Arial" w:hAnsi="Arial"/>
                <w:sz w:val="18"/>
                <w:szCs w:val="18"/>
                <w:b w:val="1"/>
                <w:bCs w:val="1"/>
                <w:color w:val="auto"/>
              </w:rPr>
              <w:t>AMERICAN SUPERCONDUCTOR CORPORATION</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291"/>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4"/>
              </w:rPr>
              <w:t>Business</w:t>
            </w:r>
          </w:p>
        </w:tc>
        <w:tc>
          <w:tcPr>
            <w:tcW w:w="9460" w:type="dxa"/>
            <w:vAlign w:val="bottom"/>
            <w:gridSpan w:val="20"/>
          </w:tcPr>
          <w:p>
            <w:pPr>
              <w:spacing w:after="0"/>
              <w:rPr>
                <w:sz w:val="22"/>
                <w:szCs w:val="22"/>
                <w:color w:val="auto"/>
              </w:rPr>
            </w:pPr>
          </w:p>
        </w:tc>
        <w:tc>
          <w:tcPr>
            <w:tcW w:w="5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5</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12</w:t>
            </w:r>
          </w:p>
        </w:tc>
      </w:tr>
      <w:tr>
        <w:trPr>
          <w:trHeight w:val="20"/>
        </w:trPr>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1B.</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Unresolved Staff Comments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20</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20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Properties</w:t>
            </w:r>
          </w:p>
        </w:tc>
        <w:tc>
          <w:tcPr>
            <w:tcW w:w="806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21</w:t>
            </w:r>
          </w:p>
        </w:tc>
      </w:tr>
      <w:tr>
        <w:trPr>
          <w:trHeight w:val="20"/>
        </w:trPr>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8760" w:type="dxa"/>
            <w:vAlign w:val="bottom"/>
            <w:gridSpan w:val="16"/>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21</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Mine Safety Disclosures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21</w:t>
            </w:r>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99"/>
              </w:rPr>
              <w:t>PART II</w:t>
            </w:r>
          </w:p>
        </w:tc>
        <w:tc>
          <w:tcPr>
            <w:tcW w:w="5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80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2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22</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Reserved</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23</w:t>
            </w:r>
          </w:p>
        </w:tc>
      </w:tr>
      <w:tr>
        <w:trPr>
          <w:trHeight w:val="20"/>
        </w:trPr>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24</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7A.</w:t>
            </w:r>
          </w:p>
        </w:tc>
        <w:tc>
          <w:tcPr>
            <w:tcW w:w="64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36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33</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43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Financial Statements and Supplementary Data</w:t>
            </w:r>
          </w:p>
        </w:tc>
        <w:tc>
          <w:tcPr>
            <w:tcW w:w="576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34</w:t>
            </w:r>
          </w:p>
        </w:tc>
      </w:tr>
      <w:tr>
        <w:trPr>
          <w:trHeight w:val="20"/>
        </w:trPr>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64</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9A.</w:t>
            </w:r>
          </w:p>
        </w:tc>
        <w:tc>
          <w:tcPr>
            <w:tcW w:w="648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Controls and Procedures</w:t>
            </w:r>
          </w:p>
        </w:tc>
        <w:tc>
          <w:tcPr>
            <w:tcW w:w="36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64</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9B.</w:t>
            </w:r>
          </w:p>
        </w:tc>
        <w:tc>
          <w:tcPr>
            <w:tcW w:w="13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24"/>
                <w:szCs w:val="24"/>
                <w:color w:val="auto"/>
              </w:rPr>
            </w:pPr>
          </w:p>
        </w:tc>
        <w:tc>
          <w:tcPr>
            <w:tcW w:w="834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66</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9C.</w:t>
            </w:r>
          </w:p>
        </w:tc>
        <w:tc>
          <w:tcPr>
            <w:tcW w:w="49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Disclosure Regarding Foreign Jurisdictions that Prevent Inspections</w:t>
            </w:r>
          </w:p>
        </w:tc>
        <w:tc>
          <w:tcPr>
            <w:tcW w:w="520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66</w:t>
            </w:r>
          </w:p>
        </w:tc>
      </w:tr>
      <w:tr>
        <w:trPr>
          <w:trHeight w:val="534"/>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Directors, Executive Officers and Corporate Governance</w:t>
            </w:r>
          </w:p>
        </w:tc>
        <w:tc>
          <w:tcPr>
            <w:tcW w:w="6000" w:type="dxa"/>
            <w:vAlign w:val="bottom"/>
            <w:gridSpan w:val="8"/>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66</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Executive Compensation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66</w:t>
            </w:r>
          </w:p>
        </w:tc>
      </w:tr>
      <w:tr>
        <w:trPr>
          <w:trHeight w:val="20"/>
        </w:trPr>
        <w:tc>
          <w:tcPr>
            <w:tcW w:w="4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66</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540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1880" w:type="dxa"/>
            <w:vAlign w:val="bottom"/>
            <w:tcBorders>
              <w:top w:val="single" w:sz="8" w:color="0000EE"/>
            </w:tcBorders>
            <w:gridSpan w:val="3"/>
          </w:tcPr>
          <w:p>
            <w:pPr>
              <w:spacing w:after="0"/>
              <w:rPr>
                <w:sz w:val="24"/>
                <w:szCs w:val="24"/>
                <w:color w:val="auto"/>
              </w:rPr>
            </w:pPr>
          </w:p>
        </w:tc>
        <w:tc>
          <w:tcPr>
            <w:tcW w:w="28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66</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Principal Accountant Fees and Services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66</w:t>
            </w:r>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31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Exhibits and Financial Statement Schedules</w:t>
            </w:r>
          </w:p>
        </w:tc>
        <w:tc>
          <w:tcPr>
            <w:tcW w:w="6940" w:type="dxa"/>
            <w:vAlign w:val="bottom"/>
            <w:gridSpan w:val="10"/>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67</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10100" w:type="dxa"/>
            <w:vAlign w:val="bottom"/>
            <w:gridSpan w:val="21"/>
          </w:tcPr>
          <w:p>
            <w:pPr>
              <w:spacing w:after="0"/>
              <w:rPr>
                <w:sz w:val="20"/>
                <w:szCs w:val="20"/>
                <w:color w:val="auto"/>
              </w:rPr>
            </w:pPr>
            <w:r>
              <w:rPr>
                <w:rFonts w:ascii="Arial" w:cs="Arial" w:eastAsia="Arial" w:hAnsi="Arial"/>
                <w:sz w:val="18"/>
                <w:szCs w:val="18"/>
                <w:color w:val="0000EE"/>
              </w:rPr>
              <w:t>Form 10-K Summary</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EE"/>
              </w:rPr>
              <w:t>68</w:t>
            </w:r>
          </w:p>
        </w:tc>
      </w:tr>
      <w:tr>
        <w:trPr>
          <w:trHeight w:val="453"/>
        </w:trPr>
        <w:tc>
          <w:tcPr>
            <w:tcW w:w="460" w:type="dxa"/>
            <w:vAlign w:val="bottom"/>
          </w:tcPr>
          <w:p>
            <w:pPr>
              <w:spacing w:after="0"/>
              <w:rPr>
                <w:sz w:val="24"/>
                <w:szCs w:val="24"/>
                <w:color w:val="auto"/>
              </w:rPr>
            </w:pPr>
          </w:p>
        </w:tc>
        <w:tc>
          <w:tcPr>
            <w:tcW w:w="1540" w:type="dxa"/>
            <w:vAlign w:val="bottom"/>
            <w:tcBorders>
              <w:top w:val="single" w:sz="8" w:color="0000EE"/>
            </w:tcBorders>
            <w:gridSpan w:val="6"/>
          </w:tcPr>
          <w:p>
            <w:pPr>
              <w:spacing w:after="0"/>
              <w:rPr>
                <w:sz w:val="24"/>
                <w:szCs w:val="24"/>
                <w:color w:val="auto"/>
              </w:rPr>
            </w:pPr>
          </w:p>
        </w:tc>
        <w:tc>
          <w:tcPr>
            <w:tcW w:w="3860" w:type="dxa"/>
            <w:vAlign w:val="bottom"/>
            <w:gridSpan w:val="10"/>
          </w:tcPr>
          <w:p>
            <w:pPr>
              <w:jc w:val="center"/>
              <w:ind w:left="3290"/>
              <w:spacing w:after="0"/>
              <w:rPr>
                <w:sz w:val="20"/>
                <w:szCs w:val="20"/>
                <w:color w:val="auto"/>
              </w:rPr>
            </w:pPr>
            <w:r>
              <w:rPr>
                <w:rFonts w:ascii="Arial" w:cs="Arial" w:eastAsia="Arial" w:hAnsi="Arial"/>
                <w:sz w:val="18"/>
                <w:szCs w:val="18"/>
                <w:color w:val="auto"/>
                <w:w w:val="79"/>
              </w:rPr>
              <w:t>3</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2882900</wp:posOffset>
            </wp:positionH>
            <wp:positionV relativeFrom="page">
              <wp:posOffset>448945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t>This Annual Report on Form 10-K contains forward-looking statements within the meaning of Section 21E of the Securities Exchange Act of 1934, as amended (the “Exchange Act”). Any statements in this Annual Report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our addressable markets, our competitive position, the benefits of our acquisitions, the ongoing impact of the COVID-19 pandemic on our business, financial results and financial condition, expectations for when our products become operational,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the important factors discussed under the caption “Risk Factors” in Part 1. Item 1A of this Form 10-K for the fiscal year ended March 31, 2023, which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American Superconductor®, Amperium®, AMSC®, D-VAR®, PowerModule™, D-VAR VVO®, PQ-IVR®, SeaTitan®, Gridtec™ Solutions, Windtec™ Solutions, Smarter, Cleaner...Better Energy™, Orchestrate the Rhythm and Harmony of Power on the Grid™, actiVAR®, armorVAR™, NEPSI™, Neeltran™ and SafetyLOCK™ are trademarks or registered trademarks of American Superconductor Corporation or our subsidiaries. We reserve all of our rights with respect to our trademarks or registered trademarks regardless of whether they are so designated in this Annual Report on Form 10-K by an ® or</w:t>
      </w:r>
    </w:p>
    <w:p>
      <w:pPr>
        <w:spacing w:after="0" w:line="1" w:lineRule="exact"/>
        <w:rPr>
          <w:sz w:val="20"/>
          <w:szCs w:val="20"/>
          <w:color w:val="auto"/>
        </w:rPr>
      </w:pPr>
    </w:p>
    <w:p>
      <w:pPr>
        <w:ind w:firstLine="8"/>
        <w:spacing w:after="0" w:line="260" w:lineRule="auto"/>
        <w:tabs>
          <w:tab w:leader="none" w:pos="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symbol. All other brand names, product names, trademarks or service marks appearing in this Annual Report on Form 10-K are the property of their respective 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At AMSC, we believe that our creativity can meet today’s challenges and help us progress to a better future. That means using future-facing technologies to harmonize the world’s desire for decarbonization and clean energy with the need for more reliable, effective and efficient power delivery. Already, our transformative power solutions are moving the world forward.</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a leading system provider of megawatt-scale power resiliency solutions that Orchestrate the Rhythm and Harmony of Power on the Grid™, and protect and expand the capability of the Navy’s fleet. Our system level products leverage the Company’s proprietary “smart materials” and “smart software and controls” to provide enhanced resiliency and improved performance of megawatt-scale power flow.</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Right now, we are powering the evolution of a grid that is fit for the future: a more reliable and resilient grid that can incorporate renewable energy sources and our pioneering products, software and control solutions are creating more cost-effective ways for renewables to deliver a cleaner, less carbon-intensive tomorrow. This exciting energy future also depends on computer chips, batteries and fuel cells that are built from silicon, lithium and carbon. All of these building blocks must be mined, processed and assembled. Industrial manufacturers of these essential materials as well as semiconductor manufacturers must be able to power their factories in ways that scale without adding complexity or size. Our voltage compensators, capacitors, transformers and rectifiers can power the energy-intensive factories of the future while reducing the risk of costly power interruptions that could hinder this journey to a better future.</w:t>
      </w:r>
    </w:p>
    <w:p>
      <w:pPr>
        <w:spacing w:after="0" w:line="19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What's more, in an age of increasing global tensions, we are helping to move U.S. Navy ships into the future by installing protection systems that help them stay hidden from our enemies. We help protect and expand the capability of the U.S. Navy surface fleet with advanced superconductor-based systems that provide superior performance advantages to the traditional methods of mine field protection. We see the nascent business serving the Navy as an extension of what we do with our Grid business – this ship is a microcosm of the grid. Our products help manage power with a purpose.</w:t>
      </w:r>
    </w:p>
    <w:p>
      <w:pPr>
        <w:spacing w:after="0" w:line="1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8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power system solutions help to improve energy efficiency, alleviate power capacity and other constraints, improve system resiliency, and increase the adoption of renewable energy generation. Demand for our solutions is driven by: the growing needs for modernized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We estimate that the total annual addressable global market for our products and solutions is nearly $9 billion.</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Company’s addressable market is driven by (i) the nearly $500 billion investment in renewables to update the aging grid for better support in the adoption of intermittent renewable power sources, (ii) the nearly $100 billion investment in the mining and processing of materials as well as the $160 billion investment in semiconductor capacity—both of which are driven by the electrification of transportation, the need to prioritize energy security and bolster domestic supply chains—and (iii) the over $30 billion investment by the U.S. federal government in U.S. military ship systems and capabilities to help ensure performance and security amid geopolitical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provide solutions that address four key drivers of our business:</w:t>
      </w:r>
    </w:p>
    <w:p>
      <w:pPr>
        <w:spacing w:after="0" w:line="202" w:lineRule="exact"/>
        <w:rPr>
          <w:sz w:val="20"/>
          <w:szCs w:val="20"/>
          <w:color w:val="auto"/>
        </w:rPr>
      </w:pPr>
    </w:p>
    <w:p>
      <w:pPr>
        <w:ind w:left="820" w:hanging="326"/>
        <w:spacing w:after="0"/>
        <w:tabs>
          <w:tab w:leader="none" w:pos="82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global demand for renewable energy;</w:t>
      </w:r>
    </w:p>
    <w:p>
      <w:pPr>
        <w:spacing w:after="0" w:line="111" w:lineRule="exact"/>
        <w:rPr>
          <w:rFonts w:ascii="Arial" w:cs="Arial" w:eastAsia="Arial" w:hAnsi="Arial"/>
          <w:sz w:val="22"/>
          <w:szCs w:val="22"/>
          <w:color w:val="auto"/>
        </w:rPr>
      </w:pPr>
    </w:p>
    <w:p>
      <w:pPr>
        <w:ind w:left="820" w:hanging="326"/>
        <w:spacing w:after="0"/>
        <w:tabs>
          <w:tab w:leader="none" w:pos="82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global demand for materials for the electrification of transportation, in particular for - electric vehicles;</w:t>
      </w:r>
    </w:p>
    <w:p>
      <w:pPr>
        <w:spacing w:after="0" w:line="111" w:lineRule="exact"/>
        <w:rPr>
          <w:rFonts w:ascii="Arial" w:cs="Arial" w:eastAsia="Arial" w:hAnsi="Arial"/>
          <w:sz w:val="22"/>
          <w:szCs w:val="22"/>
          <w:color w:val="auto"/>
        </w:rPr>
      </w:pPr>
    </w:p>
    <w:p>
      <w:pPr>
        <w:ind w:left="820" w:hanging="326"/>
        <w:spacing w:after="0"/>
        <w:tabs>
          <w:tab w:leader="none" w:pos="82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global demand for semiconductors, driven by the electrification of everything; and</w:t>
      </w:r>
    </w:p>
    <w:p>
      <w:pPr>
        <w:spacing w:after="0" w:line="206" w:lineRule="exact"/>
        <w:rPr>
          <w:rFonts w:ascii="Arial" w:cs="Arial" w:eastAsia="Arial" w:hAnsi="Arial"/>
          <w:sz w:val="22"/>
          <w:szCs w:val="22"/>
          <w:color w:val="auto"/>
        </w:rPr>
      </w:pPr>
    </w:p>
    <w:p>
      <w:pPr>
        <w:ind w:left="820" w:hanging="326"/>
        <w:spacing w:after="0"/>
        <w:tabs>
          <w:tab w:leader="none" w:pos="82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electrification of the Naval fleet to enhance capability.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all requires an electric grid that is fit for the future.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Global Demand for Renewables: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design wind turbines and provide electrical control systems for inside the turbine, that control the wind turbine’s voltage, current, frequency, pitch and yaw. At the substation level, we provide interconnection solutions that allows wind farms to meet utility’s grid code requirements for voltage, power factor and dynamic performance of the plant during unforeseen system disturbances, by utilizing our dynamic voltage management solutions as well as our static voltage management solutions and harmonic filters. We provide field service and spare parts to our global installed base of over 17GW.</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Global Demand for Materials and Electric Vehicles: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provide transformation, rectification, voltage management and harmonic filtering systems at the substation level that manage input power from the grid and control power for the operation of large-scale industrial equipment such as furnaces, chemical plants, or semiconductor fabrication plants. Our capabilities to control and convert power help ensure continuous flow of stable high-quality power for our customers.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Global Demand for Semiconductors:</w:t>
      </w:r>
    </w:p>
    <w:p>
      <w:pPr>
        <w:sectPr>
          <w:pgSz w:w="11900" w:h="16838" w:orient="portrait"/>
          <w:cols w:equalWidth="0" w:num="1">
            <w:col w:w="11240"/>
          </w:cols>
          <w:pgMar w:left="320" w:top="823" w:right="339" w:bottom="0" w:gutter="0" w:footer="0" w:header="0"/>
        </w:sectPr>
      </w:pPr>
    </w:p>
    <w:bookmarkStart w:id="5" w:name="page6"/>
    <w:bookmarkEnd w:id="5"/>
    <w:p>
      <w:pPr>
        <w:jc w:val="both"/>
        <w:ind w:firstLine="486"/>
        <w:spacing w:after="0" w:line="255" w:lineRule="auto"/>
        <w:rPr>
          <w:sz w:val="20"/>
          <w:szCs w:val="20"/>
          <w:color w:val="auto"/>
        </w:rPr>
      </w:pPr>
      <w:r>
        <w:rPr>
          <w:rFonts w:ascii="Arial" w:cs="Arial" w:eastAsia="Arial" w:hAnsi="Arial"/>
          <w:sz w:val="18"/>
          <w:szCs w:val="18"/>
          <w:color w:val="auto"/>
        </w:rPr>
        <w:t>We provide sag mitigation systems, which are a substation level power conditioning system. These systems protect and isolate the factory’s critical processes from power system events that could otherwise trip these sensitive processes causing severe disruptions and loss of a customer’s manufactured products. These systems monitor the semiconductor fabrication plant’s incoming electric supply very closely and react in sub-cycle time frames to mitigate voltage sags and swells to provide a conditioned power to the processes. These sag mitigation systems can include both our dynamic and static voltage management as well as our harmonic filter solutions which are specifically designed to improve the facility's overall power factor and harmonic compliance needs.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Electrification of the Navy Fleet:</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provide advanced ship protection systems, that are designed to help fleets increase system efficiencies, enhance warfare capabilities, and boost reliability, performance, and security. We are developing additional solutions for this important market which may include power management and power generation similar to what we do for electric grids.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power system products address the renewable power generation and electrical grid and power infrastructure markets:</w:t>
      </w:r>
    </w:p>
    <w:p>
      <w:pPr>
        <w:spacing w:after="0" w:line="225" w:lineRule="exact"/>
        <w:rPr>
          <w:sz w:val="20"/>
          <w:szCs w:val="20"/>
          <w:color w:val="auto"/>
        </w:rPr>
      </w:pPr>
    </w:p>
    <w:p>
      <w:pPr>
        <w:jc w:val="both"/>
        <w:ind w:left="820" w:hanging="326"/>
        <w:spacing w:after="0" w:line="259" w:lineRule="auto"/>
        <w:tabs>
          <w:tab w:leader="none" w:pos="820" w:val="left"/>
        </w:tabs>
        <w:numPr>
          <w:ilvl w:val="0"/>
          <w:numId w:val="5"/>
        </w:numPr>
        <w:rPr>
          <w:rFonts w:ascii="Arial" w:cs="Arial" w:eastAsia="Arial" w:hAnsi="Arial"/>
          <w:sz w:val="21"/>
          <w:szCs w:val="21"/>
          <w:color w:val="auto"/>
        </w:rPr>
      </w:pPr>
      <w:r>
        <w:rPr>
          <w:rFonts w:ascii="Arial" w:cs="Arial" w:eastAsia="Arial" w:hAnsi="Arial"/>
          <w:sz w:val="17"/>
          <w:szCs w:val="17"/>
          <w:i w:val="1"/>
          <w:iCs w:val="1"/>
          <w:color w:val="auto"/>
        </w:rPr>
        <w:t xml:space="preserve">Transmission grid. </w:t>
      </w:r>
      <w:r>
        <w:rPr>
          <w:rFonts w:ascii="Arial" w:cs="Arial" w:eastAsia="Arial" w:hAnsi="Arial"/>
          <w:sz w:val="17"/>
          <w:szCs w:val="17"/>
          <w:color w:val="auto"/>
        </w:rPr>
        <w:t>We provide complete systems that enable electric utilities and renewable energy project developers to connect and transmit</w:t>
      </w:r>
      <w:r>
        <w:rPr>
          <w:rFonts w:ascii="Arial" w:cs="Arial" w:eastAsia="Arial" w:hAnsi="Arial"/>
          <w:sz w:val="17"/>
          <w:szCs w:val="17"/>
          <w:i w:val="1"/>
          <w:iCs w:val="1"/>
          <w:color w:val="auto"/>
        </w:rPr>
        <w:t xml:space="preserve"> </w:t>
      </w:r>
      <w:r>
        <w:rPr>
          <w:rFonts w:ascii="Arial" w:cs="Arial" w:eastAsia="Arial" w:hAnsi="Arial"/>
          <w:sz w:val="17"/>
          <w:szCs w:val="17"/>
          <w:color w:val="auto"/>
        </w:rPr>
        <w:t>power with exceptional efficiency, reliability, security and affordability. We provide planning services that allow us to identify power grid congestion, poor power quality, and other risks, which help us determine how our solutions can improve network performance. These services often lead to sales of our grid interconnection solutions and power quality systems for wind farms and solar power plants.</w:t>
      </w:r>
    </w:p>
    <w:p>
      <w:pPr>
        <w:spacing w:after="0" w:line="92" w:lineRule="exact"/>
        <w:rPr>
          <w:rFonts w:ascii="Arial" w:cs="Arial" w:eastAsia="Arial" w:hAnsi="Arial"/>
          <w:sz w:val="21"/>
          <w:szCs w:val="21"/>
          <w:color w:val="auto"/>
        </w:rPr>
      </w:pPr>
    </w:p>
    <w:p>
      <w:pPr>
        <w:jc w:val="both"/>
        <w:ind w:left="820" w:hanging="326"/>
        <w:spacing w:after="0" w:line="283" w:lineRule="auto"/>
        <w:tabs>
          <w:tab w:leader="none" w:pos="820" w:val="left"/>
        </w:tabs>
        <w:numPr>
          <w:ilvl w:val="0"/>
          <w:numId w:val="5"/>
        </w:numPr>
        <w:rPr>
          <w:rFonts w:ascii="Arial" w:cs="Arial" w:eastAsia="Arial" w:hAnsi="Arial"/>
          <w:sz w:val="19"/>
          <w:szCs w:val="19"/>
          <w:color w:val="auto"/>
        </w:rPr>
      </w:pPr>
      <w:r>
        <w:rPr>
          <w:rFonts w:ascii="Arial" w:cs="Arial" w:eastAsia="Arial" w:hAnsi="Arial"/>
          <w:sz w:val="16"/>
          <w:szCs w:val="16"/>
          <w:i w:val="1"/>
          <w:iCs w:val="1"/>
          <w:color w:val="auto"/>
        </w:rPr>
        <w:t xml:space="preserve">Distribution grid. </w:t>
      </w:r>
      <w:r>
        <w:rPr>
          <w:rFonts w:ascii="Arial" w:cs="Arial" w:eastAsia="Arial" w:hAnsi="Arial"/>
          <w:sz w:val="16"/>
          <w:szCs w:val="16"/>
          <w:color w:val="auto"/>
        </w:rPr>
        <w:t>We provide a direct-connect power quality system that is installed on the primary distribution network in communities,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parks, or wherever enhanced power quality is beneficial and is designed to increase the reliability and resiliency of the distribution grid to serve the needs of modern energy consumers. Our systems save utilities time and money by avoiding costly options to strengthen the distribution grid. Our offerings also serve industrial customers looking to power the energy-intensive factories of the future without the risk of costly power interruptions. These industrial customers utilize our voltage compensators, capacitors, harmonic filters, transformers and rectifiers.</w:t>
      </w:r>
    </w:p>
    <w:p>
      <w:pPr>
        <w:spacing w:after="0" w:line="76" w:lineRule="exact"/>
        <w:rPr>
          <w:rFonts w:ascii="Arial" w:cs="Arial" w:eastAsia="Arial" w:hAnsi="Arial"/>
          <w:sz w:val="19"/>
          <w:szCs w:val="19"/>
          <w:color w:val="auto"/>
        </w:rPr>
      </w:pPr>
    </w:p>
    <w:p>
      <w:pPr>
        <w:jc w:val="both"/>
        <w:ind w:left="820" w:hanging="326"/>
        <w:spacing w:after="0" w:line="261" w:lineRule="auto"/>
        <w:tabs>
          <w:tab w:leader="none" w:pos="820" w:val="left"/>
        </w:tabs>
        <w:numPr>
          <w:ilvl w:val="0"/>
          <w:numId w:val="5"/>
        </w:numPr>
        <w:rPr>
          <w:rFonts w:ascii="Arial" w:cs="Arial" w:eastAsia="Arial" w:hAnsi="Arial"/>
          <w:sz w:val="21"/>
          <w:szCs w:val="21"/>
          <w:color w:val="auto"/>
        </w:rPr>
      </w:pPr>
      <w:r>
        <w:rPr>
          <w:rFonts w:ascii="Arial" w:cs="Arial" w:eastAsia="Arial" w:hAnsi="Arial"/>
          <w:sz w:val="17"/>
          <w:szCs w:val="17"/>
          <w:i w:val="1"/>
          <w:iCs w:val="1"/>
          <w:color w:val="auto"/>
        </w:rPr>
        <w:t xml:space="preserve">Urban Grid Infrastructure. </w:t>
      </w:r>
      <w:r>
        <w:rPr>
          <w:rFonts w:ascii="Arial" w:cs="Arial" w:eastAsia="Arial" w:hAnsi="Arial"/>
          <w:sz w:val="17"/>
          <w:szCs w:val="17"/>
          <w:color w:val="auto"/>
        </w:rPr>
        <w:t>We design systems to increase the reliability, security and capacity of the urban grid infrastructure. Today, many</w:t>
      </w:r>
      <w:r>
        <w:rPr>
          <w:rFonts w:ascii="Arial" w:cs="Arial" w:eastAsia="Arial" w:hAnsi="Arial"/>
          <w:sz w:val="17"/>
          <w:szCs w:val="17"/>
          <w:i w:val="1"/>
          <w:iCs w:val="1"/>
          <w:color w:val="auto"/>
        </w:rPr>
        <w:t xml:space="preserve"> </w:t>
      </w:r>
      <w:r>
        <w:rPr>
          <w:rFonts w:ascii="Arial" w:cs="Arial" w:eastAsia="Arial" w:hAnsi="Arial"/>
          <w:sz w:val="17"/>
          <w:szCs w:val="17"/>
          <w:color w:val="auto"/>
        </w:rPr>
        <w:t>urban substations are not networked and can only power a small section of a city. Our power dense technology based on proprietary smart materials allows for the inter-connection of substations, controlling the high fault currents that naturally result from such interconnections. If one substation is compromised, other substations help increase capacity and reliability. Our system allows instantaneous power outage recovery, potentially doubling to quadrupling a city’s reliability and resiliency while minimizing grid investment. We design systems that leverage existing grid assets while protecting cities against storms, outages, and cyber- and physical attacks.</w:t>
      </w:r>
    </w:p>
    <w:p>
      <w:pPr>
        <w:spacing w:after="0" w:line="92" w:lineRule="exact"/>
        <w:rPr>
          <w:rFonts w:ascii="Arial" w:cs="Arial" w:eastAsia="Arial" w:hAnsi="Arial"/>
          <w:sz w:val="21"/>
          <w:szCs w:val="21"/>
          <w:color w:val="auto"/>
        </w:rPr>
      </w:pPr>
    </w:p>
    <w:p>
      <w:pPr>
        <w:ind w:left="820" w:hanging="326"/>
        <w:spacing w:after="0" w:line="241"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Marine protection systems</w:t>
      </w:r>
      <w:r>
        <w:rPr>
          <w:rFonts w:ascii="Arial" w:cs="Arial" w:eastAsia="Arial" w:hAnsi="Arial"/>
          <w:sz w:val="18"/>
          <w:szCs w:val="18"/>
          <w:color w:val="auto"/>
        </w:rPr>
        <w:t>. We sell advanced degaussing systems to the U.S. Navy. Our degaussing system creates a magnetic signature around</w:t>
      </w:r>
      <w:r>
        <w:rPr>
          <w:rFonts w:ascii="Arial" w:cs="Arial" w:eastAsia="Arial" w:hAnsi="Arial"/>
          <w:sz w:val="18"/>
          <w:szCs w:val="18"/>
          <w:i w:val="1"/>
          <w:iCs w:val="1"/>
          <w:color w:val="auto"/>
        </w:rPr>
        <w:t xml:space="preserve"> </w:t>
      </w:r>
      <w:r>
        <w:rPr>
          <w:rFonts w:ascii="Arial" w:cs="Arial" w:eastAsia="Arial" w:hAnsi="Arial"/>
          <w:sz w:val="18"/>
          <w:szCs w:val="18"/>
          <w:color w:val="auto"/>
        </w:rPr>
        <w:t>a ship to mask the ship against sea mines and torpedoes. Our degaussing system is comprised of much smaller, lighter and higher performing HTS cable coils eliminating an estimated 50-80% of the system weight and reducing overall energy consumption versus copper-based degaussing systems.</w:t>
      </w:r>
    </w:p>
    <w:p>
      <w:pPr>
        <w:spacing w:after="0" w:line="107" w:lineRule="exact"/>
        <w:rPr>
          <w:rFonts w:ascii="Arial" w:cs="Arial" w:eastAsia="Arial" w:hAnsi="Arial"/>
          <w:sz w:val="22"/>
          <w:szCs w:val="22"/>
          <w:color w:val="auto"/>
        </w:rPr>
      </w:pPr>
    </w:p>
    <w:p>
      <w:pPr>
        <w:ind w:left="820" w:right="400" w:hanging="326"/>
        <w:spacing w:after="0" w:line="232"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Solar Power. </w:t>
      </w:r>
      <w:r>
        <w:rPr>
          <w:rFonts w:ascii="Arial" w:cs="Arial" w:eastAsia="Arial" w:hAnsi="Arial"/>
          <w:sz w:val="18"/>
          <w:szCs w:val="18"/>
          <w:color w:val="auto"/>
        </w:rPr>
        <w:t>Our solutions enable the grid to handle more distributed generation in the form of rooftop solar. Our products are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allow the existing grid to handle more renewable capacity.</w:t>
      </w:r>
    </w:p>
    <w:p>
      <w:pPr>
        <w:spacing w:after="0" w:line="108" w:lineRule="exact"/>
        <w:rPr>
          <w:rFonts w:ascii="Arial" w:cs="Arial" w:eastAsia="Arial" w:hAnsi="Arial"/>
          <w:sz w:val="22"/>
          <w:szCs w:val="22"/>
          <w:color w:val="auto"/>
        </w:rPr>
      </w:pPr>
    </w:p>
    <w:p>
      <w:pPr>
        <w:jc w:val="both"/>
        <w:ind w:left="820" w:hanging="326"/>
        <w:spacing w:after="0" w:line="243"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Wind Power. </w:t>
      </w:r>
      <w:r>
        <w:rPr>
          <w:rFonts w:ascii="Arial" w:cs="Arial" w:eastAsia="Arial" w:hAnsi="Arial"/>
          <w:sz w:val="18"/>
          <w:szCs w:val="18"/>
          <w:color w:val="auto"/>
        </w:rPr>
        <w:t>Our solutions enable manufacturers to field wind turbines with exceptional power output, reliability, and affordability. We supply</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20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2022 refers to the fiscal year that began on April 1, 2022. Other fiscal years follow similarly.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our competitive strengths position us well to execute on our growth plans in the markets we serve.</w:t>
      </w:r>
    </w:p>
    <w:p>
      <w:pPr>
        <w:spacing w:after="0" w:line="225" w:lineRule="exact"/>
        <w:rPr>
          <w:sz w:val="20"/>
          <w:szCs w:val="20"/>
          <w:color w:val="auto"/>
        </w:rPr>
      </w:pPr>
    </w:p>
    <w:p>
      <w:pPr>
        <w:jc w:val="both"/>
        <w:ind w:left="820" w:hanging="326"/>
        <w:spacing w:after="0" w:line="263" w:lineRule="auto"/>
        <w:tabs>
          <w:tab w:leader="none" w:pos="82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 xml:space="preserve">Differentiated technologies. </w:t>
      </w:r>
      <w:r>
        <w:rPr>
          <w:rFonts w:ascii="Arial" w:cs="Arial" w:eastAsia="Arial" w:hAnsi="Arial"/>
          <w:sz w:val="17"/>
          <w:szCs w:val="17"/>
          <w:color w:val="auto"/>
        </w:rPr>
        <w:t>Our products leverage the Company’s proprietary smart materials and smart software and controls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resiliency and improved performance of megawatt-scale power flow. Conventional conductors of electricity, such as aluminum and copper wire, lose energy due to resistance. Using a compound of yttrium barium copper oxide (“YBCO”), we manufacture and provide high-temperature superconductor ("HTS") wire that can conduct many times more electricity than conventional conductors with minimal power loss.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 Our PowerModule™ power converters are based on proprietary software and hardware combinations and are used in a broad array of applications, including our D-VAR® grid interconnection and voltage control systems, as well as our wind turbine electrical control systems. Our unique proprietary cooler technology enables our ship protection systems ("SPS") to perform in harsh environmental conditions in a quiet and efficient manner.</w:t>
      </w:r>
    </w:p>
    <w:p>
      <w:pPr>
        <w:spacing w:after="0" w:line="89" w:lineRule="exact"/>
        <w:rPr>
          <w:rFonts w:ascii="Arial" w:cs="Arial" w:eastAsia="Arial" w:hAnsi="Arial"/>
          <w:sz w:val="21"/>
          <w:szCs w:val="21"/>
          <w:color w:val="auto"/>
        </w:rPr>
      </w:pPr>
    </w:p>
    <w:p>
      <w:pPr>
        <w:jc w:val="both"/>
        <w:ind w:left="820" w:hanging="326"/>
        <w:spacing w:after="0" w:line="241"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 xml:space="preserve">Turnkey systems. </w:t>
      </w:r>
      <w:r>
        <w:rPr>
          <w:rFonts w:ascii="Arial" w:cs="Arial" w:eastAsia="Arial" w:hAnsi="Arial"/>
          <w:sz w:val="18"/>
          <w:szCs w:val="18"/>
          <w:color w:val="auto"/>
        </w:rPr>
        <w:t>We have developed full system solutions that we sell directly to customers. This business model leverages our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drives value beyond our power electronic and our superconductor based products, and enables us to recognize revenue and take ownership over the marketing and sales of the full systems. Industrial manufacturers of these essential materials must be able to power their factories in ways that scale without adding complexity or size.</w:t>
      </w:r>
    </w:p>
    <w:p>
      <w:pPr>
        <w:spacing w:after="0" w:line="107" w:lineRule="exact"/>
        <w:rPr>
          <w:rFonts w:ascii="Arial" w:cs="Arial" w:eastAsia="Arial" w:hAnsi="Arial"/>
          <w:sz w:val="22"/>
          <w:szCs w:val="22"/>
          <w:color w:val="auto"/>
        </w:rPr>
      </w:pPr>
    </w:p>
    <w:p>
      <w:pPr>
        <w:jc w:val="both"/>
        <w:ind w:left="820" w:hanging="326"/>
        <w:spacing w:after="0" w:line="243"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 xml:space="preserve">Scalable, low-cost manufacturing platform. </w:t>
      </w:r>
      <w:r>
        <w:rPr>
          <w:rFonts w:ascii="Arial" w:cs="Arial" w:eastAsia="Arial" w:hAnsi="Arial"/>
          <w:sz w:val="18"/>
          <w:szCs w:val="18"/>
          <w:color w:val="auto"/>
        </w:rPr>
        <w:t>Our manufacturing of proprietary wind turbine electrical control systems and power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primarily assembly operations with minimal fixed costs. We can increase the production of these products at costs that we believe are low relative to our competitors. Our proprietary manufacturing technique for Amperium superconductor wire is modular in nature, which allows us to expand manufacturing capacity at a relatively low incremental cost and differentiate ourselves from solutions assembled in the field.</w:t>
      </w:r>
    </w:p>
    <w:p>
      <w:pPr>
        <w:spacing w:after="0" w:line="107" w:lineRule="exact"/>
        <w:rPr>
          <w:rFonts w:ascii="Arial" w:cs="Arial" w:eastAsia="Arial" w:hAnsi="Arial"/>
          <w:sz w:val="22"/>
          <w:szCs w:val="22"/>
          <w:color w:val="auto"/>
        </w:rPr>
      </w:pPr>
    </w:p>
    <w:p>
      <w:pPr>
        <w:jc w:val="both"/>
        <w:ind w:left="820" w:hanging="326"/>
        <w:spacing w:after="0" w:line="256" w:lineRule="auto"/>
        <w:tabs>
          <w:tab w:leader="none" w:pos="82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 xml:space="preserve">Robust patent position and engineering expertise. </w:t>
      </w:r>
      <w:r>
        <w:rPr>
          <w:rFonts w:ascii="Arial" w:cs="Arial" w:eastAsia="Arial" w:hAnsi="Arial"/>
          <w:sz w:val="17"/>
          <w:szCs w:val="17"/>
          <w:color w:val="auto"/>
        </w:rPr>
        <w:t>We have a robust portfolio of awarded patents and patent applications worldwide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through exclusive and non-exclusive licenses to additional patents and patent applications worldwide. We believe our technology and manufacturing knowledge base, customer and product expertise and patent portfolio provide a strong competitive position.</w:t>
      </w:r>
    </w:p>
    <w:p>
      <w:pPr>
        <w:spacing w:after="0" w:line="94" w:lineRule="exact"/>
        <w:rPr>
          <w:rFonts w:ascii="Arial" w:cs="Arial" w:eastAsia="Arial" w:hAnsi="Arial"/>
          <w:sz w:val="21"/>
          <w:szCs w:val="21"/>
          <w:color w:val="auto"/>
        </w:rPr>
      </w:pPr>
    </w:p>
    <w:p>
      <w:pPr>
        <w:jc w:val="both"/>
        <w:ind w:left="820" w:hanging="326"/>
        <w:spacing w:after="0" w:line="25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Unique solutions for the markets we serve. </w:t>
      </w:r>
      <w:r>
        <w:rPr>
          <w:rFonts w:ascii="Arial" w:cs="Arial" w:eastAsia="Arial" w:hAnsi="Arial"/>
          <w:sz w:val="18"/>
          <w:szCs w:val="18"/>
          <w:color w:val="auto"/>
        </w:rPr>
        <w:t>We believe we provide wind turbine manufacturers with a unique and integrated approach for wind</w:t>
      </w:r>
      <w:r>
        <w:rPr>
          <w:rFonts w:ascii="Arial" w:cs="Arial" w:eastAsia="Arial" w:hAnsi="Arial"/>
          <w:sz w:val="18"/>
          <w:szCs w:val="18"/>
          <w:i w:val="1"/>
          <w:iCs w:val="1"/>
          <w:color w:val="auto"/>
        </w:rPr>
        <w:t xml:space="preserve"> </w:t>
      </w:r>
      <w:r>
        <w:rPr>
          <w:rFonts w:ascii="Arial" w:cs="Arial" w:eastAsia="Arial" w:hAnsi="Arial"/>
          <w:sz w:val="18"/>
          <w:szCs w:val="18"/>
          <w:color w:val="auto"/>
        </w:rPr>
        <w:t>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distribution systems for power grid operators. This unique scope of supply provides us with greater insight into our customers’ evolving needs and greater cross-selling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Building on these competitive strengths, we plan to focus on driving revenue growth and enhancing our operating results through the objectives defined below.</w:t>
      </w:r>
    </w:p>
    <w:p>
      <w:pPr>
        <w:spacing w:after="0" w:line="170" w:lineRule="exact"/>
        <w:rPr>
          <w:sz w:val="20"/>
          <w:szCs w:val="20"/>
          <w:color w:val="auto"/>
        </w:rPr>
      </w:pPr>
    </w:p>
    <w:p>
      <w:pPr>
        <w:ind w:left="820" w:hanging="326"/>
        <w:spacing w:after="0" w:line="251" w:lineRule="auto"/>
        <w:tabs>
          <w:tab w:leader="none" w:pos="820" w:val="left"/>
        </w:tabs>
        <w:numPr>
          <w:ilvl w:val="0"/>
          <w:numId w:val="7"/>
        </w:numPr>
        <w:rPr>
          <w:rFonts w:ascii="Arial" w:cs="Arial" w:eastAsia="Arial" w:hAnsi="Arial"/>
          <w:sz w:val="21"/>
          <w:szCs w:val="21"/>
          <w:color w:val="auto"/>
        </w:rPr>
      </w:pPr>
      <w:r>
        <w:rPr>
          <w:rFonts w:ascii="Arial" w:cs="Arial" w:eastAsia="Arial" w:hAnsi="Arial"/>
          <w:sz w:val="17"/>
          <w:szCs w:val="17"/>
          <w:i w:val="1"/>
          <w:iCs w:val="1"/>
          <w:color w:val="auto"/>
        </w:rPr>
        <w:t xml:space="preserve">Provide solutions from power generation to delivery. </w:t>
      </w:r>
      <w:r>
        <w:rPr>
          <w:rFonts w:ascii="Arial" w:cs="Arial" w:eastAsia="Arial" w:hAnsi="Arial"/>
          <w:sz w:val="17"/>
          <w:szCs w:val="17"/>
          <w:color w:val="auto"/>
        </w:rPr>
        <w:t>From the generation source to the distribution system, we focus on providing best-in-class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support services, technologies and solutions that make the world’s power supplies smarter, cleaner and more resilient.</w:t>
      </w:r>
    </w:p>
    <w:p>
      <w:pPr>
        <w:spacing w:after="0" w:line="96" w:lineRule="exact"/>
        <w:rPr>
          <w:rFonts w:ascii="Arial" w:cs="Arial" w:eastAsia="Arial" w:hAnsi="Arial"/>
          <w:sz w:val="21"/>
          <w:szCs w:val="21"/>
          <w:color w:val="auto"/>
        </w:rPr>
      </w:pPr>
    </w:p>
    <w:p>
      <w:pPr>
        <w:jc w:val="both"/>
        <w:ind w:left="820" w:hanging="326"/>
        <w:spacing w:after="0" w:line="238" w:lineRule="auto"/>
        <w:tabs>
          <w:tab w:leader="none" w:pos="82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 xml:space="preserve">Focus on “megawatt-scale” power offerings. </w:t>
      </w:r>
      <w:r>
        <w:rPr>
          <w:rFonts w:ascii="Arial" w:cs="Arial" w:eastAsia="Arial" w:hAnsi="Arial"/>
          <w:sz w:val="18"/>
          <w:szCs w:val="18"/>
          <w:color w:val="auto"/>
        </w:rPr>
        <w:t>Our research, product development, and sales efforts focus on megawatt-scale offerings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designs of power electronics for large wind turbine platforms to systems that stabilize power flows, integrate renewable power into the grid and carry power to and from transmission and distribution substations.</w:t>
      </w:r>
    </w:p>
    <w:p>
      <w:pPr>
        <w:spacing w:after="0" w:line="108" w:lineRule="exact"/>
        <w:rPr>
          <w:rFonts w:ascii="Arial" w:cs="Arial" w:eastAsia="Arial" w:hAnsi="Arial"/>
          <w:sz w:val="22"/>
          <w:szCs w:val="22"/>
          <w:color w:val="auto"/>
        </w:rPr>
      </w:pPr>
    </w:p>
    <w:p>
      <w:pPr>
        <w:jc w:val="both"/>
        <w:ind w:left="820" w:hanging="326"/>
        <w:spacing w:after="0" w:line="256" w:lineRule="auto"/>
        <w:tabs>
          <w:tab w:leader="none" w:pos="820" w:val="left"/>
        </w:tabs>
        <w:numPr>
          <w:ilvl w:val="0"/>
          <w:numId w:val="7"/>
        </w:numPr>
        <w:rPr>
          <w:rFonts w:ascii="Arial" w:cs="Arial" w:eastAsia="Arial" w:hAnsi="Arial"/>
          <w:sz w:val="21"/>
          <w:szCs w:val="21"/>
          <w:color w:val="auto"/>
        </w:rPr>
      </w:pPr>
      <w:r>
        <w:rPr>
          <w:rFonts w:ascii="Arial" w:cs="Arial" w:eastAsia="Arial" w:hAnsi="Arial"/>
          <w:sz w:val="17"/>
          <w:szCs w:val="17"/>
          <w:i w:val="1"/>
          <w:iCs w:val="1"/>
          <w:color w:val="auto"/>
        </w:rPr>
        <w:t xml:space="preserve">Product innovation. </w:t>
      </w:r>
      <w:r>
        <w:rPr>
          <w:rFonts w:ascii="Arial" w:cs="Arial" w:eastAsia="Arial" w:hAnsi="Arial"/>
          <w:sz w:val="17"/>
          <w:szCs w:val="17"/>
          <w:color w:val="auto"/>
        </w:rPr>
        <w:t>We have a strong record of developing unique solutions for megawatt-scale power applications and intend to continue our</w:t>
      </w:r>
      <w:r>
        <w:rPr>
          <w:rFonts w:ascii="Arial" w:cs="Arial" w:eastAsia="Arial" w:hAnsi="Arial"/>
          <w:sz w:val="17"/>
          <w:szCs w:val="17"/>
          <w:i w:val="1"/>
          <w:iCs w:val="1"/>
          <w:color w:val="auto"/>
        </w:rPr>
        <w:t xml:space="preserve"> </w:t>
      </w:r>
      <w:r>
        <w:rPr>
          <w:rFonts w:ascii="Arial" w:cs="Arial" w:eastAsia="Arial" w:hAnsi="Arial"/>
          <w:sz w:val="17"/>
          <w:szCs w:val="17"/>
          <w:color w:val="auto"/>
        </w:rPr>
        <w:t>focus on investing in innovation. Recently, our product development efforts have included our Resilient Electric Grid ("REG") system for the transmission electricity grid, SPS for the U.S. Navy, and D-VAR Volt Var Optimization (“VVO”) for the distribution electricity grid.</w:t>
      </w:r>
    </w:p>
    <w:p>
      <w:pPr>
        <w:spacing w:after="0" w:line="94" w:lineRule="exact"/>
        <w:rPr>
          <w:rFonts w:ascii="Arial" w:cs="Arial" w:eastAsia="Arial" w:hAnsi="Arial"/>
          <w:sz w:val="21"/>
          <w:szCs w:val="21"/>
          <w:color w:val="auto"/>
        </w:rPr>
      </w:pPr>
    </w:p>
    <w:p>
      <w:pPr>
        <w:ind w:left="820" w:right="20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Provide resiliency and protection capabilities. </w:t>
      </w:r>
      <w:r>
        <w:rPr>
          <w:rFonts w:ascii="Arial" w:cs="Arial" w:eastAsia="Arial" w:hAnsi="Arial"/>
          <w:sz w:val="18"/>
          <w:szCs w:val="18"/>
          <w:color w:val="auto"/>
        </w:rPr>
        <w:t>Our products provide resiliency and protection capabilities that support an evolving power grid</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the navy fleet from rising global threats.</w:t>
      </w:r>
    </w:p>
    <w:p>
      <w:pPr>
        <w:spacing w:after="0" w:line="75"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Pursue Emerging Overseas Markets and Serve Key Markets Locally. </w:t>
      </w:r>
      <w:r>
        <w:rPr>
          <w:rFonts w:ascii="Arial" w:cs="Arial" w:eastAsia="Arial" w:hAnsi="Arial"/>
          <w:sz w:val="18"/>
          <w:szCs w:val="18"/>
          <w:color w:val="auto"/>
        </w:rPr>
        <w:t>We focus our sales efforts on overseas markets that are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aggressively in renewable energy and power grid projects.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Canada, India, South Korea, Japan, Singapore, South Africa, the United Kingdom, Jordan, Mexico, Spain and the United States.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Grid market overview</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It is widely believed that the electricity grids around the world require modernization through widespread technology upgrades if they are to maintain reliability while solving rapidly evolving challenges such as more frequent severe weather, threats of physical- and cyber-attacks, expanded renewable generation (both large and small scale) and new types of customer loads such as electric vehicles. In fact, a series of reports written by the Electric Power Research Institute ("EPRI") in 2016 emphasize the need for increased resiliency, flexibility and connectivity in electric grids. According to the EPRI reports, the number of geophysical, meteorological, hydrological, and climatological events in the U.S. rose to an all-time high of 247 events in 2010 – up from approximately 200 in 2009 and less than 200 in all years combined from 1980 to 2010. Available data further indicate that the existing U.S. electrical grid has been stressed by U.S. wind power generation increasing from 6 Gigawatts ("GW") in 2003 to approximately 142.9 GW in 2022, and photovoltaics ("PV") power generation increasing from almost zero in 2003 to approximately 125.9 GW as of the end of 2022.</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Growth in both wind power and PV is expected to continue with the vast majority of such intermittent generation sources unsupported by energy storage, placing stress on the power grid. Finally, the Edison Electric Institute estimates that the number of electric vehicles on the road in the U.S. is projected to reach 18.7 million in 2030, up from more than 1.0 million at the end of 2018. These facts and the dependence on the safety, security and economy of the electricity grid have prompted broad recognition worldwide of the need to modernize and enhance the reliability and security of power grids.</w:t>
      </w:r>
    </w:p>
    <w:p>
      <w:pPr>
        <w:sectPr>
          <w:pgSz w:w="11900" w:h="16838" w:orient="portrait"/>
          <w:cols w:equalWidth="0" w:num="1">
            <w:col w:w="11240"/>
          </w:cols>
          <w:pgMar w:left="320" w:top="580" w:right="339" w:bottom="0" w:gutter="0" w:footer="0" w:header="0"/>
        </w:sectPr>
      </w:pPr>
    </w:p>
    <w:bookmarkStart w:id="7" w:name="page8"/>
    <w:bookmarkEnd w:id="7"/>
    <w:p>
      <w:pPr>
        <w:jc w:val="both"/>
        <w:ind w:firstLine="486"/>
        <w:spacing w:after="0" w:line="259" w:lineRule="auto"/>
        <w:rPr>
          <w:sz w:val="20"/>
          <w:szCs w:val="20"/>
          <w:color w:val="auto"/>
        </w:rPr>
      </w:pPr>
      <w:r>
        <w:rPr>
          <w:rFonts w:ascii="Arial" w:cs="Arial" w:eastAsia="Arial" w:hAnsi="Arial"/>
          <w:sz w:val="18"/>
          <w:szCs w:val="18"/>
          <w:color w:val="auto"/>
        </w:rPr>
        <w:t>The Biden Administration’s energy plan could positively impact the demand for our new energy power systems solutions. The energy plan intends to reform and extend the tax incentives that generate energy efficiency and clean energy jobs as well as to develop financing mechanisms that leverage private sector dollars to maximize investment in the clean energy revolution. We plan to seek to collaborate with top tier wind turbine manufacturers to provide new wind farm connectivity to the U.S. power grid.</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Biden Administration also intends to spur the installation of millions of solar panels – including utility-scale, rooftop, and community solar systems. Our systems are primarily focused on addressing renewable energy installations for project developers and wind turbine manufacturers. Because solar power is dynamic and intermittently variable in nature, distribution grids will need to enhance their network’s capabilities to accommodate this new resource, while maintaining efficiency and power quality for their customers. Our system offers electric utilities superior power quality, environmental benefits, and significant cost-savings over traditional solutions.</w:t>
      </w:r>
    </w:p>
    <w:p>
      <w:pPr>
        <w:spacing w:after="0" w:line="18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Biden Administration's energy policy also focuses on the next generation of electric grid transmission and distribution, which has been the heart of our long-term growth strategy. We believe our new energy power systems products are well suited to address this enormous challenge.</w:t>
      </w:r>
    </w:p>
    <w:p>
      <w:pPr>
        <w:spacing w:after="0" w:line="14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Inflation Reduction Act of 2022 (the “Inflation Reduction Act”) was enacted in August 2022, in part, to address the challenges of climate change. The Inflation Reduction Act is expected to result in the investment of $369 billion in climate solutions and environmental justice. The goal of the Inflation Reduction Act is to reduce emissions by 40 percent by 2030 while restoring U.S. credibility to lead climate action on the global stage.</w:t>
      </w:r>
    </w:p>
    <w:p>
      <w:pPr>
        <w:spacing w:after="0" w:line="16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Creating Helpful Incentives to Produce Semiconductors and Science Act of 2022 (the “CHIPS Act of 2022”), also was enacted in August 2022 and is intended to enable the re-shoring of critical manufacturing capability to the U.S., which is expected to be beneficial to our business. The CHIPS for America Fund, provides $52.7 billion of funding for the development of U.S. manufacturing, research and development (R&amp;D), and workforce development programs. From this $52.7 billion, $39 billion is allocated to be spent on financial assistance to build, develop, or modernize domestic semiconductor facilities in order to bolster U.S. leadership in the semiconductor industry.</w:t>
      </w:r>
    </w:p>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believe we are well positioned to seize the numerous opportunities presented by the Inflation Reduction Act and the CHIPS Act of 2022.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Power grid operators worldwide face various challenges, including:</w:t>
      </w:r>
    </w:p>
    <w:p>
      <w:pPr>
        <w:spacing w:after="0" w:line="225" w:lineRule="exact"/>
        <w:rPr>
          <w:sz w:val="20"/>
          <w:szCs w:val="20"/>
          <w:color w:val="auto"/>
        </w:rPr>
      </w:pPr>
    </w:p>
    <w:p>
      <w:pPr>
        <w:jc w:val="both"/>
        <w:ind w:left="820" w:hanging="326"/>
        <w:spacing w:after="0" w:line="26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Resiliency. </w:t>
      </w:r>
      <w:r>
        <w:rPr>
          <w:rFonts w:ascii="Arial" w:cs="Arial" w:eastAsia="Arial" w:hAnsi="Arial"/>
          <w:sz w:val="18"/>
          <w:szCs w:val="18"/>
          <w:color w:val="auto"/>
        </w:rPr>
        <w:t>As our electricity mix changes with the proliferation of renewables and distributed generation, so does the need to strengthen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grid. New technologies such as the addition of electric vehicles on U.S. roads and urbanization create new challenges for power grid operators.</w:t>
      </w:r>
    </w:p>
    <w:p>
      <w:pPr>
        <w:spacing w:after="0" w:line="8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Stability</w:t>
      </w:r>
      <w:r>
        <w:rPr>
          <w:rFonts w:ascii="Arial" w:cs="Arial" w:eastAsia="Arial" w:hAnsi="Arial"/>
          <w:sz w:val="18"/>
          <w:szCs w:val="18"/>
          <w:color w:val="auto"/>
        </w:rPr>
        <w:t>. Power grid operators are confronting power quality and stability issues arising from intermittent renewable energy sources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capacity limitations of transmission and overhead distribution lines and underground cables.</w:t>
      </w:r>
    </w:p>
    <w:p>
      <w:pPr>
        <w:spacing w:after="0" w:line="75" w:lineRule="exact"/>
        <w:rPr>
          <w:rFonts w:ascii="Arial" w:cs="Arial" w:eastAsia="Arial" w:hAnsi="Arial"/>
          <w:sz w:val="18"/>
          <w:szCs w:val="18"/>
          <w:color w:val="auto"/>
        </w:rPr>
      </w:pPr>
    </w:p>
    <w:p>
      <w:pPr>
        <w:jc w:val="both"/>
        <w:ind w:left="820" w:hanging="326"/>
        <w:spacing w:after="0" w:line="311"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Reliability</w:t>
      </w:r>
      <w:r>
        <w:rPr>
          <w:rFonts w:ascii="Arial" w:cs="Arial" w:eastAsia="Arial" w:hAnsi="Arial"/>
          <w:sz w:val="16"/>
          <w:szCs w:val="16"/>
          <w:color w:val="auto"/>
        </w:rPr>
        <w:t>. Traditional transmission lines and cables often reach their reliable voltage stability limit well below their thermal threshold. Driving</w:t>
      </w:r>
      <w:r>
        <w:rPr>
          <w:rFonts w:ascii="Arial" w:cs="Arial" w:eastAsia="Arial" w:hAnsi="Arial"/>
          <w:sz w:val="16"/>
          <w:szCs w:val="16"/>
          <w:i w:val="1"/>
          <w:iCs w:val="1"/>
          <w:color w:val="auto"/>
        </w:rPr>
        <w:t xml:space="preserve"> </w:t>
      </w:r>
      <w:r>
        <w:rPr>
          <w:rFonts w:ascii="Arial" w:cs="Arial" w:eastAsia="Arial" w:hAnsi="Arial"/>
          <w:sz w:val="16"/>
          <w:szCs w:val="16"/>
          <w:color w:val="auto"/>
        </w:rPr>
        <w:t>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p>
      <w:pPr>
        <w:spacing w:after="0" w:line="54" w:lineRule="exact"/>
        <w:rPr>
          <w:rFonts w:ascii="Arial" w:cs="Arial" w:eastAsia="Arial" w:hAnsi="Arial"/>
          <w:sz w:val="16"/>
          <w:szCs w:val="16"/>
          <w:color w:val="auto"/>
        </w:rPr>
      </w:pPr>
    </w:p>
    <w:p>
      <w:pPr>
        <w:jc w:val="both"/>
        <w:ind w:left="820" w:hanging="326"/>
        <w:spacing w:after="0" w:line="273"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Capacity</w:t>
      </w:r>
      <w:r>
        <w:rPr>
          <w:rFonts w:ascii="Arial" w:cs="Arial" w:eastAsia="Arial" w:hAnsi="Arial"/>
          <w:sz w:val="17"/>
          <w:szCs w:val="17"/>
          <w:color w:val="auto"/>
        </w:rPr>
        <w:t>. The traditional way to enable increases in power grid capacity without losing voltage stability is to install more overhead power lines</w:t>
      </w:r>
      <w:r>
        <w:rPr>
          <w:rFonts w:ascii="Arial" w:cs="Arial" w:eastAsia="Arial" w:hAnsi="Arial"/>
          <w:sz w:val="17"/>
          <w:szCs w:val="17"/>
          <w:i w:val="1"/>
          <w:iCs w:val="1"/>
          <w:color w:val="auto"/>
        </w:rPr>
        <w:t xml:space="preserve"> </w:t>
      </w:r>
      <w:r>
        <w:rPr>
          <w:rFonts w:ascii="Arial" w:cs="Arial" w:eastAsia="Arial" w:hAnsi="Arial"/>
          <w:sz w:val="17"/>
          <w:szCs w:val="17"/>
          <w:color w:val="auto"/>
        </w:rPr>
        <w:t>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83" w:lineRule="exact"/>
        <w:rPr>
          <w:rFonts w:ascii="Arial" w:cs="Arial" w:eastAsia="Arial" w:hAnsi="Arial"/>
          <w:sz w:val="17"/>
          <w:szCs w:val="17"/>
          <w:color w:val="auto"/>
        </w:rPr>
      </w:pPr>
    </w:p>
    <w:p>
      <w:pPr>
        <w:jc w:val="both"/>
        <w:ind w:left="82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Efficiency</w:t>
      </w:r>
      <w:r>
        <w:rPr>
          <w:rFonts w:ascii="Arial" w:cs="Arial" w:eastAsia="Arial" w:hAnsi="Arial"/>
          <w:sz w:val="18"/>
          <w:szCs w:val="18"/>
          <w:color w:val="auto"/>
        </w:rPr>
        <w:t>. Most overhead lines and underground cables use traditional conductors such as copper and aluminum, which lose power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resistance. At transmission voltage, electrical losses average about 7% in the United States and other developed nations, but can exceed 20% in some locations due to the distance of the line, quality of the conductor, and the power grid’s architecture and characteristics, among other factors.</w:t>
      </w:r>
    </w:p>
    <w:p>
      <w:pPr>
        <w:spacing w:after="0" w:line="92" w:lineRule="exact"/>
        <w:rPr>
          <w:rFonts w:ascii="Arial" w:cs="Arial" w:eastAsia="Arial" w:hAnsi="Arial"/>
          <w:sz w:val="18"/>
          <w:szCs w:val="18"/>
          <w:color w:val="auto"/>
        </w:rPr>
      </w:pPr>
    </w:p>
    <w:p>
      <w:pPr>
        <w:jc w:val="both"/>
        <w:ind w:left="820" w:hanging="326"/>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Security</w:t>
      </w:r>
      <w:r>
        <w:rPr>
          <w:rFonts w:ascii="Arial" w:cs="Arial" w:eastAsia="Arial" w:hAnsi="Arial"/>
          <w:sz w:val="17"/>
          <w:szCs w:val="17"/>
          <w:color w:val="auto"/>
        </w:rPr>
        <w:t>. Catastrophic equipment failures caused by aging equipment, physical and cyber events, and weather-related disasters can leave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of an urban environment without power for hours or days. It can be difficult to recover from extended power outages in urban load centers, worsening situations where the personal safety of residents and the economic health of businesses are threatened.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solutions for the power quality and grid infrastructure market</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address these challenges in the grid market by providing services and solutions designed to increase the power grid’s capacity, resiliency, reliability, security and efficiency. Our solutions orchestrate the rhythm of power on the grid. Our solutions include:</w:t>
      </w:r>
    </w:p>
    <w:p>
      <w:pPr>
        <w:spacing w:after="0" w:line="170" w:lineRule="exact"/>
        <w:rPr>
          <w:sz w:val="20"/>
          <w:szCs w:val="20"/>
          <w:color w:val="auto"/>
        </w:rPr>
      </w:pPr>
    </w:p>
    <w:p>
      <w:pPr>
        <w:jc w:val="both"/>
        <w:ind w:left="820" w:hanging="326"/>
        <w:spacing w:after="0" w:line="288"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D-VAR</w:t>
      </w:r>
      <w:r>
        <w:rPr>
          <w:rFonts w:ascii="Arial" w:cs="Arial" w:eastAsia="Arial" w:hAnsi="Arial"/>
          <w:sz w:val="16"/>
          <w:szCs w:val="16"/>
          <w:color w:val="auto"/>
        </w:rPr>
        <w:t>®</w:t>
      </w:r>
      <w:r>
        <w:rPr>
          <w:rFonts w:ascii="Arial" w:cs="Arial" w:eastAsia="Arial" w:hAnsi="Arial"/>
          <w:sz w:val="16"/>
          <w:szCs w:val="16"/>
          <w:i w:val="1"/>
          <w:iCs w:val="1"/>
          <w:color w:val="auto"/>
        </w:rPr>
        <w:t xml:space="preserve"> Systems</w:t>
      </w:r>
      <w:r>
        <w:rPr>
          <w:rFonts w:ascii="Arial" w:cs="Arial" w:eastAsia="Arial" w:hAnsi="Arial"/>
          <w:sz w:val="16"/>
          <w:szCs w:val="16"/>
          <w:color w:val="auto"/>
        </w:rPr>
        <w:t>. Our D-VAR system consists of power electronics and other static components used for controlling power flow and voltage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AC transmission system. Our D-VAR system aims to increase controllability and power transferability of a network, which allows more effective utilization of existing assets, and reduces the need for new transmission lines and facilities to increase electricity availability. The power that flows through AC networks comprises both real power, measured in watts, and reactive 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Our D-VAR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and power quality systems for utilities and heavy industrial operations.</w:t>
      </w:r>
    </w:p>
    <w:p>
      <w:pPr>
        <w:spacing w:after="0" w:line="73" w:lineRule="exact"/>
        <w:rPr>
          <w:rFonts w:ascii="Arial" w:cs="Arial" w:eastAsia="Arial" w:hAnsi="Arial"/>
          <w:sz w:val="16"/>
          <w:szCs w:val="16"/>
          <w:color w:val="auto"/>
        </w:rPr>
      </w:pPr>
    </w:p>
    <w:p>
      <w:pPr>
        <w:jc w:val="both"/>
        <w:ind w:left="820" w:hanging="326"/>
        <w:spacing w:after="0" w:line="25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actiVAR</w:t>
      </w:r>
      <w:r>
        <w:rPr>
          <w:rFonts w:ascii="Arial" w:cs="Arial" w:eastAsia="Arial" w:hAnsi="Arial"/>
          <w:sz w:val="18"/>
          <w:szCs w:val="18"/>
          <w:color w:val="auto"/>
        </w:rPr>
        <w:t>®</w:t>
      </w:r>
      <w:r>
        <w:rPr>
          <w:rFonts w:ascii="Arial" w:cs="Arial" w:eastAsia="Arial" w:hAnsi="Arial"/>
          <w:sz w:val="18"/>
          <w:szCs w:val="18"/>
          <w:i w:val="1"/>
          <w:iCs w:val="1"/>
          <w:color w:val="auto"/>
        </w:rPr>
        <w:t xml:space="preserve"> Systems</w:t>
      </w:r>
      <w:r>
        <w:rPr>
          <w:rFonts w:ascii="Arial" w:cs="Arial" w:eastAsia="Arial" w:hAnsi="Arial"/>
          <w:sz w:val="18"/>
          <w:szCs w:val="18"/>
          <w:color w:val="auto"/>
        </w:rPr>
        <w:t>. Our actiVAR system is a fast-switching medium-voltage reactive compensation solution that utilizes passive, fast-switching,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transient-free switching devices. The actiVAR mitigates voltage sags and reduces large inrush currents associated with starting large medium-voltage motors across-the-line. Large motors require significant amounts of reactive power to start. The flow of VARs across the power system network results in voltage sags which cause power quality issues to nearby utility customers, as well as a reduction in the motors ability to start. Traditional solutions to solve these problems utilize complex and costly adjustable speed drives and synchronous transfer switchgear solutions. The actiVAR replaces these items at a fraction of the cost. The solution is prevalent in the pump and compressors stations utilized in industrial trades. Our actiVAR sales process begins with the engineering and procurement companies during feasibility studies. We identify viable projects for this solution and assist with performance and rating calculations, which eventually lead to the adaption and purchase of the actiVAR solution.</w:t>
      </w:r>
    </w:p>
    <w:p>
      <w:pPr>
        <w:spacing w:after="0" w:line="101" w:lineRule="exact"/>
        <w:rPr>
          <w:rFonts w:ascii="Arial" w:cs="Arial" w:eastAsia="Arial" w:hAnsi="Arial"/>
          <w:sz w:val="18"/>
          <w:szCs w:val="18"/>
          <w:color w:val="auto"/>
        </w:rPr>
      </w:pPr>
    </w:p>
    <w:p>
      <w:pPr>
        <w:jc w:val="both"/>
        <w:ind w:left="820" w:hanging="326"/>
        <w:spacing w:after="0" w:line="273"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armorVAR™ Systems</w:t>
      </w:r>
      <w:r>
        <w:rPr>
          <w:rFonts w:ascii="Arial" w:cs="Arial" w:eastAsia="Arial" w:hAnsi="Arial"/>
          <w:sz w:val="17"/>
          <w:szCs w:val="17"/>
          <w:color w:val="auto"/>
        </w:rPr>
        <w:t>. Our armorVAR system consists of conventionally switched medium-voltage metal-enclosed capacitor banks and</w:t>
      </w:r>
      <w:r>
        <w:rPr>
          <w:rFonts w:ascii="Arial" w:cs="Arial" w:eastAsia="Arial" w:hAnsi="Arial"/>
          <w:sz w:val="17"/>
          <w:szCs w:val="17"/>
          <w:i w:val="1"/>
          <w:iCs w:val="1"/>
          <w:color w:val="auto"/>
        </w:rPr>
        <w:t xml:space="preserve"> </w:t>
      </w:r>
      <w:r>
        <w:rPr>
          <w:rFonts w:ascii="Arial" w:cs="Arial" w:eastAsia="Arial" w:hAnsi="Arial"/>
          <w:sz w:val="17"/>
          <w:szCs w:val="17"/>
          <w:color w:val="auto"/>
        </w:rPr>
        <w:t>harmonic filters banks. These systems are installed for reactive compensation, power factor correction, loss reduction, utility bill savings, and mitigation of common power quality concerns related to power converter-based generation and load devices. They are utilized in all industries including renewables, industrial, utility, commercial, mining, and petro-chemical industries. Our armorVAR systems also support the base VAR requirements of renewable power plants and can include fully integrated D-VAR and D-VAR VVO® solutions to form more advanced hybrid solutions that are more economical and easier to install.</w:t>
      </w:r>
    </w:p>
    <w:p>
      <w:pPr>
        <w:spacing w:after="0" w:line="83" w:lineRule="exact"/>
        <w:rPr>
          <w:rFonts w:ascii="Arial" w:cs="Arial" w:eastAsia="Arial" w:hAnsi="Arial"/>
          <w:sz w:val="17"/>
          <w:szCs w:val="17"/>
          <w:color w:val="auto"/>
        </w:rPr>
      </w:pPr>
    </w:p>
    <w:p>
      <w:pPr>
        <w:jc w:val="both"/>
        <w:ind w:left="820" w:hanging="326"/>
        <w:spacing w:after="0" w:line="255"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Transformers and DC Rectifiers. </w:t>
      </w:r>
      <w:r>
        <w:rPr>
          <w:rFonts w:ascii="Arial" w:cs="Arial" w:eastAsia="Arial" w:hAnsi="Arial"/>
          <w:sz w:val="18"/>
          <w:szCs w:val="18"/>
          <w:color w:val="auto"/>
        </w:rPr>
        <w:t>Our custom transformers and rectifiers combine to form</w:t>
      </w:r>
      <w:r>
        <w:rPr>
          <w:rFonts w:ascii="Arial" w:cs="Arial" w:eastAsia="Arial" w:hAnsi="Arial"/>
          <w:sz w:val="18"/>
          <w:szCs w:val="18"/>
          <w:i w:val="1"/>
          <w:iCs w:val="1"/>
          <w:color w:val="auto"/>
        </w:rPr>
        <w:t xml:space="preserve"> power electronic </w:t>
      </w:r>
      <w:r>
        <w:rPr>
          <w:rFonts w:ascii="Arial" w:cs="Arial" w:eastAsia="Arial" w:hAnsi="Arial"/>
          <w:sz w:val="18"/>
          <w:szCs w:val="18"/>
          <w:color w:val="auto"/>
        </w:rPr>
        <w:t xml:space="preserve">systems which consists of heavy-duty industrial rectifier transformers and direct current (DC) rectifiers. These systems are installed to produce DC power for electrolytic, furnace, and special processes. They are utilized in all industries including renewables, industrial, chemical, mining, and petro-chemical industries. Our power electronic systems also support renewable wind/solar power plants and can include fully integrated D-VAR and D-VAR VVO </w:t>
      </w:r>
      <w:r>
        <w:rPr>
          <w:rFonts w:ascii="Arial" w:cs="Arial" w:eastAsia="Arial" w:hAnsi="Arial"/>
          <w:sz w:val="18"/>
          <w:szCs w:val="18"/>
          <w:i w:val="1"/>
          <w:iCs w:val="1"/>
          <w:color w:val="auto"/>
        </w:rPr>
        <w:t>actiVAR</w:t>
      </w:r>
      <w:r>
        <w:rPr>
          <w:rFonts w:ascii="Arial" w:cs="Arial" w:eastAsia="Arial" w:hAnsi="Arial"/>
          <w:sz w:val="18"/>
          <w:szCs w:val="18"/>
          <w:color w:val="auto"/>
        </w:rPr>
        <w:t xml:space="preserve">®, </w:t>
      </w:r>
      <w:r>
        <w:rPr>
          <w:rFonts w:ascii="Arial" w:cs="Arial" w:eastAsia="Arial" w:hAnsi="Arial"/>
          <w:sz w:val="18"/>
          <w:szCs w:val="18"/>
          <w:i w:val="1"/>
          <w:iCs w:val="1"/>
          <w:color w:val="auto"/>
        </w:rPr>
        <w:t>armorVAR</w:t>
      </w:r>
      <w:r>
        <w:rPr>
          <w:rFonts w:ascii="Arial" w:cs="Arial" w:eastAsia="Arial" w:hAnsi="Arial"/>
          <w:sz w:val="18"/>
          <w:szCs w:val="18"/>
          <w:color w:val="auto"/>
        </w:rPr>
        <w:t>™ solutions that are more economical and easier to install to form a complete power solution engineered to the client's specification.</w:t>
      </w:r>
    </w:p>
    <w:p>
      <w:pPr>
        <w:spacing w:after="0" w:line="97" w:lineRule="exact"/>
        <w:rPr>
          <w:rFonts w:ascii="Arial" w:cs="Arial" w:eastAsia="Arial" w:hAnsi="Arial"/>
          <w:sz w:val="18"/>
          <w:szCs w:val="18"/>
          <w:color w:val="auto"/>
        </w:rPr>
      </w:pPr>
    </w:p>
    <w:p>
      <w:pPr>
        <w:jc w:val="both"/>
        <w:ind w:left="820" w:hanging="326"/>
        <w:spacing w:after="0" w:line="291"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D-VAR VVO®. </w:t>
      </w:r>
      <w:r>
        <w:rPr>
          <w:rFonts w:ascii="Arial" w:cs="Arial" w:eastAsia="Arial" w:hAnsi="Arial"/>
          <w:sz w:val="16"/>
          <w:szCs w:val="16"/>
          <w:color w:val="auto"/>
        </w:rPr>
        <w:t>Our D-VAR VVO serves the distribution power grid market. VVO is designed to be a direct-connect 15 kilovolt class power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system for a utility's distribution network to optimally control voltage as distribution networks are increasingly impacted by distributed generation, such as roof top and community solar. We believe VVO has the potential to save utilities time and money by avoiding costly options to increase the reliability and resiliency of the distribution grid and to allow utilities to build a “plug 'n play” network to serve the demands of modern energy consumers. Our VVO target markets are electric distribution grids incorporating distributed generation, including where utility grid modernization attributes such as the following are applicable: mandated efficiency upgrades, mass adoption of rooftop solar, community solar, utility-owned micro-grids, variable load conditions on the distribution grid and voltage regulations alternatives.</w:t>
      </w:r>
    </w:p>
    <w:p>
      <w:pPr>
        <w:spacing w:after="0" w:line="71" w:lineRule="exact"/>
        <w:rPr>
          <w:rFonts w:ascii="Arial" w:cs="Arial" w:eastAsia="Arial" w:hAnsi="Arial"/>
          <w:sz w:val="16"/>
          <w:szCs w:val="16"/>
          <w:color w:val="auto"/>
        </w:rPr>
      </w:pPr>
    </w:p>
    <w:p>
      <w:pPr>
        <w:jc w:val="both"/>
        <w:ind w:left="820" w:hanging="326"/>
        <w:spacing w:after="0" w:line="308"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REG Systems</w:t>
      </w:r>
      <w:r>
        <w:rPr>
          <w:rFonts w:ascii="Arial" w:cs="Arial" w:eastAsia="Arial" w:hAnsi="Arial"/>
          <w:sz w:val="17"/>
          <w:szCs w:val="17"/>
          <w:color w:val="auto"/>
        </w:rPr>
        <w:t>. Our REG system has two primary applications that increase the reliability and the capacity of the urban infrastructure.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focused on reliability improvement, the REG system is used in a “ring” or “loop” configuration to interconnect nearby urban</w:t>
      </w:r>
    </w:p>
    <w:p>
      <w:pPr>
        <w:sectPr>
          <w:pgSz w:w="11900" w:h="16973" w:orient="portrait"/>
          <w:cols w:equalWidth="0" w:num="1">
            <w:col w:w="11240"/>
          </w:cols>
          <w:pgMar w:left="320" w:top="584" w:right="339" w:bottom="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color w:val="auto"/>
        </w:rPr>
        <w:t>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We believe a utility installing our REG system could double or quadruple its reliability (e.g. N-1 to N-2, or greater) by networking substations, which is a solution that utilities would generally not consider when using conventional technology in urban settings due to its disruptive nature and economic disadvantages. For applications focused on capacity improvement, the REG system can be used in a “branch” configuration. In this application, the REG system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high-power handling capacity with fault current limiting characteristics - features that are attributable to our proprietary Amperium HTS wire.</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25" w:right="339" w:bottom="1440" w:gutter="0" w:footer="0" w:header="0"/>
        </w:sectPr>
      </w:pPr>
    </w:p>
    <w:bookmarkStart w:id="10" w:name="page11"/>
    <w:bookmarkEnd w:id="10"/>
    <w:p>
      <w:pPr>
        <w:ind w:left="180"/>
        <w:spacing w:after="0"/>
        <w:rPr>
          <w:sz w:val="20"/>
          <w:szCs w:val="20"/>
          <w:color w:val="auto"/>
        </w:rPr>
      </w:pPr>
      <w:r>
        <w:rPr>
          <w:rFonts w:ascii="Arial" w:cs="Arial" w:eastAsia="Arial" w:hAnsi="Arial"/>
          <w:sz w:val="18"/>
          <w:szCs w:val="18"/>
          <w:b w:val="1"/>
          <w:bCs w:val="1"/>
          <w:i w:val="1"/>
          <w:iCs w:val="1"/>
          <w:color w:val="auto"/>
        </w:rPr>
        <w:t>Marine market overview</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Defense spending has increased over the past six years as the U.S. military moves to rebuild and retool for competition against other great powers. In April 2022, the U.S. Navy’s 2022 shipbuilding plan covering government fiscal years 2023 to 2052, calls for a larger modernized, sustainable and lethal Navy. For a description of risks related to our government contracts, see Part I, Item 1A, “Risk Factors –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November 1, 2022, the Navy’s fleet numbered 292 battle force ships—aircraft carriers, submarines, surface combatants, amphibious ships, combat logistics ships, and some support ships. As of April 17, 2023, the Navy included 296 battle force ships.</w:t>
      </w:r>
    </w:p>
    <w:p>
      <w:pPr>
        <w:spacing w:after="0" w:line="17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Since WWII, the Navy fleet has protected its warfare vessels with copper-based degaussing systems. Our HTS-based degaussing system provides world class mine protection while reducing the weight of the degaussing system by an estimated 50-80%, and reducing energy consumption.</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believe that our HTS systems are an enabling technology for the Navy in its mission to create an all-electric ship (Super Ship). Our HTS-based SPS degaussing system has been designed into the San Antonio-class amphibious warfare ship platform, with the first system delivered in January 2022 to be deployed on the USS Fort Lauderdale. AMSC and the U.S. Navy continue to collaborate on AMSC’s advanced HTS-based ship protection systems. The core components of the ship protection system are common and transferable to other applications being targeted for ship implementation.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Navy fleets worldwide face various challenges, including:</w:t>
      </w:r>
    </w:p>
    <w:p>
      <w:pPr>
        <w:spacing w:after="0" w:line="225" w:lineRule="exact"/>
        <w:rPr>
          <w:sz w:val="20"/>
          <w:szCs w:val="20"/>
          <w:color w:val="auto"/>
        </w:rPr>
      </w:pPr>
    </w:p>
    <w:p>
      <w:pPr>
        <w:jc w:val="both"/>
        <w:ind w:left="820" w:hanging="326"/>
        <w:spacing w:after="0" w:line="261" w:lineRule="auto"/>
        <w:tabs>
          <w:tab w:leader="none" w:pos="820" w:val="left"/>
        </w:tabs>
        <w:numPr>
          <w:ilvl w:val="0"/>
          <w:numId w:val="10"/>
        </w:numPr>
        <w:rPr>
          <w:rFonts w:ascii="Arial" w:cs="Arial" w:eastAsia="Arial" w:hAnsi="Arial"/>
          <w:sz w:val="21"/>
          <w:szCs w:val="21"/>
          <w:color w:val="auto"/>
        </w:rPr>
      </w:pPr>
      <w:r>
        <w:rPr>
          <w:rFonts w:ascii="Arial" w:cs="Arial" w:eastAsia="Arial" w:hAnsi="Arial"/>
          <w:sz w:val="17"/>
          <w:szCs w:val="17"/>
          <w:i w:val="1"/>
          <w:iCs w:val="1"/>
          <w:color w:val="auto"/>
        </w:rPr>
        <w:t xml:space="preserve">Power Capacity. </w:t>
      </w:r>
      <w:r>
        <w:rPr>
          <w:rFonts w:ascii="Arial" w:cs="Arial" w:eastAsia="Arial" w:hAnsi="Arial"/>
          <w:sz w:val="17"/>
          <w:szCs w:val="17"/>
          <w:color w:val="auto"/>
        </w:rPr>
        <w:t>Today’s Navy continues to see increased demand for more power applied from both on and off the ship (shore power). This</w:t>
      </w:r>
      <w:r>
        <w:rPr>
          <w:rFonts w:ascii="Arial" w:cs="Arial" w:eastAsia="Arial" w:hAnsi="Arial"/>
          <w:sz w:val="17"/>
          <w:szCs w:val="17"/>
          <w:i w:val="1"/>
          <w:iCs w:val="1"/>
          <w:color w:val="auto"/>
        </w:rPr>
        <w:t xml:space="preserve"> </w:t>
      </w:r>
      <w:r>
        <w:rPr>
          <w:rFonts w:ascii="Arial" w:cs="Arial" w:eastAsia="Arial" w:hAnsi="Arial"/>
          <w:sz w:val="17"/>
          <w:szCs w:val="17"/>
          <w:color w:val="auto"/>
        </w:rPr>
        <w:t>need is driven by many factors, including the continued development of high-power density advanced weapons systems and sensors. Many power dense applications that naval engineers are working on today are already relying on the independent development of improved power distribution systems for their implementation. Free Electron Lasers, High Power Radar, Laser Self Defense Systems, Electro Magnetic Rail Guns and Active Denial (Directed Energy) systems are just a few of the Navy applications that we believe will demand higher capacity and more efficient energy transfer before deployment to a platform in the fleet can be realized.</w:t>
      </w:r>
    </w:p>
    <w:p>
      <w:pPr>
        <w:spacing w:after="0" w:line="92" w:lineRule="exact"/>
        <w:rPr>
          <w:rFonts w:ascii="Arial" w:cs="Arial" w:eastAsia="Arial" w:hAnsi="Arial"/>
          <w:sz w:val="21"/>
          <w:szCs w:val="21"/>
          <w:color w:val="auto"/>
        </w:rPr>
      </w:pPr>
    </w:p>
    <w:p>
      <w:pPr>
        <w:jc w:val="both"/>
        <w:ind w:left="820" w:hanging="326"/>
        <w:spacing w:after="0" w:line="238" w:lineRule="auto"/>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i w:val="1"/>
          <w:iCs w:val="1"/>
          <w:color w:val="auto"/>
        </w:rPr>
        <w:t xml:space="preserve">Space and Weight Limitations. </w:t>
      </w:r>
      <w:r>
        <w:rPr>
          <w:rFonts w:ascii="Arial" w:cs="Arial" w:eastAsia="Arial" w:hAnsi="Arial"/>
          <w:sz w:val="18"/>
          <w:szCs w:val="18"/>
          <w:color w:val="auto"/>
        </w:rPr>
        <w:t>Advances in sensors and weapons for modern ship applications are expected to drive the need for new power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be light and compact, for weapons’ power draw to be more efficiently cooled and for easing installation on new ships and enabling upgrades on existing ones.</w:t>
      </w:r>
    </w:p>
    <w:p>
      <w:pPr>
        <w:spacing w:after="0" w:line="108" w:lineRule="exact"/>
        <w:rPr>
          <w:rFonts w:ascii="Arial" w:cs="Arial" w:eastAsia="Arial" w:hAnsi="Arial"/>
          <w:sz w:val="22"/>
          <w:szCs w:val="22"/>
          <w:color w:val="auto"/>
        </w:rPr>
      </w:pPr>
    </w:p>
    <w:p>
      <w:pPr>
        <w:jc w:val="both"/>
        <w:ind w:left="820" w:hanging="326"/>
        <w:spacing w:after="0" w:line="283" w:lineRule="auto"/>
        <w:tabs>
          <w:tab w:leader="none" w:pos="820" w:val="left"/>
        </w:tabs>
        <w:numPr>
          <w:ilvl w:val="0"/>
          <w:numId w:val="10"/>
        </w:numPr>
        <w:rPr>
          <w:rFonts w:ascii="Arial" w:cs="Arial" w:eastAsia="Arial" w:hAnsi="Arial"/>
          <w:sz w:val="19"/>
          <w:szCs w:val="19"/>
          <w:color w:val="auto"/>
        </w:rPr>
      </w:pPr>
      <w:r>
        <w:rPr>
          <w:rFonts w:ascii="Arial" w:cs="Arial" w:eastAsia="Arial" w:hAnsi="Arial"/>
          <w:sz w:val="16"/>
          <w:szCs w:val="16"/>
          <w:i w:val="1"/>
          <w:iCs w:val="1"/>
          <w:color w:val="auto"/>
        </w:rPr>
        <w:t xml:space="preserve">Efficiency. </w:t>
      </w:r>
      <w:r>
        <w:rPr>
          <w:rFonts w:ascii="Arial" w:cs="Arial" w:eastAsia="Arial" w:hAnsi="Arial"/>
          <w:sz w:val="16"/>
          <w:szCs w:val="16"/>
          <w:color w:val="auto"/>
        </w:rPr>
        <w:t>Increased power demands for routine (peace time) operations are straining the conventional copper-based power cable systems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currently used. The copper cables are very heavy, cumbersome, and hard to handle. The weight of the cables requires a coordinated effort between a crew on the pier and a crew on the ship. In many instances, handling these cables requires the use of a crane or a boom truck to extend them from the pier-side power substations up to the ship’s connection point. More efficient, compact, lighter weight power transfer and distribution systems are expected to be required for tomorrow’s Navy to satisfy its future mission requirements.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solutions for the marine market</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Each Navy ship can be thought of as having its own power grid. We provide advanced ship protection systems, power management, and power generation systems that are designed to help fleets increase system efficiencies, enhance warfare capabilities, and boost reliability, performance and security. Our systems support the Navy’s mission to “electrify the fleet”. Our systems allow for the ship to generate a large amount of electrical power and distribute the power through an in-board power system to a propulsion motor by way of a much smaller, lighter, and higher performing HTS cable system, enabling a more advanced, reliable, and secure solution with a smaller footprint. Our solutions include:</w:t>
      </w:r>
    </w:p>
    <w:p>
      <w:pPr>
        <w:spacing w:after="0" w:line="176" w:lineRule="exact"/>
        <w:rPr>
          <w:sz w:val="20"/>
          <w:szCs w:val="20"/>
          <w:color w:val="auto"/>
        </w:rPr>
      </w:pPr>
    </w:p>
    <w:p>
      <w:pPr>
        <w:jc w:val="both"/>
        <w:ind w:left="980" w:hanging="324"/>
        <w:spacing w:after="0" w:line="282" w:lineRule="auto"/>
        <w:tabs>
          <w:tab w:leader="none" w:pos="980" w:val="left"/>
        </w:tabs>
        <w:numPr>
          <w:ilvl w:val="0"/>
          <w:numId w:val="11"/>
        </w:numPr>
        <w:rPr>
          <w:rFonts w:ascii="Arial" w:cs="Arial" w:eastAsia="Arial" w:hAnsi="Arial"/>
          <w:sz w:val="19"/>
          <w:szCs w:val="19"/>
          <w:color w:val="auto"/>
        </w:rPr>
      </w:pPr>
      <w:r>
        <w:rPr>
          <w:rFonts w:ascii="Arial" w:cs="Arial" w:eastAsia="Arial" w:hAnsi="Arial"/>
          <w:sz w:val="16"/>
          <w:szCs w:val="16"/>
          <w:i w:val="1"/>
          <w:iCs w:val="1"/>
          <w:color w:val="auto"/>
        </w:rPr>
        <w:t>Ship Protection Systems</w:t>
      </w:r>
      <w:r>
        <w:rPr>
          <w:rFonts w:ascii="Arial" w:cs="Arial" w:eastAsia="Arial" w:hAnsi="Arial"/>
          <w:sz w:val="16"/>
          <w:szCs w:val="16"/>
          <w:color w:val="auto"/>
        </w:rPr>
        <w:t>. The primary focus of our SPS has been degaussing systems. These systems reduce a naval ship’s magnetic</w:t>
      </w:r>
      <w:r>
        <w:rPr>
          <w:rFonts w:ascii="Arial" w:cs="Arial" w:eastAsia="Arial" w:hAnsi="Arial"/>
          <w:sz w:val="16"/>
          <w:szCs w:val="16"/>
          <w:i w:val="1"/>
          <w:iCs w:val="1"/>
          <w:color w:val="auto"/>
        </w:rPr>
        <w:t xml:space="preserve"> </w:t>
      </w:r>
      <w:r>
        <w:rPr>
          <w:rFonts w:ascii="Arial" w:cs="Arial" w:eastAsia="Arial" w:hAnsi="Arial"/>
          <w:sz w:val="16"/>
          <w:szCs w:val="16"/>
          <w:color w:val="auto"/>
        </w:rPr>
        <w:t>signature, making it much more difficult for a mine to detect and damage a ship. Traditionally made of heavy copper wire, degaussing is required on all U.S. Navy combat ships. Our HTS advanced degaussing system is lightweight, compact, and often outperforms its conventional counterpart. This HTS system is estimated to enable 50-80% reduction in total degaussing system weight, offering significant potential for fuel savings or options to add different payloads. The core components of a degaussing system are transferable to other applications being targeted for ship implementation. Our SPS has been designed into the San Antonio class of amphibious assault vessels, which was first delivered in January 2022 to be deployed on the USS Fort Lauderdale. We are also seeking opportunities to propagate SPS throughout the surface fleet, creating the potential for a relatively long-term revenue stream. Additionally, we are developing a deployable mine countermeasure solution to enhance U.S. Navy capability to manage the threat of minefields.</w:t>
      </w:r>
    </w:p>
    <w:p>
      <w:pPr>
        <w:spacing w:after="0" w:line="79" w:lineRule="exact"/>
        <w:rPr>
          <w:rFonts w:ascii="Arial" w:cs="Arial" w:eastAsia="Arial" w:hAnsi="Arial"/>
          <w:sz w:val="19"/>
          <w:szCs w:val="19"/>
          <w:color w:val="auto"/>
        </w:rPr>
      </w:pPr>
    </w:p>
    <w:p>
      <w:pPr>
        <w:jc w:val="both"/>
        <w:ind w:left="980" w:hanging="324"/>
        <w:spacing w:after="0" w:line="238"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In Board Power Delivery Systems</w:t>
      </w:r>
      <w:r>
        <w:rPr>
          <w:rFonts w:ascii="Arial" w:cs="Arial" w:eastAsia="Arial" w:hAnsi="Arial"/>
          <w:sz w:val="18"/>
          <w:szCs w:val="18"/>
          <w:color w:val="auto"/>
        </w:rPr>
        <w:t>. We are working on expanding HTS technology into the fleet through a variety of applications, including in</w:t>
      </w:r>
      <w:r>
        <w:rPr>
          <w:rFonts w:ascii="Arial" w:cs="Arial" w:eastAsia="Arial" w:hAnsi="Arial"/>
          <w:sz w:val="18"/>
          <w:szCs w:val="18"/>
          <w:i w:val="1"/>
          <w:iCs w:val="1"/>
          <w:color w:val="auto"/>
        </w:rPr>
        <w:t xml:space="preserve"> </w:t>
      </w:r>
      <w:r>
        <w:rPr>
          <w:rFonts w:ascii="Arial" w:cs="Arial" w:eastAsia="Arial" w:hAnsi="Arial"/>
          <w:sz w:val="18"/>
          <w:szCs w:val="18"/>
          <w:color w:val="auto"/>
        </w:rPr>
        <w:t>board power flow and management. Our HTS power cables enable high density energy transfer at unsurpassed efficiency levels in a compact, lightweight package.</w:t>
      </w:r>
    </w:p>
    <w:p>
      <w:pPr>
        <w:spacing w:after="0" w:line="108" w:lineRule="exact"/>
        <w:rPr>
          <w:rFonts w:ascii="Arial" w:cs="Arial" w:eastAsia="Arial" w:hAnsi="Arial"/>
          <w:sz w:val="22"/>
          <w:szCs w:val="22"/>
          <w:color w:val="auto"/>
        </w:rPr>
      </w:pPr>
    </w:p>
    <w:p>
      <w:pPr>
        <w:jc w:val="both"/>
        <w:ind w:left="980" w:hanging="324"/>
        <w:spacing w:after="0" w:line="243"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Power Generation Systems</w:t>
      </w:r>
      <w:r>
        <w:rPr>
          <w:rFonts w:ascii="Arial" w:cs="Arial" w:eastAsia="Arial" w:hAnsi="Arial"/>
          <w:sz w:val="18"/>
          <w:szCs w:val="18"/>
          <w:color w:val="auto"/>
        </w:rPr>
        <w:t>. We are also working on expanding HTS technology into the fleet through a variety of applications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generation and electric propulsion. The same HTS technology used in SPS and in board power delivery systems when applied to rotating machines results in high power density motors and generators. This enables dramatically more power to be produced in the same machinery space used for conventional systems, which in turn affords the Navy additional power for high energy density weapons without significant structural changes to the ship.</w:t>
      </w:r>
    </w:p>
    <w:p>
      <w:pPr>
        <w:spacing w:after="0" w:line="107" w:lineRule="exact"/>
        <w:rPr>
          <w:rFonts w:ascii="Arial" w:cs="Arial" w:eastAsia="Arial" w:hAnsi="Arial"/>
          <w:sz w:val="22"/>
          <w:szCs w:val="22"/>
          <w:color w:val="auto"/>
        </w:rPr>
      </w:pPr>
    </w:p>
    <w:p>
      <w:pPr>
        <w:jc w:val="both"/>
        <w:ind w:left="980" w:hanging="324"/>
        <w:spacing w:after="0" w:line="241"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Propulsion systems. </w:t>
      </w:r>
      <w:r>
        <w:rPr>
          <w:rFonts w:ascii="Arial" w:cs="Arial" w:eastAsia="Arial" w:hAnsi="Arial"/>
          <w:sz w:val="18"/>
          <w:szCs w:val="18"/>
          <w:color w:val="auto"/>
        </w:rPr>
        <w:t>Our development work in power generation systems for the Navy extends to HTS-based electric power propulsion. In</w:t>
      </w:r>
      <w:r>
        <w:rPr>
          <w:rFonts w:ascii="Arial" w:cs="Arial" w:eastAsia="Arial" w:hAnsi="Arial"/>
          <w:sz w:val="18"/>
          <w:szCs w:val="18"/>
          <w:i w:val="1"/>
          <w:iCs w:val="1"/>
          <w:color w:val="auto"/>
        </w:rPr>
        <w:t xml:space="preserve"> </w:t>
      </w:r>
      <w:r>
        <w:rPr>
          <w:rFonts w:ascii="Arial" w:cs="Arial" w:eastAsia="Arial" w:hAnsi="Arial"/>
          <w:sz w:val="18"/>
          <w:szCs w:val="18"/>
          <w:color w:val="auto"/>
        </w:rPr>
        <w:t>board power delivery systems and power generation systems, when applied to high power density motors, enable the transition to electric propulsion. This is expected to make new ships more fuel-efficient. Our technology and systems allow the Navy to free up space for additional war-fighting capability.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403" w:gutter="0" w:footer="0" w:header="0"/>
        </w:sectPr>
      </w:pPr>
    </w:p>
    <w:bookmarkStart w:id="11" w:name="page12"/>
    <w:bookmarkEnd w:id="11"/>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market overview</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global energy mix is transitioning towards an increasing amount of renewable energy, including wind power. Wind power is unlimited in supply and its generation is a zero-emission process. Wind power has become a major pillar of power supply throughout the world. Wind power is expected to play a key role in the achievement of the objectives of the Paris Climate Change agreement and the Sustainable Development Goals.</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According to GlobalData, a research firm, approximately 85 GW of wind generation capacity were added worldwide in calendar 2022, as compared to 91 GW in calendar 2021. GlobalData anticipates that more than 88 GW of additional capacity will be added in 2023.</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According to GlobalData, annual wind installations in India for calendar 2022 were 2.5 GW and for calendar 2023 are estimated to be 2.9 GW.</w:t>
      </w:r>
    </w:p>
    <w:p>
      <w:pPr>
        <w:spacing w:after="0" w:line="23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Several factors are expected to drive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solutions for the wind market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170" w:lineRule="exact"/>
        <w:rPr>
          <w:sz w:val="20"/>
          <w:szCs w:val="20"/>
          <w:color w:val="auto"/>
        </w:rPr>
      </w:pPr>
    </w:p>
    <w:p>
      <w:pPr>
        <w:jc w:val="both"/>
        <w:ind w:left="820" w:hanging="326"/>
        <w:spacing w:after="0" w:line="241" w:lineRule="auto"/>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Electrical Control Systems. </w:t>
      </w:r>
      <w:r>
        <w:rPr>
          <w:rFonts w:ascii="Arial" w:cs="Arial" w:eastAsia="Arial" w:hAnsi="Arial"/>
          <w:sz w:val="18"/>
          <w:szCs w:val="18"/>
          <w:color w:val="auto"/>
        </w:rPr>
        <w:t>We provide full electrical control systems (“ECS”) to manufacturers of wind turbines designed by us. Our ECS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 voltage, control power flows and maximize wind turbine efficiency, among other functions. To date, we have shipped core electrical components and complete ECS sufficient to power over 17,000 Megawatts (“MW”) of wind power. We believe our ECS represent approximately 5-10% of a wind turbine’s bill of materials.</w:t>
      </w:r>
    </w:p>
    <w:p>
      <w:pPr>
        <w:spacing w:after="0" w:line="107" w:lineRule="exact"/>
        <w:rPr>
          <w:rFonts w:ascii="Arial" w:cs="Arial" w:eastAsia="Arial" w:hAnsi="Arial"/>
          <w:sz w:val="22"/>
          <w:szCs w:val="22"/>
          <w:color w:val="auto"/>
        </w:rPr>
      </w:pPr>
    </w:p>
    <w:p>
      <w:pPr>
        <w:jc w:val="both"/>
        <w:ind w:left="820" w:hanging="326"/>
        <w:spacing w:after="0" w:line="241" w:lineRule="auto"/>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Wind Turbine Designs. </w:t>
      </w:r>
      <w:r>
        <w:rPr>
          <w:rFonts w:ascii="Arial" w:cs="Arial" w:eastAsia="Arial" w:hAnsi="Arial"/>
          <w:sz w:val="18"/>
          <w:szCs w:val="18"/>
          <w:color w:val="auto"/>
        </w:rPr>
        <w:t>We design and develop entire state-of-the-art onshore and offshore wind turbines with power ratings of 2 MWs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for manufacturers who are in the business of producing wind turbines or who plan to enter the business of manufacturing wind turbines. These customers typically pay us licensing fees, and in some cases royalties, for wind turbine designs, and purchase from us the ECS needed to operate the wind turbines.</w:t>
      </w:r>
    </w:p>
    <w:p>
      <w:pPr>
        <w:spacing w:after="0" w:line="107" w:lineRule="exact"/>
        <w:rPr>
          <w:rFonts w:ascii="Arial" w:cs="Arial" w:eastAsia="Arial" w:hAnsi="Arial"/>
          <w:sz w:val="22"/>
          <w:szCs w:val="22"/>
          <w:color w:val="auto"/>
        </w:rPr>
      </w:pPr>
    </w:p>
    <w:p>
      <w:pPr>
        <w:jc w:val="both"/>
        <w:ind w:left="820" w:hanging="326"/>
        <w:spacing w:after="0" w:line="241" w:lineRule="auto"/>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Customer Support Services</w:t>
      </w:r>
      <w:r>
        <w:rPr>
          <w:rFonts w:ascii="Arial" w:cs="Arial" w:eastAsia="Arial" w:hAnsi="Arial"/>
          <w:sz w:val="18"/>
          <w:szCs w:val="18"/>
          <w:color w:val="auto"/>
        </w:rPr>
        <w:t>. We provide extensive customer support services to wind turbine manufacturers. These services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approach to the wind energy markets allows our customers to use our world-class turbine engineering capabilities while minimizing their research and development costs. These services and our advanced ECS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serve customers globally through a localized sales and field service presence in our core target markets. We have served over 100 customers in the grid market since our inception, including Commonwealth Edison, YMC Incorporated, the U.S. Navy, SSE plc in the United Kingdom, Consolidated Power Projects (Pty) Ltd in South Africa, Fuji Bridex in Singapore, Vestas Wind Systems A/S in Denmark, and Ergon Energy in Australia. Additionally, our sales personnel in the United States are supported by manufacturers' sales representatives. We have designed wind turbines for and licensed wind turbine designs to wind turbine manufacturing customers including Inox Wind Limited ("Inox") in India and Doosan Heavy Industries (“Doosan”) in South Korea.</w:t>
      </w:r>
    </w:p>
    <w:p>
      <w:pPr>
        <w:spacing w:after="0" w:line="1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fiscal 2022, Fuji Bridex Pte Ltd accounted for 15% of our total revenues. In fiscal 2021, Fuji Bridex Pte Ltd accounted for 14% of our total revenues. No other customer accounted for more than 10% of our total revenues in each of fiscal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Manufacturing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facilities and their primary functions are as follows:</w:t>
      </w:r>
    </w:p>
    <w:p>
      <w:pPr>
        <w:spacing w:after="0" w:line="225"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Ayer, Massachusetts — Corporate headquarters; Grid segment manufacturing, and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Westminster, Massachusetts — Grid segment manufacturing</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Pewaukee, Wisconsin — Grid segment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Richland, Washington — Grid segment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Klagenfurt, Austria —Wind segment engineering, research and development, and customer support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Queensbury, New York — Grid segment manufacturing</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Milford, Connecticut — Grid segment manufacturing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global footprint also includes sales and/or field service offices in Australia, India, South Korea, the United Kingdom and McLean, VA.</w:t>
      </w:r>
    </w:p>
    <w:p>
      <w:pPr>
        <w:spacing w:after="0" w:line="23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principal raw materials used in the manufacture of the Company’s products are nickel, silver, yttruim, copper, brass, and stainless steel. Major components are insulated gate bi-polar transistors, heatsinks, inductors, enclosures, transformers, and printed circuit boards. Most of these raw materials are available from multiple sources in the United States and world markets. Generally, the Company believes that adequate alternative sources are available for the majority of its key raw material and purchased component needs, however, the Company is dependent on a single or limited number of suppliers for certain materials and components.</w:t>
      </w:r>
    </w:p>
    <w:p>
      <w:pPr>
        <w:sectPr>
          <w:pgSz w:w="11900" w:h="16905" w:orient="portrait"/>
          <w:cols w:equalWidth="0" w:num="1">
            <w:col w:w="11240"/>
          </w:cols>
          <w:pgMar w:left="320" w:top="584" w:right="33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strategy is to serve customers locally in our core target markets through a direct sales force operating out of sales offices worldwide. In addition, we utilize manufacturers’ sales representatives in the United States and Canada to market our products to utilities in North America.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segment our operations into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from other companies offering FACTS systems similar to our D-VAR products. These include adaptive VAR compensators, Dynamic voltage restorers (“DVRs”), and STATCOMs produced by ABB, Siemens, Mitsubishi, and Ingeteam, and battery-based uninterruptable power supply (“UPS”) systems offered by various companies around the world.</w:t>
      </w:r>
    </w:p>
    <w:p>
      <w:pPr>
        <w:spacing w:after="0" w:line="184" w:lineRule="exact"/>
        <w:rPr>
          <w:sz w:val="20"/>
          <w:szCs w:val="20"/>
          <w:color w:val="auto"/>
        </w:rPr>
      </w:pPr>
    </w:p>
    <w:p>
      <w:pPr>
        <w:jc w:val="both"/>
        <w:ind w:firstLine="486"/>
        <w:spacing w:after="0" w:line="322" w:lineRule="auto"/>
        <w:rPr>
          <w:sz w:val="20"/>
          <w:szCs w:val="20"/>
          <w:color w:val="auto"/>
        </w:rPr>
      </w:pPr>
      <w:r>
        <w:rPr>
          <w:rFonts w:ascii="Arial" w:cs="Arial" w:eastAsia="Arial" w:hAnsi="Arial"/>
          <w:sz w:val="16"/>
          <w:szCs w:val="16"/>
          <w:color w:val="auto"/>
        </w:rPr>
        <w:t>We face competition from other companies offering medium-voltage metal-enclosed power capacitor banks and harmonic filter banks for use on electric power systems similar to our NEPSI</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products. These include Controllix PowerSide, Elgin Power Solutions, Scott Engineering and QVARx.</w:t>
      </w:r>
    </w:p>
    <w:p>
      <w:pPr>
        <w:jc w:val="both"/>
        <w:ind w:firstLine="486"/>
        <w:spacing w:after="0" w:line="207" w:lineRule="auto"/>
        <w:rPr>
          <w:sz w:val="20"/>
          <w:szCs w:val="20"/>
          <w:color w:val="auto"/>
        </w:rPr>
      </w:pPr>
      <w:r>
        <w:rPr>
          <w:rFonts w:ascii="Arial" w:cs="Arial" w:eastAsia="Arial" w:hAnsi="Arial"/>
          <w:sz w:val="17"/>
          <w:szCs w:val="17"/>
          <w:color w:val="auto"/>
        </w:rPr>
        <w:t>We face competition from other companies offering DC power supply systems similar to our Neeltran</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products. These include SCR Controlled Rectifiers, IGBT-controlled choppers produced by ABB, Siemens, Friem Dynapower, and Nidec offering systems around the world.</w:t>
      </w:r>
    </w:p>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EMS, L3 Harris, and Raytheon have the bulk of the copper-based business today.</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power module conversion equipment and our electrical control systems are designed and integrated into our wind turbine designs in a way to achieve maximum performance of the turbine. Typically, we are the exclusive provider of the power module conversion equipment and electrical control systems for our wind turbine designs. As a result, our power conversion equipment and electrical control systems see limited competition. Other companies that serve the wind turbine components industry include ABB and Emerson. We also face indirect competition in the wind energy market from global manufacturers of wind turbines, such as Siemens Gamesa, General Electric, Vestas and Suzlon. We face competition for the supply of wind turbine engineering design services from design engineering firms such as Aerovide and W2E.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Together with the international counterparts of our patents and patent applications, we own a robust portfolio of patents and patent applications worldwide and have rights through exclusive and non-exclusive licenses. We believe that our current patent position, together with our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1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products as necessary. If companies holding patents or patent applications that we need to license are competitors, we believe our patent portfolio will improve our ability to enter into license or cross-license arrangements with these companies. We have already successfully negotiated cross-licenses with several competitors.</w:t>
      </w:r>
    </w:p>
    <w:p>
      <w:pPr>
        <w:spacing w:after="0" w:line="16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Grid Patents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received patents and filed numerous additional patent applications on power quality and reliability systems, including our D-VAR products. Our products are covered by patents and patents pending worldwide on both our systems and power converter products. The patents and applications focus on inventions that significantly improve product performance and reduce product costs, thereby providing a competitive advantage.</w:t>
      </w:r>
    </w:p>
    <w:p>
      <w:pPr>
        <w:sectPr>
          <w:pgSz w:w="11900" w:h="16838" w:orient="portrait"/>
          <w:cols w:equalWidth="0" w:num="1">
            <w:col w:w="11240"/>
          </w:cols>
          <w:pgMar w:left="320" w:top="580"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HTS Patents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currently have non-exclusive rights to a fundamental U.S. patent (U.S. 8,060,169 B1) covering 2G and similar HTS wire and applications and may elect in the future to allow our rights under this license to lapse. However, we may have to obtain additional licenses to HTS materials.</w:t>
      </w:r>
    </w:p>
    <w:p>
      <w:pPr>
        <w:spacing w:after="0" w:line="1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are focusing on the production of our Amperium wire, and we intend to continue to maintain a leadership position in 2G HTS wire through a combination of patents, licenses and proprietary expertise. In addition to our owned patents and patent applications in 2G HTS wire, we have obtained licenses from (i) MIT for the MOD process we use to deposit the YBCO layer, and (ii) Alcatel-Lucent on the YBCO material.</w:t>
      </w:r>
    </w:p>
    <w:p>
      <w:pPr>
        <w:spacing w:after="0" w:line="1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extensive patents and patents pending covering applications of HTS wire, such as HTS fault current limiting technology including our fault current limiting cable, HTS rotating machines and ship protection systems. Since the superconductor rotating machine and the fault current limiting cable applications are relatively new, we believe that we have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Wind Patents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Under our Windtec™ Solutions brand, we design a variety of wind turbine systems and license these designs, including expertise and patent rights, to third parties for an upfront fee, plus in some cases, future royalties. Our wind turbine designs are covered by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In addition, we cannot provide any assurance that others, including our competitors, will not independently develop the same or comparable technology that is one of our trade secrets.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aim to provide a safe and positive work environment for our employees that emphasizes respect for individuals and high standards of integrity. The health and safety of our employees is of utmost importance to us. Recognizing and respecting our global presence, we strive to maintain a diverse and inclusive workforce everywhere we operate. As of March 31, 2023, we employed 328 persons. None of our employees is represented by a labor union.</w:t>
      </w:r>
    </w:p>
    <w:p>
      <w:pPr>
        <w:spacing w:after="0" w:line="1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our employees are the foundation of our success and that our future growth depends, in part, on our ability to continue to attract and retain the best and brightest talent, including key management professionals, scientists, engineers, researchers, manufacturing personnel, and marketing and sales professionals. In order for us to attract the best talent, we provide a collaborative, inclusive and innovative work environment, competitive compensation, and opportunities for our employees to grow. We are focused on continuing to build an inclusive culture that inspires leadership, encourages innovative thinking, and supports the development and advancement of all.</w:t>
      </w:r>
    </w:p>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human capital management objectives include attracting, incentivizing, and integrating our existing and future employees. We strive to attract and retain talented employees by offering competitive compensation and benefits that support their health and financial well-being. We use a combination of fixed and variable pay including base salary, bonuses, performance awards and stock-based compensation. The principal purposes of our equity incentive plans are to attract, retain and motivate employees through the granting of stock-based compensation awards. We offer employees benefits that vary by country and are designed to address local laws and cultures and to be competitive in the marketplace.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internet address is www.amsc.com. We are not including the information contained in our website as part of, or incorporating it by reference into, this document. We make available, free of charge, through our website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intend to disclose on our website any amendments to, or waivers of, our Code of Business Conduct and Ethics that are required to be disclosed pursuant to the SEC or the rules of the Nasdaq Stock Market,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and biographical summaries set forth below contain information with respect to our executive officers as of the date of this filing: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Daniel P. McGahn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John W. Kosiba, Jr.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18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i w:val="1"/>
          <w:iCs w:val="1"/>
          <w:color w:val="auto"/>
        </w:rPr>
        <w:t xml:space="preserve">Daniel P. McGahn </w:t>
      </w:r>
      <w:r>
        <w:rPr>
          <w:rFonts w:ascii="Arial" w:cs="Arial" w:eastAsia="Arial" w:hAnsi="Arial"/>
          <w:sz w:val="16"/>
          <w:szCs w:val="16"/>
          <w:color w:val="auto"/>
        </w:rPr>
        <w:t>joined us in December 2006 and has been chief executive officer and a member of our board of directors since June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since July 2018. He previously served as president and chief operating officer from December 2009 to June 2011, as senior vice president and general manager of our AMSC Superconductors business unit from April 2008 until December 2009, as vice president of our AMSC</w:t>
      </w:r>
    </w:p>
    <w:p>
      <w:pPr>
        <w:sectPr>
          <w:pgSz w:w="11900" w:h="16971" w:orient="portrait"/>
          <w:cols w:equalWidth="0" w:num="1">
            <w:col w:w="11240"/>
          </w:cols>
          <w:pgMar w:left="320" w:top="584" w:right="339" w:bottom="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i w:val="1"/>
          <w:iCs w:val="1"/>
          <w:color w:val="auto"/>
        </w:rPr>
        <w:t xml:space="preserve">John W. Kosiba, Jr. </w:t>
      </w:r>
      <w:r>
        <w:rPr>
          <w:rFonts w:ascii="Arial" w:cs="Arial" w:eastAsia="Arial" w:hAnsi="Arial"/>
          <w:sz w:val="17"/>
          <w:szCs w:val="17"/>
          <w:color w:val="auto"/>
        </w:rPr>
        <w:t>has served as senior vice president, chief financial officer and treasurer since April 4, 2017. Mr. Kosiba joined us as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finance operations, in June 2010. He then served as vice president, finance operations, from September 2011 to May 2013. Prior to his appointment as senior vice president and chief financial officer, Mr. Kosiba served most recently as senior vice president, Gridtec solutions and finance operations, where he was responsible for (i) overseeing finance and accounting operations, budgeting, strategic planning and financial planning and analysis for the company, and (ii) managing the day-to-day business operations of our Gridtec solutions’ business segment. From January 2008 until June 2010, Mr. Kosiba served as division director and controller of Amphenol Aerospace, a division of Amphenol Corporation and a manufacturer of interconnect products for the military, commercial aerospace and industrial markets. In this role, Mr. Kosiba was responsible for overseeing finance, accounting, budgeting, audit and all aspects of financial planning and analysis for the division.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tabs>
          <w:tab w:leader="none" w:pos="14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which may continue in the future. Our operating results may fluctuate significantly from quarter to quarter and may fall below expectations in any particular fiscal quarter.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were not profitable in fiscal 2022 and have recorded net losses for the last three fiscal years. We may not be profitable in fiscal 2023 or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1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There is currently substantial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In addition, we have in the past provided, and may continue to, provide public guidance on our expected operating and financial results for future periods. Such guidance is comprised of forward-looking statements subject to the risks and uncertainties described in this Annual Report on Form 10-K and in our other public filings and statements. Our actual results may not always be in line with or exceed the guidance we have provided. If our revenue or operating results fall below the expectations of investors or any securities analysts that follow our company in any period or we do not meet our guidance, the trading price of our common stock would likely decline.</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negative operating cash flows, and we may require additional financing in the future, which may not be available to us.</w:t>
      </w:r>
    </w:p>
    <w:p>
      <w:pPr>
        <w:spacing w:after="0" w:line="24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March 31, 2023, we had approximately $25.7 million of cash, cash equivalents and restricted cash, and during the fiscal year ended March 31, 2023, we used $22.5 million in cash for our operating activities. We have historically experienced net losses. We plan to continue to closely monitor our expenses and, if required, will further reduce operating costs and capital spending to enhance liquidity.</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liquidity is highly dependent on our ability to profitably grow our revenues, control our operating costs, and secure additional financing, if required. We may require additional capital to conduct our business and adequately respond to future business challenges or opportunities, including, but not limited to, the need to develop new products or enhance existing products, maintain or expand research and development projects, collateralize performance bonds or letters of credit, acquire new businesses or assets, and the need to build inventory or to invest other cash to support business growth. In order to raise additional capital, we may offer shares of our common stock or other securities convertible into or exchangeable for our common stock. To the extent that we raise additional capital through the sale of equity or convertible debt securities, the ownership interest of each of our existing stockholders will be diluted, and the terms of these securities may include liquidation or other preferences that adversely affect the rights of our common stockholders.</w:t>
      </w:r>
    </w:p>
    <w:p>
      <w:pPr>
        <w:spacing w:after="0" w:line="19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the event that additional liquidity is required, there can be no assurance that such financing would be available or, if available, that such financing could be obtained upon terms acceptable to us, which would have a material adverse effect on our business, financial condition and prospects.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be required to issue performance bonds or provide letters of credit, which restricts our ability to access any cash used as collateral for the bonds or letters of credit.</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and to deliver letters of credit of significant magnitude, such as our prior $5.0 million irrevocable letter of credit (secured by a $5.0 million deposit in an escrow account) as part of the agreement with Commonwealth Edison Company (“ComEd”) to install the Resilient Electric Grid (“REG”) system in Chicago. Similarly, in many other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exchange rates could adversely affect our results of operations.</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Currency exchange rate fluctuations could have an adverse effect on our revenues and results of operations, and we could experience losses with respect to hedging activities. In fiscal 2022, 45% of our revenues were recognized from sales outside of the United States. In addition, approximately 10% of our revenues in fiscal 2022 were derived under sales contracts where prices were denominated in the Euro. Unfavorable currency fluctuations could require us to increase prices to foreign customers, which could result in a lesser number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However, we cannot be certain that our efforts will be adequate to protect us against significant currency fluctuations or that such efforts will not expose us to additional exchange rate risks.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362" w:gutter="0" w:footer="0" w:header="0"/>
        </w:sectPr>
      </w:pPr>
    </w:p>
    <w:bookmarkStart w:id="18" w:name="page19"/>
    <w:bookmarkEnd w:id="18"/>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and may lead investors and other users to lose confidence in our financial data.</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Maintaining effective internal control over financial reporting is necessary for us to produce reliable financial statements. If material weaknesses or significant deficiencies in our internal control over financial reporting are discovered or occur in the future, our consolidated financial statements may contain material misstatements and we could be required to restate our financial results.</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an investigation by regulatory authorities. Any such action or other negative results caused by our inability to meet our reporting requirements or to comply with legal and regulatory requirements or by our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realize all of the sales expected from our backlog of orders and contracts.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cannot assure you that we will realize the revenue we expect to generate from our backlog in the periods we expect to realize such revenue, or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This has had, and may continue to have, an adverse effect on our ability to grow our revenues. In addition, current and future suppliers may be less likely to grant us credit, resulting in a negative impact on our working capital and cash flows.</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170" w:lineRule="exact"/>
        <w:rPr>
          <w:sz w:val="20"/>
          <w:szCs w:val="20"/>
          <w:color w:val="auto"/>
        </w:rPr>
      </w:pPr>
    </w:p>
    <w:p>
      <w:pPr>
        <w:ind w:left="520" w:hanging="209"/>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certain rights to the intellectual property that we develop under the contract;</w:t>
      </w:r>
    </w:p>
    <w:p>
      <w:pPr>
        <w:spacing w:after="0" w:line="225" w:lineRule="exact"/>
        <w:rPr>
          <w:rFonts w:ascii="Arial" w:cs="Arial" w:eastAsia="Arial" w:hAnsi="Arial"/>
          <w:sz w:val="18"/>
          <w:szCs w:val="18"/>
          <w:color w:val="auto"/>
        </w:rPr>
      </w:pPr>
    </w:p>
    <w:p>
      <w:pPr>
        <w:ind w:left="520" w:hanging="209"/>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170" w:lineRule="exact"/>
        <w:rPr>
          <w:rFonts w:ascii="Arial" w:cs="Arial" w:eastAsia="Arial" w:hAnsi="Arial"/>
          <w:sz w:val="18"/>
          <w:szCs w:val="18"/>
          <w:color w:val="auto"/>
        </w:rPr>
      </w:pPr>
    </w:p>
    <w:p>
      <w:pPr>
        <w:ind w:left="520" w:hanging="209"/>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debar us from doing business with the government or a specific government agency; and</w:t>
      </w:r>
    </w:p>
    <w:p>
      <w:pPr>
        <w:spacing w:after="0" w:line="225" w:lineRule="exact"/>
        <w:rPr>
          <w:rFonts w:ascii="Arial" w:cs="Arial" w:eastAsia="Arial" w:hAnsi="Arial"/>
          <w:sz w:val="18"/>
          <w:szCs w:val="18"/>
          <w:color w:val="auto"/>
        </w:rPr>
      </w:pPr>
    </w:p>
    <w:p>
      <w:pPr>
        <w:ind w:left="520" w:hanging="209"/>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pursue criminal or civil remedies under the False Claims Act, False Statements Act and similar remedy provisions unique to government contracting.</w:t>
      </w:r>
    </w:p>
    <w:p>
      <w:pPr>
        <w:spacing w:after="0" w:line="24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All of our U.S. government contracts, as well as certain of our contracts with third parties that are dependent on U.S. government contracts, can be terminated by the U.S. government for its convenience. Termination-for-convenience provisions typically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 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 In addition, government shutdowns could prevent or delay such contracts from being funded. Failure by the U.S. Congress to further suspend or increase the debt ceiling could delay or result in the loss of contracts for the procurement of our products and services, and we may be asked or required to continue to perform for some period of time on certain of our U.S. government contracts, even if the U.S. government is unable to make timely payments.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ind w:firstLine="486"/>
        <w:spacing w:after="0" w:line="301" w:lineRule="auto"/>
        <w:rPr>
          <w:sz w:val="20"/>
          <w:szCs w:val="20"/>
          <w:color w:val="auto"/>
        </w:rPr>
      </w:pPr>
      <w:r>
        <w:rPr>
          <w:rFonts w:ascii="Arial" w:cs="Arial" w:eastAsia="Arial" w:hAnsi="Arial"/>
          <w:sz w:val="16"/>
          <w:szCs w:val="16"/>
          <w:color w:val="auto"/>
        </w:rPr>
        <w:t>We cannot be certain that our U.S. government contracts, or our contracts with third parties that relate to projects for the U.S. government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our business, financial condition and results of operations and other future pandemics or health crises may have similar impacts.</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COVID-19 pandemic continues to evolve. At times, our suppliers have experienced some production disruption due to the COVID-19 pandemic and certain of our customers have been adversely impacted as well, which have collectively adversely impacted our business, financial condition and results of operations. As a result, we have been experiencing delays or difficulty sourcing products and some inflationary pressure in our supply chains, which have started to and could continue to negatively affect our business and financial results. The extent to which the COVID-19 pandemic continues to impact our business, liquidity, results of operations and financial condition will depend on future developments, which are highly uncertain and cannot be predicted with confidence, including the duration of the pandemic, the location, duration and magnitude of future waves of infection, new mutations of the virus, timing, effectiveness and adoption of vaccines, travel restrictions and social distancing in the United States and other countries, the duration and extent of future business closures or business disruptions and the effectiveness of actions taken to contain and treat the disease. Other future pandemics or health crises may cause similar disruptions and adversely impact our business, financial condition and results of operations.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Changes in U.S. government defense spending could negatively impact our financial position, results of operations, liquidity and overall business.</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several contracts with the U.S. government, including defense-related programs with the U.S. Department of Defense. Changes in U.S. government defense spending for various reasons, including as a result of potential changes in policy positions or priorities that may result from the U.S. presidential and congressional elections, could negatively impact our results of operations, financial condition and liquidity. Our programs are subject to U.S. government policies, budget decisions and appropriation processes which are driven by numerous factors including: (1) geopolitical events; (2) macroeconomic conditions; and (3) the ability of the U.S. government to enact relevant legislation, such as appropriations bills. In recent years, U.S. government appropriations have been affected by larger U.S. government budgetary issues and related legislation. In prior years, the U.S. government has been unable to timely complete its budget process before the end of its fiscal year, resulting in governmental shut-downs or providing only enough funds for U.S. government agencies to continue operating at prior-year levels. Significant changes in U.S. government defense spending or changes in U.S. government priorities, policies and requirements could have a material adverse effect on our results of operations, financial condition and liquidity.</w:t>
      </w:r>
    </w:p>
    <w:p>
      <w:pPr>
        <w:spacing w:after="0" w:line="166"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We rely upon third-party suppliers for the components and subassemblies of many of our Grid and Wind products, making us vulnerable to supply shortages and price fluctuations, which could harm our business.</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14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order to minimize costs and time to market, we have and will continue to identify local suppliers that meet our quality standards to produce certain of our subassemblies and components. These efforts may not be successful. In addition, any event that negatively impacts our supply, including, among others, wars, terrorist activities, cyberattacks, natural disasters and outbreaks of infectious disease, including the COVID-19 pandemic,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Uncertainty surrounding our prospects and financial condition may have an adverse effect on our customer and supplier relationships.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support working capital needs of large-scale projects.</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have not manufactured our Amperium wire in commercial quantities, and a failure to manufacture our Amperium wire in commercial quantities at acceptable cost and quality levels would substantially limit our future revenue and profit potential.</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part of our effort to increase manufacturing efficiency, we moved from our former manufacturing facility located in Devens, Massachusetts to our smaller-scale leased facility located in Ayer, Massachusetts. However, we have not yet manufactured our Amperium wire in commercial quantities at our Ayer facility or any other facility. Failure to successfully produce commercial quantities of HTS wire with an acceptable yield and cost could adversely affect our ability to meet customer demand for our products and could increase the cost of production versus projections, both of which could adversely impact our operating and financial results.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362" w:gutter="0" w:footer="0" w:header="0"/>
        </w:sectPr>
      </w:pPr>
    </w:p>
    <w:bookmarkStart w:id="20" w:name="page21"/>
    <w:bookmarkEnd w:id="20"/>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A significant portion of our Wind segment revenues are derived from a single customer. If this customer’s business is negatively affected, it could adversely impact our business.</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significant portion of our Wind segment revenues are derived from Inox. Revenues from Inox are supported by a supply contract to purchase, and a license to make, use and supply, wind turbine ECS. Inox has been active in the new central and state government auction regime in India and has a cumulative order book of over 1.4 GW. However, we cannot predict if and how successful Inox will be in executing on these orders or in obtaining new orders under the new central and state auction regime. In addition, Inox’s ability to perform under the supply contract has been and may continue to be hampered by the prolonged impacts of the COVID-19 pandemic. Any failure by Inox to succeed under this regime, or any delay in Inox’s ability to deliver its wind turbines, could result in fewer ECS shipments to Inox. Inox has historically failed to post letters of credit and take delivery of forecasted ECS quantities.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in addressing the wind energy market is dependent on the manufacturers that license our designs.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5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be adversely impacted in the event of a failure or security breach of our or any critical third parties' information technology infrastructure and networks.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rely upon the capacity, reliability, and security of information technology hardware and software infrastructure and networks (collectively, "IT Systems"), and our ability to expand and update IT Systems in response to our changing needs. We manage certain IT Systems but also rely on IT Systems and various products and services provided by critical third-party vendors and others in the supply chain. We also collect and store sensitive and confidential information in the ordinary course of our business. Any failure to manage, expand, or update our IT Systems or any disruption to or failure in the operation of such IT Systems could harm our business. In addition, the costs associated with updating and securing our IT Systems are likely to increase as such security measures become more complex, which may harm our operating results and financial condition.</w:t>
      </w:r>
    </w:p>
    <w:p>
      <w:pPr>
        <w:spacing w:after="0" w:line="17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Despite our implementation of security measures, all IT Systems are vulnerable to disruption, compromise and damage from computer viruses, bugs or vulnerabilities, natural disasters, human error, intentional conduct, cyberattacks, unauthorized access and other similar disruptions. Our business is also subject to break-ins, sabotage, and intentional acts of vandalism by third parties as well as employees. Our business activities in China may increase our risks to such breaches. We cannot guarantee the security or protection of any IT Systems. Threat actors, such as ransomware groups, are becoming increasingly sophisticated in using techniques that are designed to circumvent controls, evade detection and remove or obfuscate forensic evidence. As a result, we and our third-party providers may be unable to timely or effectively anticipate, detect, or recover from cyberattacks in the future. We also face increased cyber risk due to the number of our and others' employees who are (and may continue to be) working remotely.</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Any failure, accident, security breach, or cyberattack to our IT Systems or those of third parties upon which we rely could result in disruptions to our operations, loss, damage or compromise to our data, or inappropriate disclosure of confidential information. Any or all of the foregoing could harm our reputation, result in substantial remediation and compliance costs, lead to lost revenues and business opportunities, lead to regulatory investigations and litigation, and related fines or penalties, increase our insurance premiums and have other materially adverse effects on our business and results. Our insurance policies may not cover, or may be insufficient to cover, any or all costs, losses and liability associated with any cyberattacks, security incidents or other disruptions.</w:t>
      </w:r>
    </w:p>
    <w:p>
      <w:pPr>
        <w:spacing w:after="0" w:line="19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Failure to comply with evolving data privacy and data protection laws and regulations or to otherwise protect personal data, may adversely impact our business and financial results.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subject to many rapidly evolving privacy and data protection laws and regulations in the United States, Europe and around the world. This requires us to operate in a complex environment where there are significant constraints on how we can process personal data across our business. For example, European General Data Protection Regulation (the “GDPR”), which became effective in May 2018, has established stringent data protection requirements for companies doing business in or handling personal data of individuals in the European Union. The GDPR imposes obligations on data controllers and processors including the requirement to maintain a record of their data processing and to implement policies and procedures as part of their mandated privacy governance framework. Breaches of the GDPR could result in substantial fines, which in some cases could be up to four percent of our worldwide revenue. In addition, a breach of the GDPR or other data privacy or data protection laws or regulations could result in regulatory investigations, reputational damage, orders to cease/change our use of data, enforcement notices, as well potential civil claims including class action type litigation. There is a risk that we may be subject to fines and penalties, litigation and reputational harm if we fail to properly process or protect the data or privacy of third parties or comply with the GDPR, and other laws that have been enacted, such as the Massachusetts Data Privacy Law including The Safeguards Regulations, the California Consumer Privacy Act and other applicable data privacy and data protection regimes.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Many of our revenue opportunities are dependent upon subcontractors and other business collaborators.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collaborators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10" w:gutter="0" w:footer="0" w:header="0"/>
        </w:sectPr>
      </w:pPr>
    </w:p>
    <w:bookmarkStart w:id="21" w:name="page22"/>
    <w:bookmarkEnd w:id="21"/>
    <w:p>
      <w:pPr>
        <w:ind w:left="14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financial performance could be harmed.</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and system-level products.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ability to implement our business strategy could also be affected by a number of factors beyond our control, such as increased competition, legal developments, government regulation, general economic conditions, including as a result of the COVID-19 pandemic and the ongoing war between Russia and Ukraine, or increased operating costs or expenses.</w:t>
      </w:r>
    </w:p>
    <w:p>
      <w:pPr>
        <w:spacing w:after="0" w:line="184"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Consistent with customary practice in our industry, we guarantee our products and/or services to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potentially in excess of our reserves. Furthermore, widespread product failures may damage our market reputation and reduce our market share and cause sales to decline.</w:t>
      </w:r>
    </w:p>
    <w:p>
      <w:pPr>
        <w:spacing w:after="0" w:line="192" w:lineRule="exact"/>
        <w:rPr>
          <w:sz w:val="20"/>
          <w:szCs w:val="20"/>
          <w:color w:val="auto"/>
        </w:rPr>
      </w:pPr>
    </w:p>
    <w:p>
      <w:pPr>
        <w:ind w:left="140" w:right="120"/>
        <w:spacing w:after="0" w:line="381" w:lineRule="auto"/>
        <w:rPr>
          <w:sz w:val="20"/>
          <w:szCs w:val="20"/>
          <w:color w:val="auto"/>
        </w:rPr>
      </w:pPr>
      <w:r>
        <w:rPr>
          <w:rFonts w:ascii="Arial" w:cs="Arial" w:eastAsia="Arial" w:hAnsi="Arial"/>
          <w:sz w:val="15"/>
          <w:szCs w:val="15"/>
          <w:b w:val="1"/>
          <w:bCs w:val="1"/>
          <w:i w:val="1"/>
          <w:iCs w:val="1"/>
          <w:color w:val="auto"/>
        </w:rPr>
        <w:t>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w:t>
      </w:r>
    </w:p>
    <w:p>
      <w:pPr>
        <w:spacing w:after="0" w:line="10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66"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We have had limited success marketing and selling our superconductor products and system-level solutions, and our failure to more broadly market and sell our products and solutions could lower our revenue and cash flow.</w:t>
      </w:r>
    </w:p>
    <w:p>
      <w:pPr>
        <w:spacing w:after="0" w:line="1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To date, we have had limited success marketing and selling our superconductor products and system-level solutions. Once our products and solutions are ready for widespread commercial use, we will have to develop a marketing and sales organization that will effectively demonstrate the advantages of our products over more traditional products, competing superconductor products and other technologies. We may not be successful in our efforts to market this technology and we may not be able to establish an effective sales and distribution organization.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will be dependent on the efforts of others.</w:t>
      </w:r>
    </w:p>
    <w:p>
      <w:pPr>
        <w:spacing w:after="0" w:line="184"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recent acquisitions have required substantial integration and management efforts. As a result of any additional acquisition we pursue, management’s attention and resources may be further diverted from our other businesses. An acquisition may also involve the payment of a significant purchase price, which could reduce our cash position or dilute our stockholders and require significant transaction-related expenses.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225" w:lineRule="exact"/>
        <w:rPr>
          <w:sz w:val="20"/>
          <w:szCs w:val="20"/>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management or other key personnel that may harm relationships with the acquired business’s customers and employees;</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liabilities of the acquired business;</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and employees’ attention from other business matters as a result of the integration process;</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mistaken assumptions about volumes, revenues and costs associated with the acquired business, including synergies;</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 used to finance the acquisition; and</w:t>
      </w:r>
    </w:p>
    <w:p>
      <w:pPr>
        <w:spacing w:after="0" w:line="225" w:lineRule="exact"/>
        <w:rPr>
          <w:rFonts w:ascii="Arial" w:cs="Arial" w:eastAsia="Arial" w:hAnsi="Arial"/>
          <w:sz w:val="18"/>
          <w:szCs w:val="18"/>
          <w:color w:val="auto"/>
        </w:rPr>
      </w:pPr>
    </w:p>
    <w:p>
      <w:pPr>
        <w:ind w:left="480" w:hanging="191"/>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difficulties operating in new product areas, with new customers, or in new geographic areas.</w:t>
      </w:r>
    </w:p>
    <w:p>
      <w:pPr>
        <w:sectPr>
          <w:pgSz w:w="11900" w:h="16838" w:orient="portrait"/>
          <w:cols w:equalWidth="0" w:num="1">
            <w:col w:w="11240"/>
          </w:cols>
          <w:pgMar w:left="320" w:top="584" w:right="339" w:bottom="0" w:gutter="0" w:footer="0" w:header="0"/>
        </w:sectPr>
      </w:pPr>
    </w:p>
    <w:bookmarkStart w:id="22" w:name="page23"/>
    <w:bookmarkEnd w:id="22"/>
    <w:p>
      <w:pPr>
        <w:jc w:val="both"/>
        <w:ind w:firstLine="486"/>
        <w:spacing w:after="0" w:line="263" w:lineRule="auto"/>
        <w:rPr>
          <w:sz w:val="20"/>
          <w:szCs w:val="20"/>
          <w:color w:val="auto"/>
        </w:rPr>
      </w:pPr>
      <w:r>
        <w:rPr>
          <w:rFonts w:ascii="Arial" w:cs="Arial" w:eastAsia="Arial" w:hAnsi="Arial"/>
          <w:sz w:val="18"/>
          <w:szCs w:val="18"/>
          <w:color w:val="auto"/>
        </w:rPr>
        <w:t>We cannot provide any assurance that we will realize any of the anticipated benefits of any acquisition, including our NEPSI Acquisition completed in October 2020, and Neeltran, Inc. acquisition completed in May 2021, and if we fail to realize these anticipated benefits, our operating performance could suffer.</w:t>
      </w:r>
    </w:p>
    <w:p>
      <w:pPr>
        <w:spacing w:after="0" w:line="184" w:lineRule="exact"/>
        <w:rPr>
          <w:sz w:val="20"/>
          <w:szCs w:val="20"/>
          <w:color w:val="auto"/>
        </w:rPr>
      </w:pPr>
    </w:p>
    <w:p>
      <w:pPr>
        <w:ind w:left="140" w:right="120"/>
        <w:spacing w:after="0" w:line="308" w:lineRule="auto"/>
        <w:rPr>
          <w:sz w:val="20"/>
          <w:szCs w:val="20"/>
          <w:color w:val="auto"/>
        </w:rPr>
      </w:pPr>
      <w:r>
        <w:rPr>
          <w:rFonts w:ascii="Arial" w:cs="Arial" w:eastAsia="Arial" w:hAnsi="Arial"/>
          <w:sz w:val="17"/>
          <w:szCs w:val="17"/>
          <w:b w:val="1"/>
          <w:bCs w:val="1"/>
          <w:i w:val="1"/>
          <w:iCs w:val="1"/>
          <w:color w:val="auto"/>
        </w:rPr>
        <w:t>We or third parties on whom we depend may be adversely affected by natural disasters, including events resulting from climate change, and our business continuity and disaster recovery plans may not adequately protect us or our value chain from such events</w:t>
      </w:r>
      <w:r>
        <w:rPr>
          <w:rFonts w:ascii="Arial" w:cs="Arial" w:eastAsia="Arial" w:hAnsi="Arial"/>
          <w:sz w:val="17"/>
          <w:szCs w:val="17"/>
          <w:color w:val="auto"/>
        </w:rPr>
        <w:t>.</w:t>
      </w:r>
    </w:p>
    <w:p>
      <w:pPr>
        <w:spacing w:after="0" w:line="14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Natural disasters (including, but not limited to tornadoes, earthquakes, fires, storms, floods, droughts and extreme temperatures) and chronic changes in the physical environment could severely disrupt our operations and have a material adverse effect on our business, results of operations, financial condition and prospects. Climate change may increase the frequency or intensity of such events. If a natural disaster, power outage, or other event, including human acts such as terrorism, occurred that prevented us from fully utilizing our value chain or facilities,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changes in climate change-related laws or regulations, including laws relating to greenhouse gas emissions, could lead to new or additional compliance requirements and expenditures, and subject us to additional operational costs and restrictions, including increased energy and raw material costs and other compliance requirements which could negatively impact our reputation, business, capital expenditures, results of operations and financial position.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Markets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changes in domestic and global economic conditions could adversely affect our operating results.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become increasingly subject to the risks arising from adverse changes in domestic and global economic conditions, including as a result of political instability in the United States. In recent years, financial markets have been volatile and the state of both the domestic and global economies has been uncertain. Political instability in the United States, such as the failure to increase the federal debt ceiling, could lead to further financial market volatility and harm the economy. Adverse credit conditions in the future could have a negative impact on our ability to execute on future strategic activities. In addition, if credit is difficult to obtain in the future, some customers may delay or reduce purchases. Similarly, inflationary pressures have increased and may increase our costs or force us to increase prices for our products. In particular, in fiscal 2021 and 2022, we experienced substantial inflationary pressure in our supply chain. These events have resulted or could in the future result in higher product costs, reductions in sales of our products, longer sales cycles, slower adoption of new technologies, increased accounts receivable and inventory write-offs and increased price competition. We also purchase large amounts of commodity-based raw materials. Prevailing prices for such commodities are subject to fluctuations due to changes in supply and demand and a variety of additional factors beyond our control, such as global political and economic conditions. Any of these events would likely harm our business, results of operations and financial condition.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international operations are subject to risks that we do not face in the United States, which could have an adverse effect on our operating results.</w:t>
      </w:r>
    </w:p>
    <w:p>
      <w:pPr>
        <w:spacing w:after="0" w:line="26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recent years, a substantial amount of our consolidated revenues were recognized from customers outside of the United States. For example, 45% of our revenues in fiscal 2022 and 38% of our revenues in fiscal 2021 were recognized from sales outside the United States. We also manufacture certain of our products and purchase a portion of our raw materials and components from suppliers in other foreign countries. The ongoing war between Ukraine and Russia has caused increased raw material costs and material shortages and, as a result, adversely impacted certain of our suppliers. Our international operations are subject to a variety of risks that we do not face in the United States, including:</w:t>
      </w:r>
    </w:p>
    <w:p>
      <w:pPr>
        <w:spacing w:after="0" w:line="176"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13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7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pandemics, political unrest, war or acts of terrorism.</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Trade tensions between the U.S. and China, the U.S. and Russia, as well as those between the U.S. and Canada, Mexico and other countries have been escalating in recent years. For example, in March 2022, the U.S. and other countries imposed broad-based sanction programs against Russia, Belarus, the Crimea Region of Ukraine, the so-called Donetsk People's Republic and the so-called Luhansk People's Republic.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cannot predict whether the United States or any other country will impose new quotas, tariffs, taxes or other trade barriers upon the importation or exportation of our products or gauge the effect that new barriers would have on our financial position or results of operations. These new tariffs or any additional tariffs or other trade barriers may cause our costs to increase, our products to be less competitive, and our business, results of operations and financial position to be materially adversely affected.</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increasing losses.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products face competition, which could limit our ability to acquire or retain customers.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markets for our products are competitive and many of our competitors have substantially greater financial resources and research and development, manufacturing and marketing capabilities than we do. In addition, as our target markets develop, other large industrial companies may enter these fields and compete with us.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from other companies offering FACTS systems similar to our D-VAR products. These include adaptive VAR compensators, Dynamic voltage restorers (“DVRs”), and STATCOMs produced by ABB, Siemens, Mitsubishi, RXHK, NR Electric Co,. and Ingeteam, and battery-based uninterruptible power supply (“UPS”) systems offered by various companies around the world.</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from other companies offering medium-voltage metal-enclosed power capacitor banks and harmonic filter banks for use on electric power systems similar to our NEPSI products. These include Controllix PowerSide, Elgin Power Solutions (formally Gilbert), Scott Engineering and QVARx.</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face competition from other companies offering DC power supply systems similar to our Neeltran products. These include Scr Controlled Rectifiers, IGBT controlled choppers produced by ABB, Siemens, Friem Dynapower, and Nidec offering systems around the world.</w:t>
      </w:r>
    </w:p>
    <w:p>
      <w:pPr>
        <w:spacing w:after="0" w:line="14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w:t>
      </w:r>
    </w:p>
    <w:p>
      <w:pPr>
        <w:sectPr>
          <w:pgSz w:w="11900" w:h="16942" w:orient="portrait"/>
          <w:cols w:equalWidth="0" w:num="1">
            <w:col w:w="11240"/>
          </w:cols>
          <w:pgMar w:left="320" w:top="580" w:right="339" w:bottom="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transformers.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L3 Harris, Raytheon, and Ultra have the bulk of the copper-based business today.</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8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With respect to our Wind business, other companies that serve the wind turbine components industry include ABB, Hopewind, and Semikron. We also face indirect competition in the wind energy market from global manufacturers of wind turbines, such as Siemens Gamesa, General Electric, Vestas and Suzlon. We face competition for the supply of wind turbine engineering design services from design engineering firms such as Aerovide and W2E.</w:t>
      </w:r>
    </w:p>
    <w:p>
      <w:pPr>
        <w:spacing w:after="0" w:line="14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competition in these markets could adversely affect our operating results by reducing the volume of the products we sell or the prices we can charge. These competitors may be able to respond more rapidly than us to new or emerging technologies or changes in customer requirements. They may also devote greater resources to the development, promotion and sale of their products than we do. Our success depends significantly upon our ability to enhance our products and technologies and to develop and introduce, on a timely and cost-effective basis, new products and features that meet changing customer requirements and incorporate technological enhancements. If we are unable to develop new products and enhance functionalities or technologies to adapt to these changes, our business will suffer. We can provide no assurance that we will continue to effectively compete against our current competitors or additional companies that may enter our markets.</w:t>
      </w:r>
    </w:p>
    <w:p>
      <w:pPr>
        <w:spacing w:after="0" w:line="17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w:t>
      </w:r>
    </w:p>
    <w:p>
      <w:pPr>
        <w:spacing w:after="0" w:line="18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operations in India. Our financial performance depends upon our ability to carry on our operations and sell our products in markets such as India, as well as other emerging markets around the world.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public health emergencies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financial performance could be affected by the political and social environment in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 including events in and related to Afghanistan and Iraq.</w:t>
      </w:r>
    </w:p>
    <w:p>
      <w:pPr>
        <w:spacing w:after="0" w:line="18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Operations in foreign countries also expose us to risks relating to difficulties in enforcing our proprietary rights, currency fluctuations and adverse or deteriorating economic conditions. For example, the ongoing war between Ukraine and Russia has caused increased raw material costs and material shortages for, and, adversely impacted, certain of our suppliers.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success depends upon the commercial adoption of the REG system, which is currently limited, and a widespread commercial market for our products may not develop.</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date, there has been no widespread commercial use of the REG system. It is uncertain whether a robust commercial market for those new and unproven products will ever develop.</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we believe in-grid demonstrations of REG systems are necessary to convince utilities and power grid operators of the benefits of this technology. Even if a project is funded, completion of projects can be delayed as a result of other factors. It is possible that the market demands we currently anticipate for our REG system will not develop and that they will never achieve widespread commercial acceptance. In such event, we would not be able to implement our strategy, and our results of operations could be reduced or eliminated. Even if a commercial market for our REG systems were to develop, commercial terms requested by utilities and power grid operators relating to bonding requirements, limitations of liability, warranty periods, or other contractual provisions, may not be acceptable to us, which could impede our ability to enter into contractual arrangements for the sale of our REG system.</w:t>
      </w: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ind w:left="320"/>
        <w:spacing w:after="0"/>
        <w:rPr>
          <w:sz w:val="20"/>
          <w:szCs w:val="20"/>
          <w:color w:val="auto"/>
        </w:rPr>
      </w:pPr>
      <w:r>
        <w:rPr>
          <w:rFonts w:ascii="Arial" w:cs="Arial" w:eastAsia="Arial" w:hAnsi="Arial"/>
          <w:sz w:val="18"/>
          <w:szCs w:val="18"/>
          <w:b w:val="1"/>
          <w:bCs w:val="1"/>
          <w:i w:val="1"/>
          <w:iCs w:val="1"/>
          <w:color w:val="auto"/>
        </w:rPr>
        <w:t>Industry consolidation could result in more powerful competitors and fewer customers.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Competitors in the industries in which we operate are consolidating. If our competitors consolidate, they likely will increase their market share, gain economies of scale that enhance their ability to compete with us and/or acquire additional products and technologies that could displace our product offerings. Our customer base also is undergoing consolidation. Consolidation within our customers’ industries could affect our customers and their relationships with us. If one of our competitors’ customers acquires any of our customers, we may lose that business. Additionally, if our customers become larger and more concentrated, they could exert pricing pressure on all suppliers, including us. If we were to lose market share or customers or face pricing pressure due to consolidation of our customers, our results of operations and financial condition could be adversely affected.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and inaction could harm our reputation and adversely impact our financial results.</w:t>
      </w:r>
    </w:p>
    <w:p>
      <w:pPr>
        <w:spacing w:after="0" w:line="17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There has been increasing public focus by investors, customers, environmental activists, the media and governmental and nongovernmental organizations on a variety of environmental, social and other sustainability matters. If we are not effective in addressing environmental, social and other sustainability matters affecting our business, or setting and meeting relevant sustainability goals, our reputation and financial results may suffer. We may experience increased costs in order to execute upon any sustainability goals and measure achievement of those goals, which could have an adverse impact on our business and financial condition. While we may at times engage in voluntary initiatives (such as voluntary disclosures, certifications, or goals, among others) to improve our ESG profile,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 Certain market participants, including major institutional investors and capital providers, use third-party benchmarks and scores to assess companies’ ESG profiles in making investment or voting decisions. We have limited and in some instances no visibility or control over these scores or their underlying methodologies. Unfavorable ESG ratings could lead to increased negative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or customers, which may adversely impact our operations.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8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Growth of the wind energy market depends largely on the availability and size of government subsidies, economic incentives and legislative programs designed to support the growth of wind energy.</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In the United States, various legislation and regulations designed to support the growth of wind energy have been implemented or proposed by the federal government, such as the Production Tax Credit for Renewable Energy (“PTC”) and the Clean Power Plan. Governments, including the U.S. government, may decide to reduce or eliminate these economic incentives, or curtail legislative programs supportive of wind energy technologies for political, financial or other reasons. Any reductions in, or eliminations of, government subsidies, economic incentives or favorable legislative programs before the wind energy industry reaches a sufficient scale to be cost-effective in a non-subsidized marketplace could reduce demand for our products and adversely affect our business prospects and results of operations.</w:t>
      </w:r>
    </w:p>
    <w:p>
      <w:pPr>
        <w:spacing w:after="0" w:line="1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Lower prices for other fuel sources may reduce the demand for wind energy development, which could have a material adverse effect on our ability to grow our Wind business.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wind energy market is affected by the price and availability of other fuels, including nuclear, coal, natural gas and oil, as well as other sources of renewable energy. To the extent renewable energy, particularly wind energy, becomes less cost-competitive due to reduced government targets, increases in the cost of wind energy, as a result of new regulations, and incentives that favor alternative renewable energy, cheaper alternatives or otherwise, demand for wind energy and other forms of renewable energy could decrease. Slow growth or a long-term reduction in the demand for renewable energy could have a material adverse effect on our ability to grow our Wind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patents may not provide meaningful protection for our technology, which could result in us losing some or all of our market position.</w:t>
      </w:r>
    </w:p>
    <w:p>
      <w:pPr>
        <w:spacing w:after="0" w:line="24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124"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15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confidentiality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ectPr>
          <w:pgSz w:w="11900" w:h="16838" w:orient="portrait"/>
          <w:cols w:equalWidth="0" w:num="1">
            <w:col w:w="11240"/>
          </w:cols>
          <w:pgMar w:left="320" w:top="584" w:right="339" w:bottom="27" w:gutter="0" w:footer="0" w:header="0"/>
        </w:sectPr>
      </w:pPr>
    </w:p>
    <w:bookmarkStart w:id="27" w:name="page28"/>
    <w:bookmarkEnd w:id="27"/>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14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6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17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Our common stock has experienced, and may continue to experience, market price and volume fluctuations, which may prevent our stockholders from selling our common stock at a profit and could lead to costly litigation against us that could divert our management’s attention.</w:t>
      </w:r>
    </w:p>
    <w:p>
      <w:pPr>
        <w:spacing w:after="0" w:line="12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market price of our common stock has historically experienced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may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broad market fluctuations have and could continue to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litigation costs, a damages award against us and the further diversion of our management’s attention.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Unfavorable results of legal proceedings could have a material adverse effect on our business, operating results and financial condition.</w:t>
      </w:r>
    </w:p>
    <w:p>
      <w:pPr>
        <w:spacing w:after="0" w:line="23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we may become subject to legal proceedings and claims that arise in or outside the ordinary course of business. Results of legal proceedings cannot be predicted with certainty.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legal proceedings could have a material adverse effect on our business, operating results or financial condition. Regardless of merit, legal proceedings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7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corporate headquarters and Grid manufacturing operations are located in a leased 88,000-square-foot facility in Ayer, Massachusetts. Additionally, we have Grid manufacturing operations located in a leased 77,500 square-foot facility in Westminster, Massachusetts as well as an owned 35,000 square-foot facility in Queensbury, New York and an owned 85,000 square-foot facility in New Milford, Connecticut.</w:t>
      </w:r>
    </w:p>
    <w:p>
      <w:pPr>
        <w:spacing w:after="0" w:line="1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also occupy leased facilities located in Australia, Austria, India, Wisconsin, Washington and the United Kingdom with a combined total of approximately 72,000 square feet of space. These leases have varying expiration dates through November 2027 which can generally be terminated at our request after a six-month advance notice. These locations focus primarily on research and development, sales and/or field service and do not have significant leases or physical presence. We believe all of these facilities are well-maintained and suitable for their intended uses.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regarding our significant properties, as of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4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Supporting</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Square footage</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Owned/Leased</w:t>
            </w:r>
          </w:p>
        </w:tc>
      </w:tr>
      <w:tr>
        <w:trPr>
          <w:trHeight w:val="209"/>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Ayer, Massachusetts</w:t>
            </w:r>
          </w:p>
        </w:tc>
        <w:tc>
          <w:tcPr>
            <w:tcW w:w="3860" w:type="dxa"/>
            <w:vAlign w:val="bottom"/>
          </w:tcPr>
          <w:p>
            <w:pPr>
              <w:ind w:left="300"/>
              <w:spacing w:after="0"/>
              <w:rPr>
                <w:sz w:val="20"/>
                <w:szCs w:val="20"/>
                <w:color w:val="auto"/>
              </w:rPr>
            </w:pPr>
            <w:r>
              <w:rPr>
                <w:rFonts w:ascii="Arial" w:cs="Arial" w:eastAsia="Arial" w:hAnsi="Arial"/>
                <w:sz w:val="18"/>
                <w:szCs w:val="18"/>
                <w:color w:val="auto"/>
              </w:rPr>
              <w:t>Corporate &amp; Grid Segment</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88,000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Westminster, Massachusetts</w:t>
            </w: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Grid Segment</w:t>
            </w:r>
          </w:p>
        </w:tc>
        <w:tc>
          <w:tcPr>
            <w:tcW w:w="15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77,500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Queensbury, New York</w:t>
            </w:r>
          </w:p>
        </w:tc>
        <w:tc>
          <w:tcPr>
            <w:tcW w:w="3860" w:type="dxa"/>
            <w:vAlign w:val="bottom"/>
          </w:tcPr>
          <w:p>
            <w:pPr>
              <w:ind w:left="300"/>
              <w:spacing w:after="0"/>
              <w:rPr>
                <w:sz w:val="20"/>
                <w:szCs w:val="20"/>
                <w:color w:val="auto"/>
              </w:rPr>
            </w:pPr>
            <w:r>
              <w:rPr>
                <w:rFonts w:ascii="Arial" w:cs="Arial" w:eastAsia="Arial" w:hAnsi="Arial"/>
                <w:sz w:val="18"/>
                <w:szCs w:val="18"/>
                <w:color w:val="auto"/>
              </w:rPr>
              <w:t>Grid Segment</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Milford, Connecticut</w:t>
            </w: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Grid Segment</w:t>
            </w:r>
          </w:p>
        </w:tc>
        <w:tc>
          <w:tcPr>
            <w:tcW w:w="15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85,000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432"/>
        </w:trPr>
        <w:tc>
          <w:tcPr>
            <w:tcW w:w="12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LEGAL PROCEEDINGS</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460" w:hanging="1457"/>
        <w:spacing w:after="0" w:line="277" w:lineRule="auto"/>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has been listed on the Nasdaq Global Select Market under the symbol “AMSC” since 1991.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holders of record of our common stock on May 29, 2023 was 175.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graph compares the cumulative total stockholder return on our common stock from March 31, 2018 to March 31, 2023 with the cumulative total return of (i) the Nasdaq Composite Index and (ii) the Nasdaq Electrical Components &amp; Equipment Index.</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graph assumes the investment of $100.00 on March 31, 2018 in our common stock, the Nasdaq Composite Index and the Nasdaq Electrical Components &amp; Equipment Index, and assumes any dividends are reinvested. Measurement points are March 31, 2018; March 31, 2019; March 31, 2020; March 31, 2021; March 31, 2022; and March 31, 2023.</w:t>
      </w:r>
    </w:p>
    <w:p>
      <w:pPr>
        <w:spacing w:after="0" w:line="396" w:lineRule="exact"/>
        <w:rPr>
          <w:sz w:val="20"/>
          <w:szCs w:val="20"/>
          <w:color w:val="auto"/>
        </w:rPr>
      </w:pPr>
    </w:p>
    <w:p>
      <w:pPr>
        <w:jc w:val="center"/>
        <w:ind w:left="440" w:right="2140"/>
        <w:spacing w:after="0" w:line="266" w:lineRule="auto"/>
        <w:rPr>
          <w:sz w:val="20"/>
          <w:szCs w:val="20"/>
          <w:color w:val="auto"/>
        </w:rPr>
      </w:pPr>
      <w:r>
        <w:rPr>
          <w:rFonts w:ascii="Arial" w:cs="Arial" w:eastAsia="Arial" w:hAnsi="Arial"/>
          <w:sz w:val="18"/>
          <w:szCs w:val="18"/>
          <w:b w:val="1"/>
          <w:bCs w:val="1"/>
          <w:color w:val="auto"/>
        </w:rPr>
        <w:t>COMPARISON OF 5 YEAR CUMULATIVE TOTAL RETURN Among American Superconductor Corporation, the Nasdaq Composite Index and the Nasdaq Electrical Components &amp;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-13335</wp:posOffset>
            </wp:positionV>
            <wp:extent cx="6360795" cy="3282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6079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w w:val="95"/>
              </w:rPr>
              <w:t>Fiscal year ended March 31,</w:t>
            </w: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b w:val="1"/>
                <w:bCs w:val="1"/>
                <w:color w:val="auto"/>
                <w:w w:val="99"/>
              </w:rPr>
              <w:t>Company/Index</w:t>
            </w:r>
          </w:p>
        </w:tc>
        <w:tc>
          <w:tcPr>
            <w:tcW w:w="386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2023</w:t>
            </w:r>
          </w:p>
        </w:tc>
      </w:tr>
      <w:tr>
        <w:trPr>
          <w:trHeight w:val="195"/>
        </w:trPr>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rPr>
              <w:t>American Superconductor Corporation</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100.00</w:t>
            </w:r>
          </w:p>
        </w:tc>
        <w:tc>
          <w:tcPr>
            <w:tcW w:w="32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220.96</w:t>
            </w:r>
          </w:p>
        </w:tc>
        <w:tc>
          <w:tcPr>
            <w:tcW w:w="30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94.16</w:t>
            </w:r>
          </w:p>
        </w:tc>
        <w:tc>
          <w:tcPr>
            <w:tcW w:w="32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325.77</w:t>
            </w:r>
          </w:p>
        </w:tc>
        <w:tc>
          <w:tcPr>
            <w:tcW w:w="32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130.76</w:t>
            </w:r>
          </w:p>
        </w:tc>
        <w:tc>
          <w:tcPr>
            <w:tcW w:w="32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84.36</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Nasdaq Composite Index</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111.71</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116.65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198.48</w:t>
            </w:r>
          </w:p>
        </w:tc>
        <w:tc>
          <w:tcPr>
            <w:tcW w:w="740" w:type="dxa"/>
            <w:vAlign w:val="bottom"/>
          </w:tcPr>
          <w:p>
            <w:pPr>
              <w:jc w:val="right"/>
              <w:spacing w:after="0"/>
              <w:rPr>
                <w:sz w:val="20"/>
                <w:szCs w:val="20"/>
                <w:color w:val="auto"/>
              </w:rPr>
            </w:pPr>
            <w:r>
              <w:rPr>
                <w:rFonts w:ascii="Arial" w:cs="Arial" w:eastAsia="Arial" w:hAnsi="Arial"/>
                <w:sz w:val="18"/>
                <w:szCs w:val="18"/>
                <w:color w:val="auto"/>
              </w:rPr>
              <w:t>191.21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176.12</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Nasdaq Electrical Components &amp; Equipment Index</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107.33</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82.52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155.74</w:t>
            </w:r>
          </w:p>
        </w:tc>
        <w:tc>
          <w:tcPr>
            <w:tcW w:w="740" w:type="dxa"/>
            <w:vAlign w:val="bottom"/>
          </w:tcPr>
          <w:p>
            <w:pPr>
              <w:jc w:val="right"/>
              <w:spacing w:after="0"/>
              <w:rPr>
                <w:sz w:val="20"/>
                <w:szCs w:val="20"/>
                <w:color w:val="auto"/>
              </w:rPr>
            </w:pPr>
            <w:r>
              <w:rPr>
                <w:rFonts w:ascii="Arial" w:cs="Arial" w:eastAsia="Arial" w:hAnsi="Arial"/>
                <w:sz w:val="18"/>
                <w:szCs w:val="18"/>
                <w:color w:val="auto"/>
              </w:rPr>
              <w:t>139.45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156.80</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8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RESERVED</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48"/>
        </w:trPr>
        <w:tc>
          <w:tcPr>
            <w:tcW w:w="1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2" w:name="page33"/>
    <w:bookmarkEnd w:id="32"/>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9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84" w:lineRule="exact"/>
        <w:rPr>
          <w:sz w:val="20"/>
          <w:szCs w:val="20"/>
          <w:color w:val="auto"/>
        </w:rPr>
      </w:pPr>
    </w:p>
    <w:p>
      <w:pPr>
        <w:jc w:val="both"/>
        <w:ind w:left="520" w:hanging="217"/>
        <w:spacing w:after="0" w:line="296"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our Gridtec™ Solutions, our Grid business segment enables electric utilities and renewable energy project developers to connect,</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66" w:lineRule="exact"/>
        <w:rPr>
          <w:rFonts w:ascii="Arial" w:cs="Arial" w:eastAsia="Arial" w:hAnsi="Arial"/>
          <w:sz w:val="16"/>
          <w:szCs w:val="16"/>
          <w:color w:val="auto"/>
        </w:rPr>
      </w:pPr>
    </w:p>
    <w:p>
      <w:pPr>
        <w:jc w:val="both"/>
        <w:ind w:left="520" w:hanging="220"/>
        <w:spacing w:after="0" w:line="25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our Windtec™ Solutions, our Wind business segment enables manufacturers to field wind turbines with exceptional power output,</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p>
      <w:pPr>
        <w:spacing w:after="0" w:line="93"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2022 refers to the fiscal year beginning on April 1, 2022. Other fiscal years follow similarly.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486"/>
        <w:spacing w:after="0" w:line="269"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resilient electric grid ("REG") system within ComEd’s electric grid in Chicago, Illinois (the “Project”), which became effective on June 20, 2019. Under the terms of the Subcontract Agreement, we agreed, among other things, to provide the REG system and to supervise ComEd’s installation of the REG system in Chicago. As part of our separate cost sharing arrangement with DHS under the Prime Contract, we received funding provided by DHS in connection with the Subcontract Agreement of approximately $10.0 million, which represents the total amount of revenue we recognized over the term of the Subcontract Agreement and includes $1.0 million that we agreed to reimburse ComEd for costs incurred by ComEd while undertaking its tasks under the Subcontract Agreement (the “Reimbursement Amount”). In addition, we were required to deliver an irrevocable letter of credit in the amount of $5.0 million to secure certain Company obligations under the Subcontract Agreement, which we did, and deposited $5.0 million in an escrow account as collateral to secure such letter of credit. This irrevocable letter of credit was terminated and the full $5.0 million was returned from escrow to us during the fiscal year ended March 31, 2023.</w:t>
      </w:r>
    </w:p>
    <w:p>
      <w:pPr>
        <w:spacing w:after="0" w:line="18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experiencing substantial inflationary pressure in our supply chain and some delays in sourcing materials needed for our products, resulting in some production disruption both of which have increased our cost of revenues and decreased gross margin. Changes in macroeconomic and market conditions arising from the COVID-19 pandemic, or for other reasons, such as the ongoing war between Russia and Ukraine, inflation, rising interest rates, instability of financial institutions, political instability in the United States, including failure to raise the federal debt ceiling, labor force availability, sourcing, material delays and global supply chain disruptions could have a material adverse effect on our business, financial condition and results of operation.</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time-to-time we may undertake restructuring activities in order to align our global organization in a manner that we believe will better position us to achieve our long-term goals. In January 2023, we undertook a reduction in force that involved approximately 5% of our global workforce. This restructuring will cause us to incur $1.0 million of cash expense and is expected to result in annualized cost savings of approximately $5 million, beginning in fiscal 2023.</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have accordingly recognized a receivable in prepaid expenses and other current assets and a benefit to cost of revenues and operating expenses in the quarter ended March 31, 2023.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2023 and March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Total revenues decreased by 2% to $106.0 million in fiscal 2022 from $108.4 million in fiscal 2021. Our revenues are summarized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Fiscal Years Ended March 31,</w:t>
            </w: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Grid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94,631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98,876</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Wind</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105,984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108,435</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Revenues in our Grid business unit are derived from our D-VAR product sales, NEPSI product sales, Neeltran product sales, HTS wire sales, ship protection systems ("SPS"), government-sponsored electric utility projects and other prototype development contracts. We also engineer, install and commission our products on a turnkey-basis for some customers. The Grid business unit accounted for 89% of total revenues in fiscal 2022 and 91% in fiscal 2021. Grid revenues decreased 4% to $94.6 million in fiscal 2022 from $98.9 million in fiscal 2021. The decrease in revenues was driven by lower D-VAR revenues than in the prior year period.</w:t>
      </w:r>
    </w:p>
    <w:p>
      <w:pPr>
        <w:spacing w:after="0" w:line="1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Revenues in our Wind business unit are derived from wind turbine electrical control systems and core components, wind turbine license and development contracts, service contracts and consulting arrangements. Our Wind business unit accounted for 11% of total revenues in fiscal 2022 and 9% in fiscal 2021. Revenues in the Wind business unit increased 19% to $11.4 million in fiscal 2022 from $9.6 million in fiscal 2021. The increase over the prior year period was primarily driven by shipments of electrical control systems ("ECS") to INOX in fiscal 2022, compared to fiscal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Cost of revenues increased by 3% to $97.5 million in fiscal 2022, compared to $94.9 million in fiscal 2021. Gross margin decreased to 8% in fiscal 2022 from 12% in fiscal 2021. The decrease in gross margin in fiscal 2022 was due to an unfavorable product mix, inflation pressure in our supply chain, and additional expenses incurred to complete and deliver certain projects from the preacquisition Neeltran backlog. Included in cost of revenues is a $1.8 million benefit from the ERC recognized in fiscal 2022. Cost of revenues in fiscal 2022 and fiscal 2021 includes total amortization expense of less than $0.1 million as a result of the acquired backlog intangible assets from our acquisitions of Northeast Power Systems, Inc. and related assets ("NEPSI") and Neeltran, Inc. and related assets ("Neeltran").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(“R&amp;D”) expenses decreased by 14% to $9.0 million, or 8% of revenue in fiscal 2022, compared to $10.5 million, or 10% of revenue, in fiscal 2021. Included in R&amp;D is a $0.7 million benefit from the ERC recognized in fiscal 2022. The decrease in R&amp;D expenses is primarily a result of lower total compensation expense.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Selling, general and administrative (“SG&amp;A”) expenses increased by 4% to $28.7 million, or 27% of revenue in fiscal 2022 from $27.5 million, or 25% of revenue, in fiscal 2021. Included in SG&amp;A is a $0.8 million benefit from the ERC recognized in fiscal 2022.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recorded $2.7 million in fiscal 2022 and $2.5 million in fiscal 2021 in amortization expense related to our core technology and know-how, customer relationships, and other intangible assets. The increase in amortization expense is primarily a result of the Neeltran acquisition.</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change in fair value of our contingent consideration for the earnout payment on the NEPSI acquisition resulted in a loss of $ 0.1 million in fiscal 2022. The change in the fair value of our contingent consideration for the earnout payment on the NEPSI acquisition resulted in a gain of $5.9 million in fiscal 2021. The change in the fair value was primarily driven by the change in our stock price and assumptions on likelihood of achieving revenue targets.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recorded restructuring charges of $1.0 million in fiscal 2022 for severance pay as a result of the reduction in force announced on January 24, 2023. There were no restructuring charges recorded in fiscal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Operating loss</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ind w:left="500"/>
              <w:spacing w:after="0"/>
              <w:rPr>
                <w:sz w:val="20"/>
                <w:szCs w:val="20"/>
                <w:color w:val="auto"/>
              </w:rPr>
            </w:pPr>
            <w:r>
              <w:rPr>
                <w:rFonts w:ascii="Arial" w:cs="Arial" w:eastAsia="Arial" w:hAnsi="Arial"/>
                <w:sz w:val="18"/>
                <w:szCs w:val="18"/>
                <w:color w:val="auto"/>
              </w:rPr>
              <w:t>Our operating loss is summarized as follows (in thousands):</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6"/>
              </w:rPr>
              <w:t>Fiscal Years Ended March 31,</w:t>
            </w:r>
          </w:p>
        </w:tc>
      </w:tr>
      <w:tr>
        <w:trPr>
          <w:trHeight w:val="210"/>
        </w:trPr>
        <w:tc>
          <w:tcPr>
            <w:tcW w:w="6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Grid</w:t>
            </w:r>
          </w:p>
        </w:tc>
        <w:tc>
          <w:tcPr>
            <w:tcW w:w="1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(24,615)</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(20,725)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r>
      <w:tr>
        <w:trPr>
          <w:trHeight w:val="249"/>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Grid segment generated an operating loss of $24.6 million in fiscal 2022 and $20.7 million in fiscal 2021. The increase in the Grid business unit operating loss was due to lower gross margins driven by a less favorable product mix and additional expenses incurred to deliver on the Neeltran acquired backlog. In addition, Grid segment operating loss includes a $3.3 million benefit from the ERC that was recognized in fiscal 2022.</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Wind segment generated an operating loss of $2.5 million in fiscal 2022 and $1.6 million in fiscal 2021. The increase in the Wind business unit operating loss was due to lower gross margins in fiscal 2022, compared to fiscal 2021.</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Unallocated corporate expenses in fiscal 2022 consisted of a loss on contingent consideration of $0.1 million, stock-based compensation expense of $4.7 million and a restructuring charge of $1.0 million. Unallocated corporate expenses in fiscal 2021 consisted of a gain on contingent consideration of $5.9 million offset by stock-based compensation expense of $4.7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net was $0.3 million in fiscal 2022 compared to $0.1 million for fiscal 2021. The increase in interest income, net, was due to increased interest rates in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dissolution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China dissolution expense was $1.9 million in fiscal 2022 compared to no activity in fiscal 2021. The China dissolution expense during fiscal 2022, was driven by the liquidation of our China entity, resulting in a foreign currency loss from the cumulative translation release of $1.9 million in fiscal 2022 in which there was no similar transaction in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expense, net was $0.1 million in fiscal 2022, compared to other expense, net of less than $0.1 million in fiscal 2021. The increase in other expense was driven by the impacts of fluctuations in foreign currencies in fiscal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recorded an income tax expense of $0.2 million in fiscal 2022 compared to income tax benefit of $1.8 million in fiscal 2021. The increase in income tax expense is a result of purchase accounting for the acquired intangible assets and the resulting deferred tax liability from the NEPSI Acquisition in the prior year. The Company recorded a deferred tax liability of $2.3 million, primarily for the difference in book and tax basis on the intangible assets acquired in fiscal 2021. As a result, the Company was able to benefit from additional deferred tax assets and therefore released a corresponding valuation allowance of $2.3 million during the fiscal year ended March 31, 2022. The tax benefit was offset during fiscal 2021 by income tax expense in foreign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loss was $35.0 million in fiscal 2022, compared to net loss of $19.2 million in fiscal 2021. The increase in net loss was driven primarily by lower gross margins, the impact of the China dissolution in fiscal 2022 and partially offset by the ERC benefit.</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the “Risk Factors” section in Part I, Item 1A, for a discussion of certain factors that may affect our future results of operations and financial condition.</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generally accepted accounting principles in the United States (“GAAP”). The non-GAAP measures included in this Form 10-K, however, should be considered in addition to, and not as a substitute for or superior to the comparable measure prepared in accordance with GAAP.</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define non-GAAP net loss as net loss before stock-based compensation, amortization of acquisition-related intangibles, acquisition costs, changes in fair value of contingent consideration, China dissolution, ERC tax benefit,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Year ended March 31,</w:t>
            </w:r>
          </w:p>
        </w:tc>
      </w:tr>
      <w:tr>
        <w:trPr>
          <w:trHeight w:val="210"/>
        </w:trPr>
        <w:tc>
          <w:tcPr>
            <w:tcW w:w="6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Acquisition costs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China dissolution</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ERC tax benefit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Non-GAAP net loss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(17,078)</w:t>
            </w:r>
          </w:p>
        </w:tc>
      </w:tr>
      <w:tr>
        <w:trPr>
          <w:trHeight w:val="20"/>
        </w:trPr>
        <w:tc>
          <w:tcPr>
            <w:tcW w:w="6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Non-GAAP net loss per share</w:t>
            </w:r>
          </w:p>
        </w:tc>
        <w:tc>
          <w:tcPr>
            <w:tcW w:w="2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r>
      <w:tr>
        <w:trPr>
          <w:trHeight w:val="20"/>
        </w:trPr>
        <w:tc>
          <w:tcPr>
            <w:tcW w:w="6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 and diluted</w:t>
            </w:r>
          </w:p>
        </w:tc>
        <w:tc>
          <w:tcPr>
            <w:tcW w:w="1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27,203</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We incurred non-GAAP net losses of $28.8 million or $1.03 per share for fiscal 2022, compared to $17.1 million, or $0.63 per share, for fiscal 2021. The increase in non-GAAP net loss in fiscal 2022 compared to fiscal 2021 was due to a higher operating loss driven by lower gross margins.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experienced recurring operating losses and as of March 31, 2023 had an accumulated deficit of $1,055.5 million.</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March 31, 2023, we had cash, cash equivalents and restricted cash of $25.7 million, compared to $49.5 million at March 31, 2022, a decrease of $23.8 million. As of March 31, 2023, we had approximately $1.9 million of cash, cash equivalents and restricted cash in foreign bank accounts. Our cash, cash equivalents and restricted cash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18"/>
                <w:szCs w:val="18"/>
                <w:color w:val="auto"/>
              </w:rPr>
            </w:pPr>
          </w:p>
        </w:tc>
      </w:tr>
      <w:tr>
        <w:trPr>
          <w:trHeight w:val="249"/>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Net cash used in operating activities was $22.5 million and $19.0 million in fiscal 2022 and 2021, respectively. The increase in net cash used in operations in fiscal 2022 compared to fiscal 2021 was driven primarily by purchases of inventory and decreased cash collections in fiscal 2022.</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was $1.5 million and $7.2 million in fiscal 2022 and 2021, respectively. The decrease in net cash used in investing activities in fiscal 2022 compared to fiscal 2021 was due primarily to the Neeltran acquisition in fiscal 2021, in which no similar transaction occurred in fiscal 2022.</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provided by financing activities was $0.2 million and $0.1 million in fiscal 2022 and 2021, respectively. The increase in net cash provided by financing activities in fiscal 2022 compared to fiscal 2021 was primarily due to the repurchase of treasury stock in fiscal 2021, in which no similar transaction occurred in fiscal 2022.</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At March 31, 2023, we had $0.6 million of restricted cash included in long-term assets and $1.7 million of restricted cash in short-term assets. At March 31, 2022, we had $6.1 million of restricted cash included in long-term assets and $2.8 million of restricted cash in short-term assets. These amounts included in restricted cash primarily represent collateral deposits to secure surety bonds and letters of credit for various customer contracts. These deposits are held in interest bearing accounts. The restricted cash held in escrow in long-term assets at the end of March 31, 2022 securing the letter of credit with Com Ed on the REG project was released back to us in the fourth quarter of fiscal 2022.</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March 31, 2023, while others are considered future commitments. We have various contractual arrangements, under which we have committed to purchase certain minimum quantities of goods or services on an annual basis. For information regarding our other contractual obligations, refer to Note 12, "Contingent Consideration," Note 14, "Debt," Note 15, "Leases" and Note 17, "Commitments and Contingencies" to our consolidated financial statements included elsewhere in this Annual Report on Form 10-K.</w:t>
      </w:r>
    </w:p>
    <w:p>
      <w:pPr>
        <w:spacing w:after="0" w:line="19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control our operating costs, and our ability to raise additional capital, if necessary. There can be no assurance that we will be able to raise additional capital on favorable terms or at all, or execute on any other means of improving our liquidity as described above. Additionally, the impact of the COVID-19 pandemic or other sources of instability, including the ongoing war between Russia and Ukraine,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727"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Following the release of ASU 2019-10 in November 2019, the new effective date, as long as we remain a smaller reporting company, would be annual reporting periods beginning after December 15, 2022. We evaluated the impact of the adoption of ASU 2016-13, and we do not expect it to have a material impact on our consolidated financial statements.</w:t>
      </w:r>
    </w:p>
    <w:p>
      <w:pPr>
        <w:spacing w:after="0" w:line="1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We evaluated the impact of the adoption of ASU 2021-08, and we do not expect it to have a material impact on our consolidated financial statements.</w:t>
      </w:r>
    </w:p>
    <w:p>
      <w:pPr>
        <w:spacing w:after="0" w:line="1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As of April 1, 2022, we adopted ASU 2021-10 and noted no material impact on our consolidated financial statements.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For certain arrangements, such as contracts to perform research and development, prototype development contracts and certain customized product sales, we record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In addition, some contracts contain an element of variable consideration, including liquidated damages and/or penalties, which requires payment to the customer in the event that delivery timelines or milestones are not met. We estimate the total consideration payable by the customer when the contracts contain variable consideration provisions, based on the most likely amount anticipated to be recognized for transferring the promised goods or services. As a result, we may constrain revenue to the extent that a significant reversal in the amount of cumulative revenue recognized will not occur when the uncertainty associated with the variable consideration is subsequently resolved.</w:t>
      </w:r>
    </w:p>
    <w:p>
      <w:pPr>
        <w:spacing w:after="0" w:line="16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Significant judgement is required to estimate the total expected costs and variable consideration for projects that typically have a timeline of 12-24 months. Any increase or decrease in estimated costs to complete a performance obligation without a corresponding change to the contract price could impact the calculation of cumulative revenue to date and gross profit on the project. Similar, if we recognize revenue based upon our current estimate of variable consideration, and our estimate is later adjusted, we may be required to increase or decrease cumulative revenue to date and gross profit on the project. Factors that may result in a change to our estimate include delays in manufacturing, unforeseen engineering problems, the performance of subcontractors and material suppliers, among others.</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a long history of working with multiple types of projects and preparing cost estimates, and we rely on the expertise of key personnel to prepare what we believe are reasonable best estimates given available facts and circumstances. Due to the nature of the work involved, however, judgment is involved to estimate the total costs to complete, and the amounts estimated could have a material impact on the revenue we recognize in each accounting period. We cannot estimate unforeseen events and circumstances which may result in actual results being materially different from previous estimates.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4, “Revenue Recognition,” for additional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We account for acquisitions using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purchase price for each acquisition is allocated to the assets acquired and liabilities assumed based on their estimated fair values at the date of acquisition. The excess purchase price over the estimated fair value of the net assets acquired is recorded as goodwill. Intangible assets, if identified, are also recorded.</w:t>
      </w:r>
    </w:p>
    <w:p>
      <w:pPr>
        <w:spacing w:after="0" w:line="14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Determining the fair value of certain assets and liabilities assumed is judgmental in nature and often involves the use of significant estimates and assumptions as well as the use of specialists as needed. The Company utilizes management estimates and an independent third-party valuation firm to assist in determining the fair values of assets acquired, including intangible assets and liabilities assumed. The primary intangible assets acquired include customer relationship and trade names. Intangible assets are initially valued using a methodology commensurate with the intended use of the asset. The fair value of customer relationships is measured using the multi-period excess earnings method (“MPEEM”). The fair value of the trade names is measured using a relief-from-royalty (“RFR”) approach. The basis for future sales projections for both the MPEEM and RFR are based on internal revenue forecasts which the Company believes represents reasonable market participant assumptions. The future cash flows are discounted using an applicable discount rate. The key uncertainties in the calculations, as applicable, are the selection of an appropriate royalty rate, assumptions used in developing estimates of future cash flows, including revenue growth and expense forecasts, assumed customer attrition rates, as well as perceived risks associated with those forecasts in determining the discount rate. There is inherent uncertainty in forecasted cash flows and therefore, actual results may differ and could result in a subsequent impairment charge of acquired intangibles and/or goodwill.</w:t>
      </w:r>
    </w:p>
    <w:p>
      <w:pPr>
        <w:spacing w:after="0" w:line="18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consideration for our acquisitions may include future payments that are contingent upon the occurrence of a particular event. We record a contingent consideration obligation for such contingent consideration payments at fair value on the acquisition date. We estimate the fair value of contingent consideration obligations through valuation models that incorporate probability adjusted assumptions related to the achievement of the milestones and the likelihood of making related payments.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 See Note 3, "Acquisitions," for additional information.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left="18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3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periodically evaluate our long-lived assets, consisting principally of fixed and amortizable intangible assets for potential impairment. We evaluate our long-lived assets whenever events or circumstances suggest that the carrying amount of an asset or group of assets may not be recoverable from the estimated undiscounted future cash flows.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judgments regarding the existence of impairment indicators are based on market and operational performance. Indicators of potential impairment include:</w:t>
      </w:r>
    </w:p>
    <w:p>
      <w:pPr>
        <w:spacing w:after="0" w:line="170"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group is used;</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 group;</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identification of other impaired assets within a reporting unit;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3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group; and</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evaluate recoverability of long-lived assets and definite-lived intangible assets by estimating the undiscounted future cash flows associated with the expected uses and disposition of those assets. When those comparisons indicate that the carrying value of those assets is greater than the undiscounted cash flows, we recognize an impairment loss for the amount that the carrying value exceeds the fair value. The Company has not made any material changes to the method of evaluating for impairment during the last three years. There were no indicators requiring further impairment testing on our long-lived assets during the fiscal years ended March 31, 2023 or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Goodwill represents the excess of cost over net assets of acquired businesses that are consolidated. We perform our annual assessment of goodwill on February 28th of each fiscal year and whenever events or changes in circumstances or a triggering event indicate that the carrying amount may not be recoverable. An entity is permitted to first assess qualitatively whether it is necessary to perform a goodwill impairment test. Significant judgment is required to determine if an indication of impairment has taken place. Factors to be considered include the following: adverse change in operating results, decline in strategic business plans, significantly lower future cash flows, and sustainable declines in market data such as market capitalization. The quantitative impairment test is required only if the entity concludes that it is more likely than not that a reporting unit’s fair value is less than its carrying amount. We determine the fair value of a reporting unit, using a methodology which combines an income approach, using a discounted cash flow method, with a market approach. The income approach includes estimates and assumptions about revenue growth rates, operating margins and terminal growth rates, discounted by an estimated weighted-average cost of capital derived from other publicly-traded companies that are similar but not identical from an operational and economic standpoint. These estimates are based on historical experiences, our projects of future operating activity and our weighted-average cost of capital. A significant change in events, circumstances or any of these assumptions could adversely affect these estimates, which could result in an impairment.</w:t>
      </w:r>
    </w:p>
    <w:p>
      <w:pPr>
        <w:spacing w:after="0" w:line="17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performed our annual assessment of goodwill on February 28, 2023 and noted no triggering events from the analysis date to March 31, 2023 and determined that there was no impairment to goodwill. See Note 5, “Goodwill,” for further information regarding our goodwill valuation assumptions.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 All deferred tax assets and liabilities are presented as non-current in the Consolidated Balance Sheet.</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15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See Note 13, “Income Taxes,” of our consolidated financial statements for further information regarding our income tax assumptions and expenses.</w:t>
      </w:r>
    </w:p>
    <w:p>
      <w:pPr>
        <w:spacing w:after="0" w:line="38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American Superconductor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audited the accompanying consolidated balance sheets of American Superconductor Corporation and its subsidiaries (the Company) as of March 31, 2023 and 2022, the related consolidated statements of operations, comprehensive income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March 31, 2023 and 2022, and the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March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in 2013, and our report dated May 31, 2023 expressed an unqualified opinion on the effectiveness of the Company's internal control over financial reporting.</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described in Notes 2 and 4 of the consolidated financial statements, a significant portion of the Company’s revenue is generated pursuant to nonstandard written contractual arrangements to design, develop, and/or manufacture products, and to provide related technical and other services according to the specifications of the customers. Because of the uniqueness of the terms and conditions in the customer contracts, there is significant analysis, and at times significant judgments, that are made by management when evaluating the contracts for proper revenue recognition. The Company’s performance obligations under these contractual agreements are satisfied over time. For performance obligations satisfied over time, revenue is generally recognized by measuring progress through costs incurred to date relative to total estimated costs at completion, which requires management to estimate both total expected project costs and expected gross margin, including evaluating customer change orders, to determine the appropriate amount of revenue to recognize, which can require significant management judgment.</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identified revenue recognition pertaining to customer contracts satisfied over time as a critical audit matter as there are significant judgments exercised by management in determining revenue recognition. Given the high degree of management judgment involved in analyzing the terms and conditions of the Company’s unique customer contracts and the various management estimates that are used in the revenue calculations, the audit effort required to evaluate management’s judgments in determining revenue recognition for the Company’s contracts was extensive and required a high degree of auditor judgment.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audit procedures related to revenue recognition included the following, among others:</w:t>
      </w:r>
    </w:p>
    <w:p>
      <w:pPr>
        <w:spacing w:after="0" w:line="225" w:lineRule="exact"/>
        <w:rPr>
          <w:sz w:val="20"/>
          <w:szCs w:val="20"/>
          <w:color w:val="auto"/>
        </w:rPr>
      </w:pPr>
    </w:p>
    <w:p>
      <w:pPr>
        <w:jc w:val="both"/>
        <w:ind w:left="1060" w:hanging="332"/>
        <w:spacing w:after="0" w:line="263"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revenue recognition and tested controls specific to management’s analysis of customer contract terms and application of relevant accounting guidance as well as determination of significant assumptions used in computing revenue for design and operating effectiveness,</w:t>
      </w:r>
    </w:p>
    <w:p>
      <w:pPr>
        <w:spacing w:after="0" w:line="183" w:lineRule="exact"/>
        <w:rPr>
          <w:rFonts w:ascii="Arial" w:cs="Arial" w:eastAsia="Arial" w:hAnsi="Arial"/>
          <w:sz w:val="18"/>
          <w:szCs w:val="18"/>
          <w:color w:val="auto"/>
        </w:rPr>
      </w:pPr>
    </w:p>
    <w:p>
      <w:pPr>
        <w:ind w:left="1060" w:hanging="332"/>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selected a sample of contracts with customers and related revenue transactions and performed the following audit procedures:</w:t>
      </w:r>
    </w:p>
    <w:p>
      <w:pPr>
        <w:spacing w:after="0" w:line="236" w:lineRule="exact"/>
        <w:rPr>
          <w:rFonts w:ascii="Arial" w:cs="Arial" w:eastAsia="Arial" w:hAnsi="Arial"/>
          <w:sz w:val="17"/>
          <w:szCs w:val="17"/>
          <w:color w:val="auto"/>
        </w:rPr>
      </w:pPr>
    </w:p>
    <w:p>
      <w:pPr>
        <w:ind w:left="1360" w:hanging="324"/>
        <w:spacing w:after="0" w:line="271" w:lineRule="auto"/>
        <w:rPr>
          <w:rFonts w:ascii="Arial" w:cs="Arial" w:eastAsia="Arial" w:hAnsi="Arial"/>
          <w:sz w:val="17"/>
          <w:szCs w:val="17"/>
          <w:color w:val="auto"/>
        </w:rPr>
      </w:pPr>
      <w:r>
        <w:rPr>
          <w:rFonts w:ascii="Arial" w:cs="Arial" w:eastAsia="Arial" w:hAnsi="Arial"/>
          <w:sz w:val="17"/>
          <w:szCs w:val="17"/>
          <w:color w:val="auto"/>
        </w:rPr>
        <w:t>o Obtained customer contract, related invoices, purchase orders, and management revenue recognition analysis for each testing selection, to evaluate if relevant contractual terms and transaction price were appropriately considered by management and conclusions on revenue recognition method were in accordance with the relevant accounting guidance; and</w:t>
      </w:r>
    </w:p>
    <w:p>
      <w:pPr>
        <w:ind w:left="1360" w:hanging="324"/>
        <w:spacing w:after="0" w:line="260" w:lineRule="auto"/>
        <w:rPr>
          <w:rFonts w:ascii="Arial" w:cs="Arial" w:eastAsia="Arial" w:hAnsi="Arial"/>
          <w:sz w:val="17"/>
          <w:szCs w:val="17"/>
          <w:color w:val="auto"/>
        </w:rPr>
      </w:pPr>
      <w:r>
        <w:rPr>
          <w:rFonts w:ascii="Arial" w:cs="Arial" w:eastAsia="Arial" w:hAnsi="Arial"/>
          <w:sz w:val="18"/>
          <w:szCs w:val="18"/>
          <w:color w:val="auto"/>
        </w:rPr>
        <w:t>o Evaluated management’s estimations of total contract cost and contract profit by assessing actual costs to date against projections made throughout the course of the contract term.</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Impairment</w:t>
      </w:r>
    </w:p>
    <w:p>
      <w:pPr>
        <w:sectPr>
          <w:pgSz w:w="11900" w:h="16838" w:orient="portrait"/>
          <w:cols w:equalWidth="0" w:num="1">
            <w:col w:w="11240"/>
          </w:cols>
          <w:pgMar w:left="320" w:top="580" w:right="339" w:bottom="0" w:gutter="0" w:footer="0" w:header="0"/>
        </w:sectPr>
      </w:pPr>
    </w:p>
    <w:bookmarkStart w:id="43" w:name="page44"/>
    <w:bookmarkEnd w:id="43"/>
    <w:p>
      <w:pPr>
        <w:jc w:val="both"/>
        <w:ind w:firstLine="486"/>
        <w:spacing w:after="0" w:line="293" w:lineRule="auto"/>
        <w:rPr>
          <w:sz w:val="20"/>
          <w:szCs w:val="20"/>
          <w:color w:val="auto"/>
        </w:rPr>
      </w:pPr>
      <w:r>
        <w:rPr>
          <w:rFonts w:ascii="Arial" w:cs="Arial" w:eastAsia="Arial" w:hAnsi="Arial"/>
          <w:sz w:val="16"/>
          <w:szCs w:val="16"/>
          <w:color w:val="auto"/>
        </w:rPr>
        <w:t>As described in Notes 2 and 5 to the consolidated financial statements, the Company’s goodwill balance was $43.5 million as of March 31, 2023. Management tests goodwill for impairment, at the reporting unit level, as of February 28 of each fiscal year, or more frequently if events or changes in circumstances indicate the asset might be impaired. To test goodwill for impairment, management compares the estimated fair value of each reporting unit with the carrying amount of each reporting unit, including the recorded goodwill. In estimating the fair value of each reporting unit, management uses a methodology which combines an income approach, using a discounted cash flows method, with a market approach, using a peer-based guideline company method based on the average of published multiples of earnings of comparable entities with similar operations and economic characteristics.</w:t>
      </w:r>
    </w:p>
    <w:p>
      <w:pPr>
        <w:spacing w:after="0" w:line="16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identified the goodwill impairment assessment for the Company’s reporting units with material goodwill as a critical audit matter because of the significant estimates and assumptions used by management when estimating the fair value of the these reporting units, including management’s forecasts of revenue and expense growth rates and management’s selection of the discount rates for the income approaches and management’s estimates of the multiples of earnings of comparable entities with similar operations and economic characteristics for the market approaches. Auditing management’s estimates and assumptions involved a high degree of auditor judgment and increased audit effort, including the use of our fair value specialists, due to the impact these assumptions have on the goodwill impairment assessment.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audit procedures related to the assessment of goodwill impairment included the following, among others:</w:t>
      </w:r>
    </w:p>
    <w:p>
      <w:pPr>
        <w:spacing w:after="0" w:line="225" w:lineRule="exact"/>
        <w:rPr>
          <w:sz w:val="20"/>
          <w:szCs w:val="20"/>
          <w:color w:val="auto"/>
        </w:rPr>
      </w:pPr>
    </w:p>
    <w:p>
      <w:pPr>
        <w:ind w:left="1060" w:right="20" w:hanging="332"/>
        <w:spacing w:after="0" w:line="271"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obtained an understanding of the relevant controls relating to management's goodwill impairment assessment and tested such controls for design and operating effectiveness, including controls over management's review of the significant assumptions used in the estimate of fair value, such as forecasted revenue growth rates, gross margin, and selected discount rates.</w:t>
      </w:r>
    </w:p>
    <w:p>
      <w:pPr>
        <w:ind w:left="1060" w:hanging="332"/>
        <w:spacing w:after="0" w:line="250"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revenue and expense growth rates, including comparing projections to historical results.</w:t>
      </w:r>
    </w:p>
    <w:p>
      <w:pPr>
        <w:ind w:left="1060" w:hanging="332"/>
        <w:spacing w:after="0" w:line="250"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the underlying data used by management in their development of forecasts of revenue and expense growth rates for accuracy and completeness.</w:t>
      </w:r>
    </w:p>
    <w:p>
      <w:pPr>
        <w:ind w:left="1060" w:hanging="332"/>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evaluated the reasonableness of management's selection of comparable entities with similar operations and economic characteristics.</w:t>
      </w:r>
    </w:p>
    <w:p>
      <w:pPr>
        <w:spacing w:after="0" w:line="32" w:lineRule="exact"/>
        <w:rPr>
          <w:rFonts w:ascii="Arial" w:cs="Arial" w:eastAsia="Arial" w:hAnsi="Arial"/>
          <w:sz w:val="16"/>
          <w:szCs w:val="16"/>
          <w:color w:val="auto"/>
        </w:rPr>
      </w:pPr>
    </w:p>
    <w:p>
      <w:pPr>
        <w:ind w:left="1060" w:right="280" w:hanging="332"/>
        <w:spacing w:after="0" w:line="250"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reasonableness of the Company's valuation methodology and significant assumptions by:</w:t>
      </w:r>
    </w:p>
    <w:p>
      <w:pPr>
        <w:ind w:left="1800" w:hanging="324"/>
        <w:spacing w:after="0" w:line="250" w:lineRule="auto"/>
        <w:rPr>
          <w:rFonts w:ascii="Arial" w:cs="Arial" w:eastAsia="Arial" w:hAnsi="Arial"/>
          <w:sz w:val="18"/>
          <w:szCs w:val="18"/>
          <w:color w:val="auto"/>
        </w:rPr>
      </w:pPr>
      <w:r>
        <w:rPr>
          <w:rFonts w:ascii="Arial" w:cs="Arial" w:eastAsia="Arial" w:hAnsi="Arial"/>
          <w:sz w:val="18"/>
          <w:szCs w:val="18"/>
          <w:color w:val="auto"/>
        </w:rPr>
        <w:t>o Evaluating the reasonableness of the discount rate and multiples of earnings by comparing the underlying source information to publicly available market data and verifying the accuracy of the calculations.</w:t>
      </w:r>
    </w:p>
    <w:p>
      <w:pPr>
        <w:ind w:left="1460"/>
        <w:spacing w:after="0"/>
        <w:rPr>
          <w:rFonts w:ascii="Arial" w:cs="Arial" w:eastAsia="Arial" w:hAnsi="Arial"/>
          <w:sz w:val="18"/>
          <w:szCs w:val="18"/>
          <w:color w:val="auto"/>
        </w:rPr>
      </w:pPr>
      <w:r>
        <w:rPr>
          <w:rFonts w:ascii="Arial" w:cs="Arial" w:eastAsia="Arial" w:hAnsi="Arial"/>
          <w:sz w:val="17"/>
          <w:szCs w:val="17"/>
          <w:color w:val="auto"/>
        </w:rPr>
        <w:t>o   Evaluating the appropriateness of the valuation methods used by management and testing their mathematical accuracy.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340" w:right="1100"/>
        <w:spacing w:after="0" w:line="250" w:lineRule="auto"/>
        <w:rPr>
          <w:sz w:val="20"/>
          <w:szCs w:val="20"/>
          <w:color w:val="auto"/>
        </w:rPr>
      </w:pPr>
      <w:r>
        <w:rPr>
          <w:rFonts w:ascii="Arial" w:cs="Arial" w:eastAsia="Arial" w:hAnsi="Arial"/>
          <w:sz w:val="18"/>
          <w:szCs w:val="18"/>
          <w:color w:val="auto"/>
        </w:rPr>
        <w:t>Cash and cash equivalents Accounts receivable Inventory</w:t>
      </w:r>
    </w:p>
    <w:p>
      <w:pPr>
        <w:spacing w:after="0" w:line="1"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color w:val="auto"/>
        </w:rPr>
        <w:t>Prepaid expenses and other current assets Restricted cash</w:t>
      </w:r>
    </w:p>
    <w:p>
      <w:pPr>
        <w:ind w:left="660"/>
        <w:spacing w:after="0"/>
        <w:rPr>
          <w:sz w:val="20"/>
          <w:szCs w:val="20"/>
          <w:color w:val="auto"/>
        </w:rPr>
      </w:pPr>
      <w:r>
        <w:rPr>
          <w:rFonts w:ascii="Arial" w:cs="Arial" w:eastAsia="Arial" w:hAnsi="Arial"/>
          <w:sz w:val="18"/>
          <w:szCs w:val="18"/>
          <w:color w:val="auto"/>
        </w:rPr>
        <w:t>Total current assets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net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Right-of-use asset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500"/>
        <w:spacing w:after="0" w:line="259" w:lineRule="auto"/>
        <w:rPr>
          <w:sz w:val="20"/>
          <w:szCs w:val="20"/>
          <w:color w:val="auto"/>
        </w:rPr>
      </w:pPr>
      <w:r>
        <w:rPr>
          <w:rFonts w:ascii="Arial" w:cs="Arial" w:eastAsia="Arial" w:hAnsi="Arial"/>
          <w:sz w:val="18"/>
          <w:szCs w:val="18"/>
          <w:b w:val="1"/>
          <w:bCs w:val="1"/>
          <w:color w:val="auto"/>
        </w:rPr>
        <w:t>AMERICAN SUPERCONDUCTOR CORPORATION PART I — FINANCIAL INFORMATION ITEM 1. FINANCIAL STATEMENTS CONSOLIDATED BALANCE SHEETS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60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23,360</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40,584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20,280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23,666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24"/>
        </w:trPr>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106,173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94,336</w:t>
            </w:r>
          </w:p>
        </w:tc>
        <w:tc>
          <w:tcPr>
            <w:tcW w:w="0" w:type="dxa"/>
            <w:vAlign w:val="bottom"/>
          </w:tcPr>
          <w:p>
            <w:pPr>
              <w:spacing w:after="0"/>
              <w:rPr>
                <w:sz w:val="1"/>
                <w:szCs w:val="1"/>
                <w:color w:val="auto"/>
              </w:rPr>
            </w:pPr>
          </w:p>
        </w:tc>
      </w:tr>
      <w:tr>
        <w:trPr>
          <w:trHeight w:val="403"/>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12,309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13,656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43,471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175,561</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173,887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-2373630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-2099310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-1824990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-1550670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-1268095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-993775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-719455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-445135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-161925</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200"/>
            <w:col w:w="7720"/>
          </w:cols>
          <w:pgMar w:left="320" w:top="823"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Lease liability, current portion</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current portion</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current portion</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53,964</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Deferred revenue, long term portion</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long term portion</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long-term portion</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8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$0.01 par value, 75,000,000 shares authorized; 29,937,119 and 28,919,990 shares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w w:val="94"/>
              </w:rPr>
              <w:t>issued and 29,539,488 and 28,522,359 shares outstanding at March 31, 2023 and 2022, respectively</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1,133,536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Treasury stock, at cost, 397,631 at March 31, 2023 and 2022, respectively</w:t>
            </w:r>
          </w:p>
        </w:tc>
        <w:tc>
          <w:tcPr>
            <w:tcW w:w="3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(3,639)</w:t>
            </w: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(1,055,547)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(1,020,506)</w:t>
            </w:r>
          </w:p>
        </w:tc>
      </w:tr>
      <w:tr>
        <w:trPr>
          <w:trHeight w:val="209"/>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175,561</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5" w:name="page46"/>
    <w:bookmarkEnd w:id="45"/>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4260" w:type="dxa"/>
            <w:vAlign w:val="bottom"/>
            <w:gridSpan w:val="2"/>
          </w:tcPr>
          <w:p>
            <w:pPr>
              <w:jc w:val="right"/>
              <w:ind w:right="1170"/>
              <w:spacing w:after="0"/>
              <w:rPr>
                <w:sz w:val="20"/>
                <w:szCs w:val="20"/>
                <w:color w:val="auto"/>
              </w:rPr>
            </w:pPr>
            <w:r>
              <w:rPr>
                <w:rFonts w:ascii="Arial" w:cs="Arial" w:eastAsia="Arial" w:hAnsi="Arial"/>
                <w:sz w:val="18"/>
                <w:szCs w:val="18"/>
                <w:b w:val="1"/>
                <w:bCs w:val="1"/>
                <w:color w:val="auto"/>
                <w:w w:val="93"/>
              </w:rPr>
              <w:t>(In thousands, except per share data)</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7"/>
              </w:rPr>
              <w:t>Fiscal Year Ended March 31,</w:t>
            </w:r>
          </w:p>
        </w:tc>
      </w:tr>
      <w:tr>
        <w:trPr>
          <w:trHeight w:val="210"/>
        </w:trPr>
        <w:tc>
          <w:tcPr>
            <w:tcW w:w="4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108,435</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3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94,943</w:t>
            </w: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8,966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27,494</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Amortization of acquisition related intangibles</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8"/>
                <w:szCs w:val="18"/>
                <w:color w:val="auto"/>
              </w:rPr>
            </w:pPr>
          </w:p>
        </w:tc>
      </w:tr>
      <w:tr>
        <w:trPr>
          <w:trHeight w:val="229"/>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fair value on contingent consideration</w:t>
            </w:r>
          </w:p>
        </w:tc>
        <w:tc>
          <w:tcPr>
            <w:tcW w:w="3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w:t>
            </w: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41,530</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34,581</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(33,009)</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(21,089)</w:t>
            </w:r>
          </w:p>
        </w:tc>
      </w:tr>
      <w:tr>
        <w:trPr>
          <w:trHeight w:val="216"/>
        </w:trPr>
        <w:tc>
          <w:tcPr>
            <w:tcW w:w="4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China dissolution</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0"/>
        </w:trPr>
        <w:tc>
          <w:tcPr>
            <w:tcW w:w="4000" w:type="dxa"/>
            <w:vAlign w:val="bottom"/>
            <w:shd w:val="clear" w:color="auto" w:fill="CCEEFF"/>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Loss before income tax expense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(34,826)</w:t>
            </w:r>
          </w:p>
        </w:tc>
        <w:tc>
          <w:tcPr>
            <w:tcW w:w="4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(21,042)</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(1,849)</w:t>
            </w:r>
          </w:p>
        </w:tc>
      </w:tr>
      <w:tr>
        <w:trPr>
          <w:trHeight w:val="209"/>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(35,041)</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-445135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-161925</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82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62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7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27,203</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27,203</w:t>
            </w:r>
          </w:p>
        </w:tc>
        <w:tc>
          <w:tcPr>
            <w:tcW w:w="100" w:type="dxa"/>
            <w:vAlign w:val="bottom"/>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6" w:name="page47"/>
    <w:bookmarkEnd w:id="46"/>
    <w:p>
      <w:pPr>
        <w:jc w:val="center"/>
        <w:ind w:left="340" w:right="2580"/>
        <w:spacing w:after="0" w:line="275" w:lineRule="auto"/>
        <w:rPr>
          <w:sz w:val="20"/>
          <w:szCs w:val="20"/>
          <w:color w:val="auto"/>
        </w:rPr>
      </w:pPr>
      <w:r>
        <w:rPr>
          <w:rFonts w:ascii="Arial" w:cs="Arial" w:eastAsia="Arial" w:hAnsi="Arial"/>
          <w:sz w:val="18"/>
          <w:szCs w:val="18"/>
          <w:b w:val="1"/>
          <w:bCs w:val="1"/>
          <w:color w:val="auto"/>
        </w:rPr>
        <w:t>AMERICAN SUPERCONDUCTOR CORPORATION CONSOLIDATED STATEMENTS OF COMPREHENSIVE INCOME (LOSS)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7"/>
              </w:rPr>
              <w:t>Fiscal Year Ended March 31,</w:t>
            </w:r>
          </w:p>
        </w:tc>
      </w:tr>
      <w:tr>
        <w:trPr>
          <w:trHeight w:val="210"/>
        </w:trPr>
        <w:tc>
          <w:tcPr>
            <w:tcW w:w="79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 comprehensive (loss) gain, net of tax:</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China dissolution</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50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09"/>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gain, net of tax</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(33,179)</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(19,207)</w:t>
            </w:r>
          </w:p>
        </w:tc>
      </w:tr>
      <w:tr>
        <w:trPr>
          <w:trHeight w:val="20"/>
        </w:trPr>
        <w:tc>
          <w:tcPr>
            <w:tcW w:w="7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6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0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6"/>
                <w:szCs w:val="16"/>
                <w:color w:val="auto"/>
              </w:rPr>
            </w:pPr>
          </w:p>
        </w:tc>
        <w:tc>
          <w:tcPr>
            <w:tcW w:w="980" w:type="dxa"/>
            <w:vAlign w:val="bottom"/>
            <w:gridSpan w:val="2"/>
          </w:tcPr>
          <w:p>
            <w:pPr>
              <w:jc w:val="right"/>
              <w:ind w:right="201"/>
              <w:spacing w:after="0" w:line="191" w:lineRule="exact"/>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2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Par Value</w:t>
            </w: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9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Stock</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49"/>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1,121,495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(1,001,313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60" w:type="dxa"/>
            <w:vAlign w:val="bottom"/>
          </w:tcPr>
          <w:p>
            <w:pPr>
              <w:ind w:left="180"/>
              <w:spacing w:after="0" w:line="196" w:lineRule="exact"/>
              <w:rPr>
                <w:sz w:val="20"/>
                <w:szCs w:val="20"/>
                <w:color w:val="auto"/>
              </w:rPr>
            </w:pPr>
            <w:r>
              <w:rPr>
                <w:rFonts w:ascii="Arial" w:cs="Arial" w:eastAsia="Arial" w:hAnsi="Arial"/>
                <w:sz w:val="18"/>
                <w:szCs w:val="18"/>
                <w:color w:val="auto"/>
              </w:rPr>
              <w:t>Issuance of common stock - ESPP</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28</w:t>
            </w:r>
          </w:p>
        </w:tc>
        <w:tc>
          <w:tcPr>
            <w:tcW w:w="520" w:type="dxa"/>
            <w:vAlign w:val="bottom"/>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7"/>
                <w:szCs w:val="17"/>
                <w:color w:val="auto"/>
              </w:rPr>
            </w:pPr>
          </w:p>
        </w:tc>
        <w:tc>
          <w:tcPr>
            <w:tcW w:w="9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 Bonus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2"/>
        </w:trPr>
        <w:tc>
          <w:tcPr>
            <w:tcW w:w="3160" w:type="dxa"/>
            <w:vAlign w:val="bottom"/>
          </w:tcPr>
          <w:p>
            <w:pPr>
              <w:ind w:left="180"/>
              <w:spacing w:after="0" w:line="201" w:lineRule="exact"/>
              <w:rPr>
                <w:sz w:val="20"/>
                <w:szCs w:val="20"/>
                <w:color w:val="auto"/>
              </w:rPr>
            </w:pPr>
            <w:r>
              <w:rPr>
                <w:rFonts w:ascii="Arial" w:cs="Arial" w:eastAsia="Arial" w:hAnsi="Arial"/>
                <w:sz w:val="18"/>
                <w:szCs w:val="18"/>
                <w:color w:val="auto"/>
                <w:w w:val="97"/>
              </w:rPr>
              <w:t>Issuance of common stock - restricted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shares</w:t>
            </w:r>
          </w:p>
        </w:tc>
        <w:tc>
          <w:tcPr>
            <w:tcW w:w="88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Issuance of stock for 401(k) match</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Issuance of common stock - Neeltran</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Repurchase of treasury stock</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(19,193)</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28,920</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1,133,536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(1,020,506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60" w:type="dxa"/>
            <w:vAlign w:val="bottom"/>
          </w:tcPr>
          <w:p>
            <w:pPr>
              <w:ind w:left="180"/>
              <w:spacing w:after="0" w:line="196" w:lineRule="exact"/>
              <w:rPr>
                <w:sz w:val="20"/>
                <w:szCs w:val="20"/>
                <w:color w:val="auto"/>
              </w:rPr>
            </w:pPr>
            <w:r>
              <w:rPr>
                <w:rFonts w:ascii="Arial" w:cs="Arial" w:eastAsia="Arial" w:hAnsi="Arial"/>
                <w:sz w:val="18"/>
                <w:szCs w:val="18"/>
                <w:color w:val="auto"/>
              </w:rPr>
              <w:t>Issuance of common stock - ESPP</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60</w:t>
            </w:r>
          </w:p>
        </w:tc>
        <w:tc>
          <w:tcPr>
            <w:tcW w:w="520" w:type="dxa"/>
            <w:vAlign w:val="bottom"/>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9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Issuance of common stock - restricted</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stock for 401(k) match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(35,041)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(35,041)</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Balance at March 31, 2023</w:t>
            </w:r>
          </w:p>
        </w:tc>
        <w:tc>
          <w:tcPr>
            <w:tcW w:w="880" w:type="dxa"/>
            <w:vAlign w:val="bottom"/>
          </w:tcPr>
          <w:p>
            <w:pPr>
              <w:jc w:val="right"/>
              <w:spacing w:after="0"/>
              <w:rPr>
                <w:sz w:val="20"/>
                <w:szCs w:val="20"/>
                <w:color w:val="auto"/>
              </w:rPr>
            </w:pPr>
            <w:r>
              <w:rPr>
                <w:rFonts w:ascii="Arial" w:cs="Arial" w:eastAsia="Arial" w:hAnsi="Arial"/>
                <w:sz w:val="18"/>
                <w:szCs w:val="18"/>
                <w:color w:val="auto"/>
              </w:rPr>
              <w:t>29,937</w:t>
            </w:r>
          </w:p>
        </w:tc>
        <w:tc>
          <w:tcPr>
            <w:tcW w:w="200" w:type="dxa"/>
            <w:vAlign w:val="bottom"/>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299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1,139,113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(1,055,547)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81,797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7"/>
              </w:rPr>
              <w:t>Fiscal Year Ended March 31,</w:t>
            </w:r>
          </w:p>
        </w:tc>
      </w:tr>
      <w:tr>
        <w:trPr>
          <w:trHeight w:val="210"/>
        </w:trPr>
        <w:tc>
          <w:tcPr>
            <w:tcW w:w="6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(35,041)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(19,193)</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(2,403)</w:t>
            </w: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(5,850)</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China dissolution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Non-cash interest income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non-cash items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Unrealized foreign exchange gain on cash and cash equivalents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 and liability accounts: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(3,760)</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(3,307)</w:t>
            </w: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r>
      <w:tr>
        <w:trPr>
          <w:trHeight w:val="21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(938)</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paid for acquisition, net of cash received</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(11,479)</w:t>
            </w: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Proceeds from the maturity of marketable securities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other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9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(7,163)</w:t>
            </w:r>
          </w:p>
        </w:tc>
      </w:tr>
      <w:tr>
        <w:trPr>
          <w:trHeight w:val="210"/>
        </w:trPr>
        <w:tc>
          <w:tcPr>
            <w:tcW w:w="6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Repurchase of treasury stock</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Repayment of debt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exercise of employee stock options and ESPP</w:t>
            </w: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8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0"/>
        </w:trPr>
        <w:tc>
          <w:tcPr>
            <w:tcW w:w="6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(23,811)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(26,053)</w:t>
            </w:r>
          </w:p>
        </w:tc>
      </w:tr>
      <w:tr>
        <w:trPr>
          <w:trHeight w:val="216"/>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25,675</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49,486</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paid for income taxes, net of refunds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Issuance of common stock in connection with the purchase of Neeltran, Inc.</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Issuance of common stock to settle liabilities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9" w:name="page50"/>
    <w:bookmarkEnd w:id="49"/>
    <w:p>
      <w:pPr>
        <w:ind w:left="180" w:right="7000" w:hanging="172"/>
        <w:spacing w:after="0" w:line="532" w:lineRule="auto"/>
        <w:tabs>
          <w:tab w:leader="none" w:pos="19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Nature of the Business and Operations and Liquidity </w:t>
      </w:r>
      <w:r>
        <w:rPr>
          <w:rFonts w:ascii="Arial" w:cs="Arial" w:eastAsia="Arial" w:hAnsi="Arial"/>
          <w:sz w:val="17"/>
          <w:szCs w:val="17"/>
          <w:b w:val="1"/>
          <w:bCs w:val="1"/>
          <w:i w:val="1"/>
          <w:iCs w:val="1"/>
          <w:color w:val="auto"/>
        </w:rPr>
        <w:t>Nature of the Business and Operations</w:t>
      </w:r>
    </w:p>
    <w:p>
      <w:pPr>
        <w:spacing w:after="0" w:line="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protect and expand the capability of the Navy's fleet. The Company’s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consolidated financial statements have been prepared on a going concern basis in accordance with United States generally accepted accounting principles (“GAAP”) and the Securities and Exchange Commission’s (“SEC”) instructions to Form 10-K. The going concern basis of presentation assumes that the Company will continue operations and will be able to realize its assets and discharge its liabilities and commitments in the normal course of business.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has historically experienced recurring operating losses and as of March 31, 2023, the Company had an accumulated deficit of $1,055.5 million. In addition, the Company has historically experienced recurring negative operating cash flows. At March 31, 2023, the Company had cash and cash equivalents of $23.4 million. Cash used in operations for the year ended March 31, 2023 was $22.5 million.</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w:t>
      </w:r>
      <w:r>
        <w:rPr>
          <w:rFonts w:ascii="Arial" w:cs="Arial" w:eastAsia="Arial" w:hAnsi="Arial"/>
          <w:sz w:val="16"/>
          <w:szCs w:val="16"/>
          <w:i w:val="1"/>
          <w:iCs w:val="1"/>
          <w:color w:val="auto"/>
        </w:rPr>
        <w:t xml:space="preserve">3 </w:t>
      </w:r>
      <w:r>
        <w:rPr>
          <w:rFonts w:ascii="Arial" w:cs="Arial" w:eastAsia="Arial" w:hAnsi="Arial"/>
          <w:sz w:val="16"/>
          <w:szCs w:val="16"/>
          <w:color w:val="auto"/>
        </w:rPr>
        <w:t>allows the Company to offer and sell from time-to-time up to $250 million of common stock, debt securities, warrants or units comprised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experiencing substantial inflationary pressure in its supply chain and some delays in sourcing materials needed for its products resulting in some disruption, both of which have increased the Company's cost of revenues and decreased gross margin. Changes in macroeconomic conditions arising from the COVID-19 pandemic or for other reasons, such as ongoing war between Russia and Ukraine, inflation, rising interest rates, instability of financial institutions and political instability in the United States, including failure to raise the federal debt ceiling, labor force availability, sourcing, material delays and global supply chain disruptions could have a material adverse effect on the Company's business, financial condition and results of operation.</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time-to-time the Company may undertake restructuring activities in order to align the global organization in a manner that the Company believes will better position it to achieve its long-term goals. In January 2023, the Company undertook a reduction in force that involved approximately 5% of the global workforce. This restructuring will cause the Company to incur $1.0 million of cash expense and is expected to result in annualized cost savings of approximately $5 million, beginning in fiscal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0" w:name="page51"/>
    <w:bookmarkEnd w:id="50"/>
    <w:p>
      <w:pPr>
        <w:jc w:val="both"/>
        <w:ind w:firstLine="486"/>
        <w:spacing w:after="0" w:line="291" w:lineRule="auto"/>
        <w:rPr>
          <w:sz w:val="20"/>
          <w:szCs w:val="20"/>
          <w:color w:val="auto"/>
        </w:rPr>
      </w:pPr>
      <w:r>
        <w:rPr>
          <w:rFonts w:ascii="Arial" w:cs="Arial" w:eastAsia="Arial" w:hAnsi="Arial"/>
          <w:sz w:val="16"/>
          <w:szCs w:val="16"/>
          <w:color w:val="auto"/>
        </w:rPr>
        <w:t>The Company believes that based on the information presented above and its annual management assessment, it has sufficient liquidity to fund its operations and capital expenditures for the next twelve months following the issuance of the financial statements for the year ended March 31, 2023. The Company’s liquidity is highly dependent on its ability to increase revenues, its ability to control its operating costs, and its ability to raise additional capital, if necessary. The impact of the COVID- 19 pandemic and other sources of instability, including the war between Russia and Ukraine, instability of financial institutions and political instability in the United States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200" w:lineRule="exact"/>
        <w:rPr>
          <w:sz w:val="20"/>
          <w:szCs w:val="20"/>
          <w:color w:val="auto"/>
        </w:rPr>
      </w:pPr>
    </w:p>
    <w:p>
      <w:pPr>
        <w:spacing w:after="0" w:line="205" w:lineRule="exact"/>
        <w:rPr>
          <w:sz w:val="20"/>
          <w:szCs w:val="20"/>
          <w:color w:val="auto"/>
        </w:rPr>
      </w:pPr>
    </w:p>
    <w:p>
      <w:pPr>
        <w:ind w:left="180" w:right="7680" w:hanging="172"/>
        <w:spacing w:after="0" w:line="503" w:lineRule="auto"/>
        <w:tabs>
          <w:tab w:leader="none" w:pos="19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Consolidation</w:t>
      </w:r>
    </w:p>
    <w:p>
      <w:pPr>
        <w:jc w:val="both"/>
        <w:ind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and transactions are eliminated.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contingent consideration, warranty provisions, stock-based compensation,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Accounts receivable consist of amounts owed by commercial companies and government agencies. Accounts receivable are stated net of allowances for doubtful accounts. The Company’s accounts receivable relate principally to a limited number of customers. As of March 31, 2023, Anovion LLC and Fuji Bridex PTE Ltd accounted for approximately 21% and 15% of the Company's accounts receivable balance, respectively, with no other customers accounting for greater than 10% of the balance. As of March 31, 2022, Fuji Bridex PTE Ltd accounted for approximately 31% of the Company's accounts receivable balance, with no other customers accounting for greater than 10% of the balance. Changes in the financial condition or operations of the Company’s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results of operations, and cash flows.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Inventories include material, direct labor and related manufacturing overhead, and are stated at the lower of cost, determined on a first-in, first-out basis, or net realizable value determined as the estimated selling prices in the ordinary course of business, less reasonably predictable costs of completion, disposal and transportation. The Company records inventory when it takes delivery and title to the product according to the terms of each supply contract.</w:t>
      </w:r>
    </w:p>
    <w:p>
      <w:pPr>
        <w:spacing w:after="0" w:line="1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1" w:name="page52"/>
    <w:bookmarkEnd w:id="51"/>
    <w:p>
      <w:pPr>
        <w:jc w:val="both"/>
        <w:ind w:firstLine="486"/>
        <w:spacing w:after="0" w:line="279" w:lineRule="auto"/>
        <w:rPr>
          <w:sz w:val="20"/>
          <w:szCs w:val="20"/>
          <w:color w:val="auto"/>
        </w:rPr>
      </w:pPr>
      <w:r>
        <w:rPr>
          <w:rFonts w:ascii="Arial" w:cs="Arial" w:eastAsia="Arial" w:hAnsi="Arial"/>
          <w:sz w:val="17"/>
          <w:szCs w:val="17"/>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the fiscal years ended March 31, 2023 and 2022, the Company recorded inventory reserves of approximately $1.5 million and $1.9 million, respectively, based on evaluating its ending inventory on hand for excess quantities and obsolescence.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Leases include all agreements in which the Company obtains control of a physical asset. Leases are captured on the balance sheet as both a right of use asset and associated lease liability and are valued based on the commencement of the Company's control of the asset, after being discounted by its incremental borrowing rate. The Company's lease portfolio is made up primarily of real estate leases for its various offices, but also include items such as vehicles, IT equipment and other miscellaneous tools and equipment needed for manufacturing. The Company's incremental borrowing rate was determined through an analysis to identify what rates it could obtain if the Company were to secure external financing for similar transactions, and includes considerations of both the market and its current credit ratings. An analysis is performed annually, or upon execution of any individually material agreement, to ensure that the rates being applied to newly acquired leases are still accurate.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majority of the Company's leases are classified as operating leases, and therefore the expense is captured in income from operations each period.</w:t>
      </w:r>
    </w:p>
    <w:p>
      <w:pPr>
        <w:spacing w:after="0" w:line="24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elected to exclude all leases of less than twelve months from the balance sheet presentation. We have also elected a policy in which we will not segregate lease components from non-lease components, so in the event we execute an agreement which includes a non-lease component our asset and liability recorded to the balance sheet will include the value of that non-lease component as well. This policy will be applied to all classifications of leases.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FFFFFF"/>
              </w:rPr>
              <w:t>Asset Classification</w:t>
            </w:r>
          </w:p>
        </w:tc>
        <w:tc>
          <w:tcPr>
            <w:tcW w:w="12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 in Years</w:t>
            </w:r>
          </w:p>
        </w:tc>
        <w:tc>
          <w:tcPr>
            <w:tcW w:w="40" w:type="dxa"/>
            <w:vAlign w:val="bottom"/>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548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rPr>
              <w:t>3-10</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600" w:type="dxa"/>
            <w:vAlign w:val="bottom"/>
            <w:gridSpan w:val="2"/>
          </w:tcPr>
          <w:p>
            <w:pPr>
              <w:jc w:val="right"/>
              <w:ind w:right="253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5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Shorter of the estimated useful life or the remaining lease term</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indicators requiring impairment testing on the Company's long-lived assets during the fiscal years ended March 31, 2023 and 2022.</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Goodwill represents the excess of cost over net assets of acquired businesses that are consolidated. The Company performs its annual assessment of goodwill on February 28th of each fiscal year and whenever events or changes in circumstances or a triggering event indicate that the carrying amount may not be recoverable. Determining whether a triggering event has occurred often involves significant judgment from management. An entity is permitted to first assess qualitatively whether it is necessary to perform a goodwill impairment test. The quantitative impairment test is required only if the entity concludes that it is more likely than not that a reporting unit’s fair value is less than its carrying amount. The Company determines the fair value of a reporting unit, using a methodology which combines an income approach, using a discounted cash flow method, with a market approach. In evaluating whether it is more likely than not that the fair value of a reporting unit is less than its carrying amount, an entity should consider the totality of all relevant events or circumstances that affect the fair value or carrying amount of a reporting unit. If the carrying value of a reporting unit exceeds the reporting unit’s fair value, then an impairment charge is recognized reducing the goodwill by the excess of the carrying amount over the fair value, not to exceed the total amount of the goodwill allocated to the that reporting unit. See Note 5, "Goodwill" for further information and discussion.</w:t>
      </w:r>
    </w:p>
    <w:p>
      <w:pPr>
        <w:spacing w:after="0" w:line="1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performed its annual assessment of goodwill on February 28, 2023 and noted no triggering events from the analysis date to March 31, 2023 and determined that there was no impairment to goodwill. Additionally, there was no impairment identified for the fiscal year ended March 31, 2022 based on the assessment performed in the prior fiscal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2" w:name="page53"/>
    <w:bookmarkEnd w:id="52"/>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 contracts are defined as an arrangement that creates enforceable rights and obligations of both parties where collection of the contract price is deemed probable. The Company records revenue based on a five-step model which includes confirmation of contract existence, identifying the performance obligations, determining the transaction price, allocating the contract transaction price to the performance obligations, and recognizing the revenue when (or as) control of goods or services is transferred to the customer. The transfer of control can occur at the time of delivery, installation or post-installation where applicable.</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w:t>
      </w:r>
    </w:p>
    <w:p>
      <w:pPr>
        <w:spacing w:after="0" w:line="16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The Company follows this method when any of the three following criteria are met: when the customer receives the benefits as they are performed, control transfers to the customer as the work is performed, or there is no alternative use to the Company and there is an enforceable right to payment through the life of the contract.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point in time method.</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enters into sales arrangements that may provide for multiple performance obligations to a customer. Sales of certain products may 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Performance obligations are separated into more than one unit of accounting when (1) the delivered element(s) have value to the customer on a stand-alone basis, and (2) the Company's promise to transfer the goods or services to the customer is separately identifiable from other promises in the contract. In general, revenues are separated between the different product shipments which have stand-alone value, and the various services to be provided. Revenue for product shipments is generally recognized at a point in time where control of the product is transferred to the customer, while revenues for the services are generally recognized over the period of performance. The Company identifies all goods and/or services that are to be delivered separately under a sales arrangement and allocates the transaction price to each distinct performance obligation using the respective standalone selling price ("SSP") which is determined primarily using the cost plus expected margin approach for products and a relief from royalty method for licenses. Revenue allocated to each performance obligation is recognized when, or as, the performance obligation is satisfied. The Company reviews SSP and the related margins at least annually.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3" w:name="page54"/>
    <w:bookmarkEnd w:id="53"/>
    <w:p>
      <w:pPr>
        <w:jc w:val="both"/>
        <w:ind w:firstLine="486"/>
        <w:spacing w:after="0" w:line="270" w:lineRule="auto"/>
        <w:rPr>
          <w:sz w:val="20"/>
          <w:szCs w:val="20"/>
          <w:color w:val="auto"/>
        </w:rPr>
      </w:pPr>
      <w:r>
        <w:rPr>
          <w:rFonts w:ascii="Arial" w:cs="Arial" w:eastAsia="Arial" w:hAnsi="Arial"/>
          <w:sz w:val="17"/>
          <w:szCs w:val="17"/>
          <w:color w:val="auto"/>
        </w:rPr>
        <w:t>The Company’s license agreements provide either for the payment of contractually determined paid-up front license fees or milestone based payments in consideration for the grant of rights to manufacture and/or sell products using its patented technologies or know-how. Some of these agreements provide for the release of the licensee from past and future intellectual property infringement claims. When the Company can determine that it has no further obligations other than the grant of the license and that the Company has fully transferred the technology know-how, the Company recognizes the revenue under a point in time model. In other license arrangements, the Company may also agree to provide training services to transfer the technology know-how. In these arrangements, the Company has determined that the licenses have no standalone value to the customer and are not separable from training services as the Company can only fully transfer the technology know-how through the training component. Accordingly, the Company accounts for these arrangements as a single unit of accounting, and recognizes revenue over the period of its performance using the over-time method. Costs for these arrangements are expensed as incurred.</w:t>
      </w:r>
    </w:p>
    <w:p>
      <w:pPr>
        <w:spacing w:after="0" w:line="18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 For contractual arrangements that involve variable consideration, the Company recognizes revenue for these amounts upon reaching the constraining event successfully. The Company does not generally provide for extended payment terms or provide its customers with a right of return.</w:t>
      </w:r>
    </w:p>
    <w:p>
      <w:pPr>
        <w:spacing w:after="0" w:line="1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Infrequently, the Company receives requests from customers to hold product being purchased from us for a valid business purpose. The Company recognizes revenues for such arrangements provided the transaction meets, at a minimum, the following criteria: a valid business purpose for the arrangement exists; risk of ownership of the purchased product has been transferred to the buyer; there is a fixed delivery date that is reasonable and consistent with the buyer’s business purpose; the product is ready for shipment; there are no continuing performance obligation in regards to the purchased product and these products have been segregated from the Company's inventories and cannot be used to fill other orders received. Revenue for the fiscal year ended March 31, 2023 included $0.6 million from such held transactions. Revenues for the fiscal year ended March 31, 2022 included $1.2 million from such held transactions.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elected to record taxes collected from customers on a net basis and does not include tax amounts in revenue or costs of revenue.</w:t>
      </w:r>
    </w:p>
    <w:p>
      <w:pPr>
        <w:spacing w:after="0" w:line="24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The Company accounts for acquisitions using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for each acquisition is allocated to the assets acquired and liabilities assumed based on their estimated fair values at the date of acquisition. Intangible assets, if identified, are also recorded at fair value. The excess purchase price over the estimated fair value of the net assets acquired is recorded as goodwill.</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Determining the fair value of certain assets and liabilities assumed is judgmental in nature and often involves the use of significant estimates and assumptions as well as the use of specialists as needed.</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consideration for its acquisitions may include future payments that are contingent upon the occurrence of a particular event. The Company records a contingent consideration obligation for such contingent consideration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Each period the Company revalues the contingent consideration obligations associated with the acquisition to fair value and records changes in the fair value within the operating expenses in its consolidated statements of operations. Increases or decreases in the fair value of the contingent consideration obligations can result from changes in assumed revenue risk premium and volatility, as well as changes in the stock price and assumed probability with respect to the attainment of certain financial and operational metrics, among others.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 See Note 3, "Acquisitions," for additional information.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Warranty obligations are incurred in connection with the sale of the Company’s products. 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Deferred income taxes are recognized for the tax consequences in future fiscal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and Romania deferred income tax assets since the Company believes that it is more likely than not that these deferred tax assets are not currently realizable due to uncertainty around profitability in the future.</w:t>
      </w:r>
    </w:p>
    <w:p>
      <w:pPr>
        <w:spacing w:after="0" w:line="16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14, “Income Taxes,” for further information regarding its income tax assumptions and expenses.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stock-based payment transactions using a fair value-based method and recognizes the related expense in the results of operations.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option awards with service and performance conditions. For awards with service conditions only, the Company recognizes compensation cost on a straight-line basis over the requisite service/vesting period. For awards with performance conditions, estimates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6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share-based payments made to non-employees in the same manner as other share-based payments for employees, with the measurement being based on the fair value at the grant date. The non-employee share based payments will be included within the Company's stock compensation currently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p>
      <w:pPr>
        <w:ind w:left="18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Basic net loss per share (“EPS”) is computed by dividing net loss by the weighted-average number of common shares outstanding for the period.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2023 and 2022, common equivalent shares of 1,421,771, and 1,495,402, respectively, were not included in the calculation of diluted EPS as they were considered antidilutive. Of these, 1.0 million relate to shares tied to the derivative liability for which the contingency has not yet been met. The following table reconciles the numerators and denominators of the EPS calculation for the fiscal years ended March 31, 2023 and 2022 (in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7"/>
              </w:rPr>
              <w:t>Fiscal year ended March 31,</w:t>
            </w:r>
          </w:p>
        </w:tc>
      </w:tr>
      <w:tr>
        <w:trPr>
          <w:trHeight w:val="210"/>
        </w:trPr>
        <w:tc>
          <w:tcPr>
            <w:tcW w:w="7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(35,041)</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(19,193)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Weighted-average shares of common stock outstanding</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subject to repurchase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r>
      <w:tr>
        <w:trPr>
          <w:trHeight w:val="209"/>
        </w:trPr>
        <w:tc>
          <w:tcPr>
            <w:tcW w:w="79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Shares used in per-share calculation ― basic</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27,203</w:t>
            </w:r>
          </w:p>
        </w:tc>
        <w:tc>
          <w:tcPr>
            <w:tcW w:w="100" w:type="dxa"/>
            <w:vAlign w:val="bottom"/>
            <w:tcBorders>
              <w:top w:val="single" w:sz="8" w:color="CCEEFF"/>
            </w:tcBorders>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used in per-share calculation ― diluted</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980" w:type="dxa"/>
            <w:vAlign w:val="bottom"/>
          </w:tcPr>
          <w:p>
            <w:pPr>
              <w:spacing w:after="0" w:line="196" w:lineRule="exact"/>
              <w:rPr>
                <w:sz w:val="20"/>
                <w:szCs w:val="20"/>
                <w:color w:val="auto"/>
              </w:rPr>
            </w:pPr>
            <w:r>
              <w:rPr>
                <w:rFonts w:ascii="Arial" w:cs="Arial" w:eastAsia="Arial" w:hAnsi="Arial"/>
                <w:sz w:val="18"/>
                <w:szCs w:val="18"/>
                <w:color w:val="auto"/>
              </w:rPr>
              <w:t>Net loss per share ― basic</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(1.26)</w:t>
            </w:r>
          </w:p>
        </w:tc>
        <w:tc>
          <w:tcPr>
            <w:tcW w:w="400" w:type="dxa"/>
            <w:vAlign w:val="bottom"/>
            <w:gridSpan w:val="2"/>
          </w:tcPr>
          <w:p>
            <w:pPr>
              <w:jc w:val="right"/>
              <w:ind w:right="147"/>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(0.71)</w:t>
            </w:r>
          </w:p>
        </w:tc>
      </w:tr>
      <w:tr>
        <w:trPr>
          <w:trHeight w:val="20"/>
        </w:trPr>
        <w:tc>
          <w:tcPr>
            <w:tcW w:w="7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 ― diluted</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functional currency of all the Company’s foreign subsidiaries is the U.S. dollar, except for AMSC Austria, for which the local currency (Euro) is the functional currency. The assets and liabilities of AMSC Austria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and losses are included in other income (expense), net on the consolidated statements of operations was $0.1 million and less than $0.1 million, for the fiscal years ended March 31, 2023 and 2022, respectively. The Company has no restrictions on the foreign exchange activities of its foreign subsidiaries, including the payment of dividends and other distributions.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invests its available cash in high credit, quality financial instruments and invests primarily in investment-grade marketable securities, including, but not limited to, government obligations, money market funds and corporate debt instruments.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obtain additional contract modifications in the year ending March 31, 2024 and beyond as incremental funding is authorized and appropriated by the government.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See Note 17, “Commitments and Contingencies,” for further information.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Company’s financial instruments consist principally of cash and cash equivalents, accounts receivable, accounts payable, accrued expenses, and derivatives. The carrying amounts of cash and cash equivalents, accounts receivable, short-term debt, accounts payable, and accrued expenses due to their short nature approximate fair value at March 31, 2023 and 2022. The estimated fair values have been determined through information obtained from market sources and management estimates. Changes in fair value are recorded to other income (expense), net. The fair value for the contingent consideration is estimated using a Monte Carlo simulation and subject to revaluation at each balance sheet date. The fair value for the warrant arrangements was historically estimated by management based on various assumptions in a lattice model and was subject to revaluation at each balance sheet date. The Company classifies the estimates used to fair value these instruments as Level 3 inputs. See Note 6, “Fair Value Measurements” for a full discussion on fair value measurements.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808" w:gutter="0" w:footer="0" w:header="0"/>
        </w:sectPr>
      </w:pPr>
    </w:p>
    <w:bookmarkStart w:id="56" w:name="page57"/>
    <w:bookmarkEnd w:id="56"/>
    <w:p>
      <w:pPr>
        <w:ind w:left="10"/>
        <w:spacing w:after="0"/>
        <w:rPr>
          <w:sz w:val="20"/>
          <w:szCs w:val="20"/>
          <w:color w:val="auto"/>
        </w:rPr>
      </w:pPr>
      <w:r>
        <w:rPr>
          <w:rFonts w:ascii="Arial" w:cs="Arial" w:eastAsia="Arial" w:hAnsi="Arial"/>
          <w:sz w:val="18"/>
          <w:szCs w:val="18"/>
          <w:b w:val="1"/>
          <w:bCs w:val="1"/>
          <w:color w:val="auto"/>
        </w:rPr>
        <w:t>3. Acquisitions</w:t>
      </w:r>
    </w:p>
    <w:p>
      <w:pPr>
        <w:spacing w:after="0" w:line="200" w:lineRule="exact"/>
        <w:rPr>
          <w:sz w:val="20"/>
          <w:szCs w:val="20"/>
          <w:color w:val="auto"/>
        </w:rPr>
      </w:pPr>
    </w:p>
    <w:p>
      <w:pPr>
        <w:spacing w:after="0" w:line="245"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jc w:val="both"/>
        <w:ind w:left="10" w:firstLine="486"/>
        <w:spacing w:after="0" w:line="277" w:lineRule="auto"/>
        <w:rPr>
          <w:sz w:val="20"/>
          <w:szCs w:val="20"/>
          <w:color w:val="auto"/>
        </w:rPr>
      </w:pPr>
      <w:r>
        <w:rPr>
          <w:rFonts w:ascii="Arial" w:cs="Arial" w:eastAsia="Arial" w:hAnsi="Arial"/>
          <w:sz w:val="18"/>
          <w:szCs w:val="18"/>
          <w:color w:val="auto"/>
        </w:rPr>
        <w:t>On May 6, 2021, the Company entered into a Purchase and Sale Agreement (the "Real Property Purchase Agreement") and a Stock Purchase Agreement (the "Neeltran Stock Purchase Agreement") with the selling equity holders named therein.</w:t>
      </w:r>
    </w:p>
    <w:p>
      <w:pPr>
        <w:spacing w:after="0" w:line="170" w:lineRule="exact"/>
        <w:rPr>
          <w:sz w:val="20"/>
          <w:szCs w:val="20"/>
          <w:color w:val="auto"/>
        </w:rPr>
      </w:pPr>
    </w:p>
    <w:p>
      <w:pPr>
        <w:jc w:val="both"/>
        <w:ind w:left="10" w:firstLine="486"/>
        <w:spacing w:after="0" w:line="257" w:lineRule="auto"/>
        <w:rPr>
          <w:sz w:val="20"/>
          <w:szCs w:val="20"/>
          <w:color w:val="auto"/>
        </w:rPr>
      </w:pPr>
      <w:r>
        <w:rPr>
          <w:rFonts w:ascii="Arial" w:cs="Arial" w:eastAsia="Arial" w:hAnsi="Arial"/>
          <w:sz w:val="18"/>
          <w:szCs w:val="18"/>
          <w:color w:val="auto"/>
        </w:rPr>
        <w:t>Pursuant to the terms of the Neeltran Stock Purchase Agreement, the Company purchased all of the issued and outstanding shares of capital stock of Neeltran, Inc., a Connecticut corporation ("Neeltran") and Neeltran International, Inc., a Connecticut corporation ("International") for $1.0 million in cash and 301,556 shares of the Company's common stock, $.01 par value per share ("AMSC Shares"), that were paid and issued, respectively, to the Neeltran selling stockholders (the "Neeltran Acquisition"). The Company also paid $1.1 million to International selling stockholders to pay off previous loans made by them to Neeltran.</w:t>
      </w:r>
    </w:p>
    <w:p>
      <w:pPr>
        <w:spacing w:after="0" w:line="188" w:lineRule="exact"/>
        <w:rPr>
          <w:sz w:val="20"/>
          <w:szCs w:val="20"/>
          <w:color w:val="auto"/>
        </w:rPr>
      </w:pPr>
    </w:p>
    <w:p>
      <w:pPr>
        <w:jc w:val="both"/>
        <w:ind w:left="10" w:firstLine="486"/>
        <w:spacing w:after="0" w:line="274" w:lineRule="auto"/>
        <w:rPr>
          <w:sz w:val="20"/>
          <w:szCs w:val="20"/>
          <w:color w:val="auto"/>
        </w:rPr>
      </w:pPr>
      <w:r>
        <w:rPr>
          <w:rFonts w:ascii="Arial" w:cs="Arial" w:eastAsia="Arial" w:hAnsi="Arial"/>
          <w:sz w:val="17"/>
          <w:szCs w:val="17"/>
          <w:color w:val="auto"/>
        </w:rPr>
        <w:t>Also on May 6, 2021</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Real Property Purchase Agreement, the Company's wholly-owned Connecticut limited liability company, AMSC Husky LLC ("AMSC Husky"), purchased the real property that serves as Neeltran's headquarters for $4.3 million, of which</w:t>
      </w:r>
    </w:p>
    <w:p>
      <w:pPr>
        <w:ind w:left="10" w:hanging="10"/>
        <w:spacing w:after="0" w:line="260"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$2.4 million was paid in immediately available funds by AMSC Husky to the owners of such real property, and (b) $1.9 million was paid directly to TD Bank as full payment for the outstanding indebtedness secured by the mortgage on such real property.</w:t>
      </w:r>
    </w:p>
    <w:p>
      <w:pPr>
        <w:spacing w:after="0" w:line="185" w:lineRule="exact"/>
        <w:rPr>
          <w:sz w:val="20"/>
          <w:szCs w:val="20"/>
          <w:color w:val="auto"/>
        </w:rPr>
      </w:pPr>
    </w:p>
    <w:p>
      <w:pPr>
        <w:jc w:val="both"/>
        <w:ind w:left="10" w:firstLine="486"/>
        <w:spacing w:after="0" w:line="311" w:lineRule="auto"/>
        <w:rPr>
          <w:sz w:val="20"/>
          <w:szCs w:val="20"/>
          <w:color w:val="auto"/>
        </w:rPr>
      </w:pPr>
      <w:r>
        <w:rPr>
          <w:rFonts w:ascii="Arial" w:cs="Arial" w:eastAsia="Arial" w:hAnsi="Arial"/>
          <w:sz w:val="16"/>
          <w:szCs w:val="16"/>
          <w:color w:val="auto"/>
        </w:rPr>
        <w:t>Additionally, the Company paid approximately $7.6 million, including $1.9 million of indebtedness secured by the mortgage on the real property as described above, directly to Neeltran lenders at closing to extinguish outstanding Neeltran indebtedness to third parties. The total purchase price of $16.4 million includes cash paid, the fair value of the AMSC Shares issued at closing and the debt payoff on behalf of the sellers as follows (in millions):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jc w:val="both"/>
        <w:ind w:left="10" w:firstLine="486"/>
        <w:spacing w:after="0" w:line="293" w:lineRule="auto"/>
        <w:rPr>
          <w:sz w:val="20"/>
          <w:szCs w:val="20"/>
          <w:color w:val="auto"/>
        </w:rPr>
      </w:pPr>
      <w:r>
        <w:rPr>
          <w:rFonts w:ascii="Arial" w:cs="Arial" w:eastAsia="Arial" w:hAnsi="Arial"/>
          <w:sz w:val="16"/>
          <w:szCs w:val="16"/>
          <w:color w:val="auto"/>
        </w:rPr>
        <w:t xml:space="preserve">The Neeltran Acquisition completed by the Company during the fiscal year ended March 31, 2022, has been accounted for under the purchase method of accounting in accordance with ASC </w:t>
      </w:r>
      <w:r>
        <w:rPr>
          <w:rFonts w:ascii="Arial" w:cs="Arial" w:eastAsia="Arial" w:hAnsi="Arial"/>
          <w:sz w:val="16"/>
          <w:szCs w:val="16"/>
          <w:i w:val="1"/>
          <w:iCs w:val="1"/>
          <w:color w:val="auto"/>
        </w:rPr>
        <w:t>805, Business Combinations.</w:t>
      </w:r>
      <w:r>
        <w:rPr>
          <w:rFonts w:ascii="Arial" w:cs="Arial" w:eastAsia="Arial" w:hAnsi="Arial"/>
          <w:sz w:val="16"/>
          <w:szCs w:val="16"/>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w:t>
      </w:r>
      <w:r>
        <w:rPr>
          <w:rFonts w:ascii="Arial" w:cs="Arial" w:eastAsia="Arial" w:hAnsi="Arial"/>
          <w:sz w:val="16"/>
          <w:szCs w:val="16"/>
          <w:i w:val="1"/>
          <w:iCs w:val="1"/>
          <w:color w:val="auto"/>
        </w:rPr>
        <w:t>842</w:t>
      </w:r>
      <w:r>
        <w:rPr>
          <w:rFonts w:ascii="Arial" w:cs="Arial" w:eastAsia="Arial" w:hAnsi="Arial"/>
          <w:sz w:val="16"/>
          <w:szCs w:val="16"/>
          <w:color w:val="auto"/>
        </w:rPr>
        <w:t xml:space="preserve"> ("ASC </w:t>
      </w:r>
      <w:r>
        <w:rPr>
          <w:rFonts w:ascii="Arial" w:cs="Arial" w:eastAsia="Arial" w:hAnsi="Arial"/>
          <w:sz w:val="16"/>
          <w:szCs w:val="16"/>
          <w:i w:val="1"/>
          <w:iCs w:val="1"/>
          <w:color w:val="auto"/>
        </w:rPr>
        <w:t>842"</w:t>
      </w:r>
      <w:r>
        <w:rPr>
          <w:rFonts w:ascii="Arial" w:cs="Arial" w:eastAsia="Arial" w:hAnsi="Arial"/>
          <w:sz w:val="16"/>
          <w:szCs w:val="16"/>
          <w:color w:val="auto"/>
        </w:rPr>
        <w:t xml:space="preserve">) was completed as part of the Neeltran Acquisition. See Note </w:t>
      </w:r>
      <w:r>
        <w:rPr>
          <w:rFonts w:ascii="Arial" w:cs="Arial" w:eastAsia="Arial" w:hAnsi="Arial"/>
          <w:sz w:val="16"/>
          <w:szCs w:val="16"/>
          <w:i w:val="1"/>
          <w:iCs w:val="1"/>
          <w:color w:val="auto"/>
        </w:rPr>
        <w:t>16</w:t>
      </w:r>
      <w:r>
        <w:rPr>
          <w:rFonts w:ascii="Arial" w:cs="Arial" w:eastAsia="Arial" w:hAnsi="Arial"/>
          <w:sz w:val="16"/>
          <w:szCs w:val="16"/>
          <w:color w:val="auto"/>
        </w:rPr>
        <w:t xml:space="preserve"> "Leases" for further details. Neeltran had previously adopted Accounting Standards Codification </w:t>
      </w:r>
      <w:r>
        <w:rPr>
          <w:rFonts w:ascii="Arial" w:cs="Arial" w:eastAsia="Arial" w:hAnsi="Arial"/>
          <w:sz w:val="16"/>
          <w:szCs w:val="16"/>
          <w:i w:val="1"/>
          <w:iCs w:val="1"/>
          <w:color w:val="auto"/>
        </w:rPr>
        <w:t>606, Revenue from Contracts with Customers</w:t>
      </w:r>
      <w:r>
        <w:rPr>
          <w:rFonts w:ascii="Arial" w:cs="Arial" w:eastAsia="Arial" w:hAnsi="Arial"/>
          <w:sz w:val="16"/>
          <w:szCs w:val="16"/>
          <w:color w:val="auto"/>
        </w:rPr>
        <w:t xml:space="preserve"> ("ASC </w:t>
      </w:r>
      <w:r>
        <w:rPr>
          <w:rFonts w:ascii="Arial" w:cs="Arial" w:eastAsia="Arial" w:hAnsi="Arial"/>
          <w:sz w:val="16"/>
          <w:szCs w:val="16"/>
          <w:i w:val="1"/>
          <w:iCs w:val="1"/>
          <w:color w:val="auto"/>
        </w:rPr>
        <w:t>606"</w:t>
      </w:r>
      <w:r>
        <w:rPr>
          <w:rFonts w:ascii="Arial" w:cs="Arial" w:eastAsia="Arial" w:hAnsi="Arial"/>
          <w:sz w:val="16"/>
          <w:szCs w:val="16"/>
          <w:color w:val="auto"/>
        </w:rPr>
        <w:t>) as part of prior year audited financial statements.</w:t>
      </w:r>
    </w:p>
    <w:p>
      <w:pPr>
        <w:spacing w:after="0" w:line="164" w:lineRule="exact"/>
        <w:rPr>
          <w:sz w:val="20"/>
          <w:szCs w:val="20"/>
          <w:color w:val="auto"/>
        </w:rPr>
      </w:pPr>
    </w:p>
    <w:p>
      <w:pPr>
        <w:jc w:val="both"/>
        <w:ind w:left="10" w:firstLine="486"/>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 with the Neeltran Acquisition (in millions):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left="10" w:firstLine="601"/>
        <w:spacing w:after="0" w:line="257" w:lineRule="auto"/>
        <w:rPr>
          <w:sz w:val="20"/>
          <w:szCs w:val="20"/>
          <w:color w:val="auto"/>
        </w:rPr>
      </w:pPr>
      <w:r>
        <w:rPr>
          <w:rFonts w:ascii="Arial" w:cs="Arial" w:eastAsia="Arial" w:hAnsi="Arial"/>
          <w:sz w:val="18"/>
          <w:szCs w:val="18"/>
          <w:color w:val="auto"/>
        </w:rPr>
        <w:t>Inventory includes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by $0.6 million in the twelve month period ended March 31, 2022 as the inventory was sold. This increase is not reflected in the pro forma condensed consolidated statements of operations because it does not have a continuing impact beyond the first year.</w:t>
      </w:r>
    </w:p>
    <w:p>
      <w:pPr>
        <w:spacing w:after="0" w:line="188" w:lineRule="exact"/>
        <w:rPr>
          <w:sz w:val="20"/>
          <w:szCs w:val="20"/>
          <w:color w:val="auto"/>
        </w:rPr>
      </w:pPr>
    </w:p>
    <w:p>
      <w:pPr>
        <w:jc w:val="both"/>
        <w:ind w:left="10" w:firstLine="486"/>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211" w:lineRule="exact"/>
        <w:rPr>
          <w:sz w:val="20"/>
          <w:szCs w:val="20"/>
          <w:color w:val="auto"/>
        </w:rPr>
      </w:pPr>
    </w:p>
    <w:p>
      <w:pPr>
        <w:jc w:val="both"/>
        <w:ind w:left="10" w:firstLine="486"/>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selling, general and administrative ("SG&amp;A").</w:t>
      </w:r>
    </w:p>
    <w:p>
      <w:pPr>
        <w:spacing w:after="0" w:line="211" w:lineRule="exact"/>
        <w:rPr>
          <w:sz w:val="20"/>
          <w:szCs w:val="20"/>
          <w:color w:val="auto"/>
        </w:rPr>
      </w:pPr>
    </w:p>
    <w:p>
      <w:pPr>
        <w:jc w:val="both"/>
        <w:ind w:left="10" w:firstLine="486"/>
        <w:spacing w:after="0" w:line="308" w:lineRule="auto"/>
        <w:rPr>
          <w:sz w:val="20"/>
          <w:szCs w:val="20"/>
          <w:color w:val="auto"/>
        </w:rPr>
      </w:pPr>
      <w:r>
        <w:rPr>
          <w:rFonts w:ascii="Arial" w:cs="Arial" w:eastAsia="Arial" w:hAnsi="Arial"/>
          <w:sz w:val="17"/>
          <w:szCs w:val="17"/>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ectPr>
          <w:pgSz w:w="11900" w:h="16838" w:orient="portrait"/>
          <w:cols w:equalWidth="0" w:num="1">
            <w:col w:w="11250"/>
          </w:cols>
          <w:pgMar w:left="310" w:top="850" w:right="339" w:bottom="0" w:gutter="0" w:footer="0" w:header="0"/>
        </w:sectPr>
      </w:pPr>
    </w:p>
    <w:bookmarkStart w:id="57" w:name="page58"/>
    <w:bookmarkEnd w:id="57"/>
    <w:p>
      <w:pPr>
        <w:jc w:val="both"/>
        <w:ind w:firstLine="486"/>
        <w:spacing w:after="0" w:line="263" w:lineRule="auto"/>
        <w:rPr>
          <w:sz w:val="20"/>
          <w:szCs w:val="20"/>
          <w:color w:val="auto"/>
        </w:rPr>
      </w:pPr>
      <w:r>
        <w:rPr>
          <w:rFonts w:ascii="Arial" w:cs="Arial" w:eastAsia="Arial" w:hAnsi="Arial"/>
          <w:sz w:val="18"/>
          <w:szCs w:val="18"/>
          <w:color w:val="auto"/>
        </w:rPr>
        <w:t>The goodwill represents the value associated with the acquired workforce and expected synergies related to the Neeltran Acquisition. Goodwill resulting from the Neeltran Acquisition was assigned to the Company's Grid business segment. Goodwill recognized in the Neeltran Acquisition is not deductible for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years ended March 31, 2023 and 2022 are presented as if the Neeltran Acquisition had occurred on April 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Twelve Months Ended March 31,</w:t>
            </w:r>
          </w:p>
        </w:tc>
      </w:tr>
      <w:tr>
        <w:trPr>
          <w:trHeight w:val="234"/>
        </w:trPr>
        <w:tc>
          <w:tcPr>
            <w:tcW w:w="4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111,265</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Operating loss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(33,022)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(20,975)</w:t>
            </w: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Basic</w:t>
            </w:r>
          </w:p>
        </w:tc>
        <w:tc>
          <w:tcPr>
            <w:tcW w:w="3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Shares - basic</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27,234</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pro forma amounts include the historical operating results of the Company, and Neeltran, with appropriate adjustments that give effect to acquisition related costs, income taxes, intangible amortization resulting from the Neeltran Acquisition and certain conforming accounting policies of the Company. The pro forma amounts are not necessarily indicative of the operating results that would have occurred if the Neeltran Acquisition and related transactions had been completed at the beginning of the applicable periods presented. In addition, the pro forma amounts are not necessarily indicative of operating results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NEPSI</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October 1, 2020 (the “NEPSI Acquisition Date”), the Company entered into a Stock Purchase Agreement (the “NEPSI Stock Purchase Agreement”) with the selling stockholders named therein. Pursuant to the terms of the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may receive up to an additional 1,000,000 shares of common stock of the Company upon the achievement of certain specified revenue objectives during varying periods of up to four years following closing of the NEPSI Acquisition.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As of March 31, 2023, 80% of revenue was recognized at the point in time when control transferred to the customer, with the remainder being recognized over time. In the fiscal year ended March 31, 2022, 76% of revenue was recognized at the point in time when control transferred to the customer, with the remainder being recognized over time.</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as the Company has determined that this is the point in time that control transfers to the customer.</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year ended March 31, 2023, the Company recorded no grant revenue. There was $1.1 million in grant revenue recorded in the year ended March 31, 2022, which is included in the Company's Grid revenue.</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jc w:val="both"/>
        <w:ind w:firstLine="486"/>
        <w:spacing w:after="0" w:line="268" w:lineRule="auto"/>
        <w:rPr>
          <w:sz w:val="20"/>
          <w:szCs w:val="20"/>
          <w:color w:val="auto"/>
        </w:rPr>
      </w:pPr>
      <w:r>
        <w:rPr>
          <w:rFonts w:ascii="Arial" w:cs="Arial" w:eastAsia="Arial" w:hAnsi="Arial"/>
          <w:sz w:val="17"/>
          <w:szCs w:val="17"/>
          <w:color w:val="auto"/>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service contracts can include a purchase order from a customer for specific goods in which each item is a distinct performance obligation satisfied at a point in time at which control of the goods is transferred to the customer which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policy is to not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 term amount will be assessed for materiality. The Company has elected to not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monitors costs to meet its obligations on its customer contracts. When it is evident that there is a loss expected on a contract, a contract loss is accrued in the period. During the year ended March 31, 2023, several long-term contracts that were acquired from Neeltran were impacted by higher than planned costs due to required design changes and the impact of inflation on material costs, resulting in an increase to the contract loss accrual of $2.7 million in the year ended March 31, 2023 which negatively impacted the Company's gross margins.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9"/>
              </w:rPr>
              <w:t>Year Ended March 31, 2023</w:t>
            </w:r>
          </w:p>
        </w:tc>
        <w:tc>
          <w:tcPr>
            <w:tcW w:w="100" w:type="dxa"/>
            <w:vAlign w:val="bottom"/>
          </w:tcPr>
          <w:p>
            <w:pPr>
              <w:spacing w:after="0"/>
              <w:rPr>
                <w:sz w:val="20"/>
                <w:szCs w:val="20"/>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Grid</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8"/>
                <w:szCs w:val="18"/>
                <w:color w:val="auto"/>
              </w:rPr>
            </w:pPr>
          </w:p>
        </w:tc>
      </w:tr>
      <w:tr>
        <w:trPr>
          <w:trHeight w:val="249"/>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Americas</w:t>
            </w:r>
          </w:p>
        </w:tc>
        <w:tc>
          <w:tcPr>
            <w:tcW w:w="2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67,664</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EMEA</w:t>
            </w:r>
          </w:p>
        </w:tc>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49"/>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9"/>
              </w:rPr>
              <w:t>Year Ended March 31, 2022</w:t>
            </w:r>
          </w:p>
        </w:tc>
        <w:tc>
          <w:tcPr>
            <w:tcW w:w="100" w:type="dxa"/>
            <w:vAlign w:val="bottom"/>
          </w:tcPr>
          <w:p>
            <w:pPr>
              <w:spacing w:after="0"/>
              <w:rPr>
                <w:sz w:val="20"/>
                <w:szCs w:val="20"/>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Grid</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8"/>
                <w:szCs w:val="18"/>
                <w:color w:val="auto"/>
              </w:rPr>
            </w:pPr>
          </w:p>
        </w:tc>
      </w:tr>
      <w:tr>
        <w:trPr>
          <w:trHeight w:val="249"/>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5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Americas</w:t>
            </w:r>
          </w:p>
        </w:tc>
        <w:tc>
          <w:tcPr>
            <w:tcW w:w="2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73,955</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EMEA</w:t>
            </w:r>
          </w:p>
        </w:tc>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00" w:type="dxa"/>
            <w:vAlign w:val="bottom"/>
            <w:tcBorders>
              <w:bottom w:val="single" w:sz="8" w:color="CCEEFF"/>
            </w:tcBorders>
            <w:shd w:val="clear" w:color="auto" w:fill="CCEEFF"/>
          </w:tcPr>
          <w:p>
            <w:pPr>
              <w:spacing w:after="0"/>
              <w:rPr>
                <w:sz w:val="21"/>
                <w:szCs w:val="21"/>
                <w:color w:val="auto"/>
              </w:rPr>
            </w:pPr>
          </w:p>
        </w:tc>
      </w:tr>
    </w:tbl>
    <w:p>
      <w:pPr>
        <w:sectPr>
          <w:pgSz w:w="11900" w:h="16838" w:orient="portrait"/>
          <w:cols w:equalWidth="0" w:num="1">
            <w:col w:w="11240"/>
          </w:cols>
          <w:pgMar w:left="320" w:top="611" w:right="339" w:bottom="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0" w:name="page61"/>
    <w:bookmarkEnd w:id="60"/>
    <w:p>
      <w:pPr>
        <w:spacing w:after="0" w:line="4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the fiscal years ended March 31, 2023, and 2022, 45% and 38% of the Company’s revenues, respectively, were recognized from sales outside the United States. The Company maintains operations in Austria and the United States and sales and service support centers around the world.</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of March 31, 2023 and March 31, 2022,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7, “Accounts Receivable” and Note 8, “Inventory” for a reconciliation to the condensed consolidated balance sheet) and contract liabilities, which are included in the current portion and long term portion of “deferred revenue” in the Company’s condensed consolidated balance sheets,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Program</w:t>
            </w:r>
          </w:p>
        </w:tc>
        <w:tc>
          <w:tcPr>
            <w:tcW w:w="2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Unbilled AR</w:t>
            </w:r>
          </w:p>
        </w:tc>
        <w:tc>
          <w:tcPr>
            <w:tcW w:w="30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Costs</w:t>
            </w:r>
          </w:p>
        </w:tc>
        <w:tc>
          <w:tcPr>
            <w:tcW w:w="22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Liabilities</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2022</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30,034</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77,489</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Increase (decrease) due to recognition of revenue based on transfer of control of</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performance obligations</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17,839</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(56,643)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changes and foreign currency exchange impact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r>
      <w:tr>
        <w:trPr>
          <w:trHeight w:val="250"/>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March 31, 2023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Program</w:t>
            </w:r>
          </w:p>
        </w:tc>
        <w:tc>
          <w:tcPr>
            <w:tcW w:w="2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Unbilled AR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Costs</w:t>
            </w:r>
          </w:p>
        </w:tc>
        <w:tc>
          <w:tcPr>
            <w:tcW w:w="22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Liabilities</w:t>
            </w: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Increases for balances acquired</w:t>
            </w: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10,048</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(16,125)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68,895</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w w:val="97"/>
              </w:rPr>
              <w:t>Increase (decrease) due to recognition of revenue based on transfer of control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performance obligations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(70,141)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foreign currency exchange impact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0"/>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as of March 31, 2022</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30,034</w:t>
            </w:r>
          </w:p>
        </w:tc>
        <w:tc>
          <w:tcPr>
            <w:tcW w:w="100" w:type="dxa"/>
            <w:vAlign w:val="bottom"/>
            <w:tcBorders>
              <w:top w:val="single" w:sz="8" w:color="CCEEFF"/>
            </w:tcBorders>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March 31, 2023, the Company had outstanding performance obligations on existing contracts under ASC 606 to be recognized in the next twelve months of approximately $125.7 million. There are also approximately $31.7 million of outstanding performance obligations to be recognized over a period of thirteen to sixty months. The remaining performance obligations are subject to customer actions and therefore the timing of revenue recognition cannot be reasonably estimated.</w:t>
      </w:r>
    </w:p>
    <w:p>
      <w:pPr>
        <w:spacing w:after="0" w:line="19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customers who represented 10% or more of the Company’s total revenues for the years ended March 31,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0"/>
              </w:rPr>
              <w:t>Year Ended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p>
        </w:tc>
        <w:tc>
          <w:tcPr>
            <w:tcW w:w="3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Reportable</w:t>
            </w:r>
          </w:p>
        </w:tc>
        <w:tc>
          <w:tcPr>
            <w:tcW w:w="214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478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Fuji Bridex Pte Ltd</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Grid</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guidance under ASC 805-30 provides for the recognition of goodwill on the acquisition date measured as the excess of the aggregate consideration transferred over the net of the acquisition date amounts of net assets acquired and liabilities assumed. The Company's goodwill balance relates to the Neeltran Acquisition in fiscal 2021, the NEPSI Acquisition in fiscal 2020, and Infinia Technology Corporation in fiscal 2017 and is reported in the Grid business segment.</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on February 28th and whenever events or changes in circumstances indicate that the carrying value of the goodwill might not be recoverable.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roll forward of the changes in the Company's Grid business segment goodwill balance: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Neeltran Acquisition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March 31, 2022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Less impairment loss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2023</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performed its annual assessment of goodwill on February 28, 2023 and noted no triggering events from the analysis date to March 31, 2023 and determined that there was no impairment to goodwill. Additionally, no impairment resulted from the assessment performed in the fiscal year ended March 31, 2022.</w:t>
      </w:r>
    </w:p>
    <w:p>
      <w:pPr>
        <w:sectPr>
          <w:pgSz w:w="11900" w:h="16882" w:orient="portrait"/>
          <w:cols w:equalWidth="0" w:num="1">
            <w:col w:w="11240"/>
          </w:cols>
          <w:pgMar w:left="320" w:top="611" w:right="339" w:bottom="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70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20" w:type="dxa"/>
            <w:vAlign w:val="bottom"/>
          </w:tcPr>
          <w:p>
            <w:pPr>
              <w:ind w:left="120"/>
              <w:spacing w:after="0"/>
              <w:rPr>
                <w:sz w:val="20"/>
                <w:szCs w:val="20"/>
                <w:color w:val="auto"/>
              </w:rPr>
            </w:pPr>
            <w:r>
              <w:rPr>
                <w:rFonts w:ascii="Arial" w:cs="Arial" w:eastAsia="Arial" w:hAnsi="Arial"/>
                <w:sz w:val="18"/>
                <w:szCs w:val="18"/>
                <w:color w:val="auto"/>
                <w:w w:val="91"/>
              </w:rPr>
              <w:t>Inputs are unadjusted quoted prices in active markets for identical assets or liabilities that the Company has the ability to access at</w:t>
            </w:r>
          </w:p>
        </w:tc>
      </w:tr>
      <w:tr>
        <w:trPr>
          <w:trHeight w:val="230"/>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70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20" w:type="dxa"/>
            <w:vAlign w:val="bottom"/>
          </w:tcPr>
          <w:p>
            <w:pPr>
              <w:ind w:left="120"/>
              <w:spacing w:after="0"/>
              <w:rPr>
                <w:sz w:val="20"/>
                <w:szCs w:val="20"/>
                <w:color w:val="auto"/>
              </w:rPr>
            </w:pPr>
            <w:r>
              <w:rPr>
                <w:rFonts w:ascii="Arial" w:cs="Arial" w:eastAsia="Arial" w:hAnsi="Arial"/>
                <w:sz w:val="18"/>
                <w:szCs w:val="18"/>
                <w:color w:val="auto"/>
                <w:w w:val="96"/>
              </w:rPr>
              <w:t>Inputs include quoted prices for similar assets and liabilities in active markets, quoted prices for identical or similar assets or</w:t>
            </w:r>
          </w:p>
        </w:tc>
      </w:tr>
      <w:tr>
        <w:trPr>
          <w:trHeight w:val="216"/>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w w:val="91"/>
              </w:rPr>
              <w:t>liabilities in markets that are not active, inputs other than quoted prices that are observable for the asset or liability, and inputs that</w:t>
            </w:r>
          </w:p>
        </w:tc>
      </w:tr>
      <w:tr>
        <w:trPr>
          <w:trHeight w:val="230"/>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w w:val="91"/>
              </w:rPr>
              <w:t>are derived principally from or corroborated by observable market data by correlation or other means (market corroborated inputs).</w:t>
            </w:r>
          </w:p>
        </w:tc>
      </w:tr>
      <w:tr>
        <w:trPr>
          <w:trHeight w:val="418"/>
        </w:trPr>
        <w:tc>
          <w:tcPr>
            <w:tcW w:w="70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20" w:type="dxa"/>
            <w:vAlign w:val="bottom"/>
          </w:tcPr>
          <w:p>
            <w:pPr>
              <w:ind w:left="120"/>
              <w:spacing w:after="0"/>
              <w:rPr>
                <w:sz w:val="20"/>
                <w:szCs w:val="20"/>
                <w:color w:val="auto"/>
              </w:rPr>
            </w:pPr>
            <w:r>
              <w:rPr>
                <w:rFonts w:ascii="Arial" w:cs="Arial" w:eastAsia="Arial" w:hAnsi="Arial"/>
                <w:sz w:val="18"/>
                <w:szCs w:val="18"/>
                <w:color w:val="auto"/>
                <w:w w:val="91"/>
              </w:rPr>
              <w:t>Unobservable inputs that reflect the Company’s assumptions that market participants would use in pricing the asset or liability. The</w:t>
            </w:r>
          </w:p>
        </w:tc>
      </w:tr>
      <w:tr>
        <w:trPr>
          <w:trHeight w:val="230"/>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year ended March 31, 2023.</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Contingent consideration relates to the earnout payment for the NEPSI Acquisition. See Note 3 "Acquisitions" and Note 12, "Contingent Consideration" for further discussion. The Company relied on a Monte Carlo simulation pricing method to determine the fair value of the contingent consideration on the NEPSI Acquisition Date and will continue to revalue the fair value of the contingent consideration at each subsequent balance sheet date until the final settlement date, with the resulting gain or loss recorded in operating expenses.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March 31, 2023 and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Quoted Prices in</w:t>
            </w:r>
          </w:p>
        </w:tc>
        <w:tc>
          <w:tcPr>
            <w:tcW w:w="1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 Markets</w:t>
            </w:r>
          </w:p>
        </w:tc>
        <w:tc>
          <w:tcPr>
            <w:tcW w:w="1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Observable Inputs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 (Level 3)</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March 31, 2023:</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Quoted Prices in</w:t>
            </w:r>
          </w:p>
        </w:tc>
        <w:tc>
          <w:tcPr>
            <w:tcW w:w="1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 Markets</w:t>
            </w:r>
          </w:p>
        </w:tc>
        <w:tc>
          <w:tcPr>
            <w:tcW w:w="1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Observable Inputs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 (Level 3)</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March 31, 2022:</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432"/>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63" w:name="page64"/>
    <w:bookmarkEnd w:id="63"/>
    <w:p>
      <w:pPr>
        <w:ind w:left="500"/>
        <w:spacing w:after="0"/>
        <w:rPr>
          <w:sz w:val="20"/>
          <w:szCs w:val="20"/>
          <w:color w:val="auto"/>
        </w:rPr>
      </w:pPr>
      <w:r>
        <w:rPr>
          <w:rFonts w:ascii="Arial" w:cs="Arial" w:eastAsia="Arial" w:hAnsi="Arial"/>
          <w:sz w:val="17"/>
          <w:szCs w:val="17"/>
          <w:color w:val="auto"/>
        </w:rPr>
        <w:t>The table below reflects the activity for the Company’s major classes of liabilities measured at fair value on a recurring basis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3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3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Consideration</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4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Change in fair value</w:t>
            </w: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(5,850)</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4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8"/>
                <w:szCs w:val="18"/>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4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83"/>
        </w:trPr>
        <w:tc>
          <w:tcPr>
            <w:tcW w:w="3240" w:type="dxa"/>
            <w:vAlign w:val="bottom"/>
          </w:tcPr>
          <w:p>
            <w:pPr>
              <w:spacing w:after="0"/>
              <w:rPr>
                <w:sz w:val="20"/>
                <w:szCs w:val="20"/>
                <w:color w:val="auto"/>
              </w:rPr>
            </w:pPr>
            <w:r>
              <w:rPr>
                <w:rFonts w:ascii="Arial" w:cs="Arial" w:eastAsia="Arial" w:hAnsi="Arial"/>
                <w:sz w:val="18"/>
                <w:szCs w:val="18"/>
                <w:b w:val="1"/>
                <w:bCs w:val="1"/>
                <w:color w:val="auto"/>
              </w:rPr>
              <w:t>7. Accounts Receivable</w:t>
            </w: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w w:val="93"/>
              </w:rPr>
              <w:t>Accounts receivable at March 31, 2023 and</w:t>
            </w:r>
          </w:p>
        </w:tc>
        <w:tc>
          <w:tcPr>
            <w:tcW w:w="4860" w:type="dxa"/>
            <w:vAlign w:val="bottom"/>
            <w:gridSpan w:val="2"/>
          </w:tcPr>
          <w:p>
            <w:pPr>
              <w:jc w:val="right"/>
              <w:ind w:right="550"/>
              <w:spacing w:after="0"/>
              <w:rPr>
                <w:sz w:val="20"/>
                <w:szCs w:val="20"/>
                <w:color w:val="auto"/>
              </w:rPr>
            </w:pPr>
            <w:r>
              <w:rPr>
                <w:rFonts w:ascii="Arial" w:cs="Arial" w:eastAsia="Arial" w:hAnsi="Arial"/>
                <w:sz w:val="18"/>
                <w:szCs w:val="18"/>
                <w:color w:val="auto"/>
                <w:w w:val="92"/>
              </w:rPr>
              <w:t>March 31, 2022 consisted of the following (in thousands):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March 31, 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2022</w:t>
            </w: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4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20,707</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9,958</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100" w:type="dxa"/>
            <w:vAlign w:val="bottom"/>
          </w:tcPr>
          <w:p>
            <w:pPr>
              <w:spacing w:after="0"/>
              <w:rPr>
                <w:sz w:val="18"/>
                <w:szCs w:val="18"/>
                <w:color w:val="auto"/>
              </w:rPr>
            </w:pPr>
          </w:p>
        </w:tc>
      </w:tr>
      <w:tr>
        <w:trPr>
          <w:trHeight w:val="250"/>
        </w:trPr>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net of reserves, at March 31, 2023 and March 31, 2022 consisted of the following (in thousands):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program costs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r>
      <w:tr>
        <w:trPr>
          <w:trHeight w:val="195"/>
        </w:trPr>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16,654</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11,020</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10,462</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36,986</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23,666</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-719455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-445135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-162560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611" w:right="339" w:bottom="1440" w:gutter="0" w:footer="0" w:header="0"/>
          <w:type w:val="continuous"/>
        </w:sectPr>
      </w:pPr>
    </w:p>
    <w:p>
      <w:pPr>
        <w:spacing w:after="0" w:line="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recorded inventory reserves of $1.5 million and $1.9 million for the fiscal years ended March 31, 2023 and 2022, respectively. These reserves were based on evaluating its inventory on hand for excess quantities and obsolescence.</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Deferred program costs as of March 31, 2023 and March 31, 2022 primarily represent costs incurred on programs accounted for upon completion of the project when control has transferred to the customer before revenue and costs will be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9. Prepaid and Other Current Assets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fiscal 2022, the Company conducted an analysis as to whether it was entitled to employee retention credits (“ERC”) under the CARES Act as amended by the Taxpayer Certainty and Disaster Tax Relief Act of 2020 and the American Plan Act of 2021. Based on the analysis, the Company determined that it was entitled to an ERC of approximately $3.3 million related to payroll taxes paid in the first and second quarters of 2021 and the first quarter of 2020. The Company determined it met all the criteria required under the gross receipts test of the applicable Internal Revenue Service regulations related to ERCs.</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As accounting for payroll tax credits are not within the scope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has chosen to account for the ERCs by analogizing to the International Accounting Standards Board IAS 20, Accounting for Government Grants and Disclosure of Government Assistance. In accordance with IAS 20,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three month periods ended March 31, 2021 and June 30, 2021 and for up to 50% of the qualified wages the Company paid to employees for the three month period ended March 31, 2020.</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recorded a $3.3 million receivable in Prepaid expenses and other current assets and a benefit of $1.8 million to Cost of revenues, $0.8 million to SG&amp;A and $0.7 million to Research and development in the fiscal year ended March 31, 2023 for the ERC that is expected to be received based on the amended filings.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accumulated depreciation of property and equipment at March 31, 2023 and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March 31, 2022</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Construction in progress - equipment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43,668</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8"/>
                <w:szCs w:val="18"/>
                <w:color w:val="auto"/>
              </w:rPr>
            </w:pPr>
          </w:p>
        </w:tc>
      </w:tr>
      <w:tr>
        <w:trPr>
          <w:trHeight w:val="216"/>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58,512</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(44,856)</w:t>
            </w:r>
          </w:p>
        </w:tc>
      </w:tr>
      <w:tr>
        <w:trPr>
          <w:trHeight w:val="20"/>
        </w:trPr>
        <w:tc>
          <w:tcPr>
            <w:tcW w:w="64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12,309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480" w:type="dxa"/>
            <w:vAlign w:val="bottom"/>
          </w:tcPr>
          <w:p>
            <w:pPr>
              <w:ind w:left="500"/>
              <w:spacing w:after="0"/>
              <w:rPr>
                <w:sz w:val="20"/>
                <w:szCs w:val="20"/>
                <w:color w:val="auto"/>
              </w:rPr>
            </w:pPr>
            <w:r>
              <w:rPr>
                <w:rFonts w:ascii="Arial" w:cs="Arial" w:eastAsia="Arial" w:hAnsi="Arial"/>
                <w:sz w:val="18"/>
                <w:szCs w:val="18"/>
                <w:color w:val="auto"/>
                <w:w w:val="91"/>
              </w:rPr>
              <w:t>Depreciation expense was $2.6 million and $2.7 million, for the fiscal years ended</w:t>
            </w:r>
          </w:p>
        </w:tc>
        <w:tc>
          <w:tcPr>
            <w:tcW w:w="3100" w:type="dxa"/>
            <w:vAlign w:val="bottom"/>
            <w:gridSpan w:val="4"/>
          </w:tcPr>
          <w:p>
            <w:pPr>
              <w:jc w:val="right"/>
              <w:ind w:right="220"/>
              <w:spacing w:after="0"/>
              <w:rPr>
                <w:sz w:val="20"/>
                <w:szCs w:val="20"/>
                <w:color w:val="auto"/>
              </w:rPr>
            </w:pPr>
            <w:r>
              <w:rPr>
                <w:rFonts w:ascii="Arial" w:cs="Arial" w:eastAsia="Arial" w:hAnsi="Arial"/>
                <w:sz w:val="18"/>
                <w:szCs w:val="18"/>
                <w:color w:val="auto"/>
                <w:w w:val="90"/>
              </w:rPr>
              <w:t>March 31, 2023 and 2022, respectively.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80" w:type="dxa"/>
            <w:vAlign w:val="bottom"/>
          </w:tcPr>
          <w:p>
            <w:pPr>
              <w:ind w:left="5540"/>
              <w:spacing w:after="0"/>
              <w:rPr>
                <w:sz w:val="20"/>
                <w:szCs w:val="20"/>
                <w:color w:val="auto"/>
              </w:rPr>
            </w:pPr>
            <w:r>
              <w:rPr>
                <w:rFonts w:ascii="Arial" w:cs="Arial" w:eastAsia="Arial" w:hAnsi="Arial"/>
                <w:sz w:val="18"/>
                <w:szCs w:val="18"/>
                <w:color w:val="auto"/>
              </w:rPr>
              <w:t>52</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4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rPr>
              <w:t>11. Intangible 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00" w:type="dxa"/>
            <w:vAlign w:val="bottom"/>
            <w:gridSpan w:val="13"/>
          </w:tcPr>
          <w:p>
            <w:pPr>
              <w:ind w:left="500"/>
              <w:spacing w:after="0"/>
              <w:rPr>
                <w:sz w:val="20"/>
                <w:szCs w:val="20"/>
                <w:color w:val="auto"/>
              </w:rPr>
            </w:pPr>
            <w:r>
              <w:rPr>
                <w:rFonts w:ascii="Arial" w:cs="Arial" w:eastAsia="Arial" w:hAnsi="Arial"/>
                <w:sz w:val="18"/>
                <w:szCs w:val="18"/>
                <w:color w:val="auto"/>
                <w:w w:val="91"/>
              </w:rPr>
              <w:t>Intangible assets at March 31, 2023 and 2022 consisted of the following (in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11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Net Book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Net Book</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Backlog</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center"/>
              <w:ind w:left="23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Indefinite</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(2,723)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6,877</w:t>
            </w:r>
          </w:p>
        </w:tc>
        <w:tc>
          <w:tcPr>
            <w:tcW w:w="1120" w:type="dxa"/>
            <w:vAlign w:val="bottom"/>
            <w:gridSpan w:val="2"/>
          </w:tcPr>
          <w:p>
            <w:pPr>
              <w:jc w:val="center"/>
              <w:ind w:left="230"/>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 and know-how</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1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8"/>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21,661</w:t>
            </w:r>
          </w:p>
        </w:tc>
        <w:tc>
          <w:tcPr>
            <w:tcW w:w="2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(13,134)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21,661</w:t>
            </w:r>
          </w:p>
        </w:tc>
        <w:tc>
          <w:tcPr>
            <w:tcW w:w="42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(10,350)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11,311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20" w:firstLine="486"/>
        <w:spacing w:after="0" w:line="263" w:lineRule="auto"/>
        <w:rPr>
          <w:sz w:val="20"/>
          <w:szCs w:val="20"/>
          <w:color w:val="auto"/>
        </w:rPr>
      </w:pPr>
      <w:r>
        <w:rPr>
          <w:rFonts w:ascii="Arial" w:cs="Arial" w:eastAsia="Arial" w:hAnsi="Arial"/>
          <w:sz w:val="18"/>
          <w:szCs w:val="18"/>
          <w:color w:val="auto"/>
        </w:rPr>
        <w:t>The Company recorded intangible amortization expense of $2.8 million and $2.5 million, for the fiscal years ended March 31, 2023 and 2022, respectively. Additionally, the Company recorded less than $0.1 million and $0.2 million related to intangible amortization related to backlog that is reported in cost of revenues for the fiscal years ended March 31, 2023, and 2022,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tcPr>
          <w:p>
            <w:pPr>
              <w:ind w:left="50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60" w:type="dxa"/>
            <w:vAlign w:val="bottom"/>
          </w:tcPr>
          <w:p>
            <w:pPr>
              <w:spacing w:after="0"/>
              <w:rPr>
                <w:sz w:val="20"/>
                <w:szCs w:val="20"/>
                <w:color w:val="auto"/>
              </w:rPr>
            </w:pPr>
            <w:r>
              <w:rPr>
                <w:rFonts w:ascii="Arial" w:cs="Arial" w:eastAsia="Arial" w:hAnsi="Arial"/>
                <w:sz w:val="18"/>
                <w:szCs w:val="18"/>
                <w:b w:val="1"/>
                <w:bCs w:val="1"/>
                <w:color w:val="auto"/>
              </w:rPr>
              <w:t>Fiscal years ending March 31,</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r>
      <w:tr>
        <w:trPr>
          <w:trHeight w:val="210"/>
        </w:trPr>
        <w:tc>
          <w:tcPr>
            <w:tcW w:w="9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w w:val="92"/>
              </w:rPr>
              <w:t>12. Accounts Payable and Accrued Expenses</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0" w:type="dxa"/>
            <w:vAlign w:val="bottom"/>
          </w:tcPr>
          <w:p>
            <w:pPr>
              <w:ind w:left="500"/>
              <w:spacing w:after="0"/>
              <w:rPr>
                <w:sz w:val="20"/>
                <w:szCs w:val="20"/>
                <w:color w:val="auto"/>
              </w:rPr>
            </w:pPr>
            <w:r>
              <w:rPr>
                <w:rFonts w:ascii="Arial" w:cs="Arial" w:eastAsia="Arial" w:hAnsi="Arial"/>
                <w:sz w:val="18"/>
                <w:szCs w:val="18"/>
                <w:color w:val="auto"/>
                <w:w w:val="88"/>
              </w:rPr>
              <w:t>Accounts payable and accrued expenses at</w:t>
            </w:r>
          </w:p>
        </w:tc>
        <w:tc>
          <w:tcPr>
            <w:tcW w:w="5840" w:type="dxa"/>
            <w:vAlign w:val="bottom"/>
            <w:gridSpan w:val="3"/>
          </w:tcPr>
          <w:p>
            <w:pPr>
              <w:jc w:val="right"/>
              <w:spacing w:after="0"/>
              <w:rPr>
                <w:sz w:val="20"/>
                <w:szCs w:val="20"/>
                <w:color w:val="auto"/>
              </w:rPr>
            </w:pPr>
            <w:r>
              <w:rPr>
                <w:rFonts w:ascii="Arial" w:cs="Arial" w:eastAsia="Arial" w:hAnsi="Arial"/>
                <w:sz w:val="18"/>
                <w:szCs w:val="18"/>
                <w:color w:val="auto"/>
                <w:w w:val="92"/>
              </w:rPr>
              <w:t>March 31, 2023 and March 31, 2022 consisted of the following (in thousands):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2023</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4"/>
                <w:szCs w:val="24"/>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contract loss</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Advanced deposits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compensation</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r>
      <w:tr>
        <w:trPr>
          <w:trHeight w:val="216"/>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restructuring</w:t>
            </w:r>
          </w:p>
        </w:tc>
        <w:tc>
          <w:tcPr>
            <w:tcW w:w="4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38,383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29,140</w:t>
            </w:r>
          </w:p>
        </w:tc>
        <w:tc>
          <w:tcPr>
            <w:tcW w:w="10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500"/>
              <w:spacing w:after="0"/>
              <w:rPr>
                <w:sz w:val="20"/>
                <w:szCs w:val="20"/>
                <w:color w:val="auto"/>
              </w:rPr>
            </w:pPr>
            <w:r>
              <w:rPr>
                <w:rFonts w:ascii="Arial" w:cs="Arial" w:eastAsia="Arial" w:hAnsi="Arial"/>
                <w:sz w:val="18"/>
                <w:szCs w:val="18"/>
                <w:color w:val="auto"/>
              </w:rPr>
              <w:t>Product warranty activity was as follows (in thousands):</w:t>
            </w: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7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2,053</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Acquired Warranty Obligation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 for warranties during the period</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(1,704)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r>
      <w:tr>
        <w:trPr>
          <w:trHeight w:val="210"/>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Stock Purchase Agreement (see Note 3,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18"/>
                <w:szCs w:val="18"/>
                <w:color w:val="auto"/>
              </w:rPr>
            </w:pPr>
          </w:p>
        </w:tc>
        <w:tc>
          <w:tcPr>
            <w:tcW w:w="1340" w:type="dxa"/>
            <w:vAlign w:val="bottom"/>
          </w:tcPr>
          <w:p>
            <w:pPr>
              <w:ind w:left="120"/>
              <w:spacing w:after="0"/>
              <w:rPr>
                <w:sz w:val="20"/>
                <w:szCs w:val="20"/>
                <w:color w:val="auto"/>
              </w:rPr>
            </w:pPr>
            <w:r>
              <w:rPr>
                <w:rFonts w:ascii="Arial" w:cs="Arial" w:eastAsia="Arial" w:hAnsi="Arial"/>
                <w:sz w:val="18"/>
                <w:szCs w:val="18"/>
                <w:b w:val="1"/>
                <w:bCs w:val="1"/>
                <w:color w:val="auto"/>
                <w:w w:val="97"/>
              </w:rPr>
              <w:t>September 30,</w:t>
            </w:r>
          </w:p>
        </w:tc>
        <w:tc>
          <w:tcPr>
            <w:tcW w:w="2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8"/>
                <w:szCs w:val="18"/>
                <w:b w:val="1"/>
                <w:bCs w:val="1"/>
                <w:color w:val="auto"/>
                <w:w w:val="94"/>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r>
              <w:rPr>
                <w:rFonts w:ascii="Arial" w:cs="Arial" w:eastAsia="Arial" w:hAnsi="Arial"/>
                <w:sz w:val="18"/>
                <w:szCs w:val="18"/>
                <w:color w:val="auto"/>
              </w:rPr>
              <w:t>Fiscal Year 2022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 volatility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$4.91</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$3.68</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Payment delay (days)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color w:val="auto"/>
              </w:rPr>
              <w:t>Fiscal Year 2021</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140" w:type="dxa"/>
            <w:vAlign w:val="bottom"/>
          </w:tcPr>
          <w:p>
            <w:pPr>
              <w:spacing w:after="0"/>
              <w:rPr>
                <w:sz w:val="20"/>
                <w:szCs w:val="20"/>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Revenue volatility</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Payment delay (days)</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recorded a net loss of $0.1 million for the increase in the fair value of the contingent consideration in the twelve months ended March 31, 2023. The change in the fair value of the Company's contingent consideration for the earnout payment on the NEPSI Acquisition resulted in a gain of $5.9 million in the year ended March 31,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(Loss) income before income taxes for the fiscal years ended March 31, 2023, and 2022 are provided in the table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6"/>
              </w:rPr>
              <w:t>Fiscal years ended March 31,</w:t>
            </w:r>
          </w:p>
        </w:tc>
      </w:tr>
      <w:tr>
        <w:trPr>
          <w:trHeight w:val="209"/>
        </w:trPr>
        <w:tc>
          <w:tcPr>
            <w:tcW w:w="79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 expense: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(33,924)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(21,639)</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r>
      <w:tr>
        <w:trPr>
          <w:trHeight w:val="20"/>
        </w:trPr>
        <w:tc>
          <w:tcPr>
            <w:tcW w:w="7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(34,826)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(21,042)</w:t>
            </w:r>
          </w:p>
        </w:tc>
      </w:tr>
      <w:tr>
        <w:trPr>
          <w:trHeight w:val="20"/>
        </w:trPr>
        <w:tc>
          <w:tcPr>
            <w:tcW w:w="7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tax expense (benefit) attributable to continuing operations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26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years ended March 31,</w:t>
            </w:r>
          </w:p>
        </w:tc>
      </w:tr>
      <w:tr>
        <w:trPr>
          <w:trHeight w:val="209"/>
        </w:trPr>
        <w:tc>
          <w:tcPr>
            <w:tcW w:w="3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Federal</w:t>
            </w:r>
          </w:p>
        </w:tc>
        <w:tc>
          <w:tcPr>
            <w:tcW w:w="52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4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color w:val="auto"/>
              </w:rPr>
              <w:t>Total current</w:t>
            </w:r>
          </w:p>
        </w:tc>
        <w:tc>
          <w:tcPr>
            <w:tcW w:w="4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Deferred</w:t>
            </w:r>
          </w:p>
        </w:tc>
        <w:tc>
          <w:tcPr>
            <w:tcW w:w="4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4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4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52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5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2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(1,849)</w:t>
            </w:r>
          </w:p>
        </w:tc>
      </w:tr>
      <w:tr>
        <w:trPr>
          <w:trHeight w:val="629"/>
        </w:trPr>
        <w:tc>
          <w:tcPr>
            <w:tcW w:w="3820" w:type="dxa"/>
            <w:vAlign w:val="bottom"/>
            <w:tcBorders>
              <w:top w:val="single" w:sz="8" w:color="CCEEFF"/>
            </w:tcBorders>
          </w:tcPr>
          <w:p>
            <w:pPr>
              <w:spacing w:after="0"/>
              <w:rPr>
                <w:sz w:val="24"/>
                <w:szCs w:val="24"/>
                <w:color w:val="auto"/>
              </w:rPr>
            </w:pPr>
          </w:p>
        </w:tc>
        <w:tc>
          <w:tcPr>
            <w:tcW w:w="4160" w:type="dxa"/>
            <w:vAlign w:val="bottom"/>
            <w:tcBorders>
              <w:top w:val="single" w:sz="8" w:color="CCEEFF"/>
            </w:tcBorders>
          </w:tcPr>
          <w:p>
            <w:pPr>
              <w:jc w:val="right"/>
              <w:ind w:right="2170"/>
              <w:spacing w:after="0"/>
              <w:rPr>
                <w:sz w:val="20"/>
                <w:szCs w:val="20"/>
                <w:color w:val="auto"/>
              </w:rPr>
            </w:pPr>
            <w:r>
              <w:rPr>
                <w:rFonts w:ascii="Arial" w:cs="Arial" w:eastAsia="Arial" w:hAnsi="Arial"/>
                <w:sz w:val="18"/>
                <w:szCs w:val="18"/>
                <w:color w:val="auto"/>
              </w:rPr>
              <w:t>55</w:t>
            </w: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68" w:name="page69"/>
    <w:bookmarkEnd w:id="68"/>
    <w:p>
      <w:pPr>
        <w:ind w:left="500"/>
        <w:spacing w:after="0"/>
        <w:rPr>
          <w:sz w:val="20"/>
          <w:szCs w:val="20"/>
          <w:color w:val="auto"/>
        </w:rPr>
      </w:pPr>
      <w:r>
        <w:rPr>
          <w:rFonts w:ascii="Arial" w:cs="Arial" w:eastAsia="Arial" w:hAnsi="Arial"/>
          <w:sz w:val="18"/>
          <w:szCs w:val="18"/>
          <w:color w:val="auto"/>
        </w:rPr>
        <w:t>The reconciliation between the statutory federal income tax rate and the Company’s effective income tax rate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w w:val="97"/>
              </w:rPr>
              <w:t>Fiscal years ended March 31,</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rate differential</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True-up of NOLs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9600" w:type="dxa"/>
            <w:vAlign w:val="bottom"/>
            <w:gridSpan w:val="7"/>
          </w:tcPr>
          <w:p>
            <w:pPr>
              <w:ind w:left="500"/>
              <w:spacing w:after="0"/>
              <w:rPr>
                <w:sz w:val="20"/>
                <w:szCs w:val="20"/>
                <w:color w:val="auto"/>
              </w:rPr>
            </w:pPr>
            <w:r>
              <w:rPr>
                <w:rFonts w:ascii="Arial" w:cs="Arial" w:eastAsia="Arial" w:hAnsi="Arial"/>
                <w:sz w:val="18"/>
                <w:szCs w:val="18"/>
                <w:color w:val="auto"/>
                <w:w w:val="92"/>
              </w:rPr>
              <w:t>The following is a summary of the principal components of the Company’s deferred tax assets and liabilities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March 31, 2023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March 31, 2022</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163,674</w:t>
            </w:r>
          </w:p>
        </w:tc>
        <w:tc>
          <w:tcPr>
            <w:tcW w:w="1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171,274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and other tax credit carryforwards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Capitalized research and development costs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Fixed assets and intangible assets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187,972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192,101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(183,567)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(186,618)</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2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4,405</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(1,523)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60" w:type="dxa"/>
            <w:vAlign w:val="bottom"/>
            <w:vMerge w:val="restart"/>
          </w:tcPr>
          <w:p>
            <w:pPr>
              <w:jc w:val="right"/>
              <w:ind w:right="203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69" w:name="page70"/>
    <w:bookmarkEnd w:id="69"/>
    <w:p>
      <w:pPr>
        <w:jc w:val="both"/>
        <w:ind w:firstLine="486"/>
        <w:spacing w:after="0" w:line="259" w:lineRule="auto"/>
        <w:rPr>
          <w:sz w:val="20"/>
          <w:szCs w:val="20"/>
          <w:color w:val="auto"/>
        </w:rPr>
      </w:pPr>
      <w:r>
        <w:rPr>
          <w:rFonts w:ascii="Arial" w:cs="Arial" w:eastAsia="Arial" w:hAnsi="Arial"/>
          <w:sz w:val="18"/>
          <w:szCs w:val="18"/>
          <w:color w:val="auto"/>
        </w:rPr>
        <w:t>Under the Tax Cuts and Jobs Act of 2017, taxpayers are required to capitalize and amortize expenses related for research and experimental as classified under Section 174 beginning in 2022. Amortization recovery for such costs are five years for domestic expenditures and fifteen for foreign expenditures. As of March 31, 2023, the Company had approximately $9.2 million of research and experimental expenses that had been capitalized under Section 174.</w:t>
      </w:r>
    </w:p>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provided a full valuation allowance against its net deferred income tax assets in the U.S. and Romania since it is more likely than not that its deferred tax assets will not be realizable. After consideration of all the available evidence, both positive and negative, the Company has determined that a $183.6 million valuation allowance at March 31, 2023 is necessary to reduce the deferred tax assets to the amount that will more likely than not be realized which is a $3.1 million decrease from the $186.6 valuation allowance as of March 31, 2022.</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At March 31, 2023, the Company had aggregate net operating loss carryforwards in the U.S. for federal and state income tax purposes of approximately $718.9 million and $204.2 million, respectively, which expire in the years ending March 31, 2024 through 2040. For U.S. federal tax purpose, approximately $101.7 million of federal net operating losses have an indefinite carryforward period. Included in the U.S. net operating loss are $3.5 million of acquired losses from Power Quality Systems, Inc. and $0.3 million of acquired losses from Infinia Technology Corporation. Research and development and other tax credit carryforwards amounting to approximately $11.1 million and $3.5 million are available to offset federal and state income taxes, respectively, and will expire in the years ending through 2040.</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year ended March 31, 2023, AMSC China was dissolved, so all deferred tax assets for AMSC China have been written off as of March 31, 2023. The Company had established a full valuation allowance against its deferred tax assets in China as the future tax benefit was not expected to reverse in the foreseeable future.</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2023, AMSC Romania has aggregate net operating loss carryforwards of approximately $0.7 million, which will begin to expire at March 31, 2028.</w:t>
      </w:r>
    </w:p>
    <w:p>
      <w:pPr>
        <w:spacing w:after="0" w:line="1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Section 382 of the U.S. Internal Revenue Code of 1986, as amended (the “IRC”), provides limits on the extent to which a corporation that has undergone an ownership change (as defined) can utilize any net operating loss ("NOL") and general business tax credit carryforwards it may have. The Company updated its study in 2020 to determine whether Section 382 could limit the use of its carryforwards in this manner. After completing this study, the Company has concluded that the limitation will not have a material impact on its ability to utilize its NOL carryforwards. If there were material ownership changes subsequent to the study, such changes could limit the Company's ability to utilize its NOL carryforwards.</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total amount of undistributed foreign earnings available to be repatriated at March 31, 2023 was $1.9 million resulting in the recording of a $0.2 million deferred tax liability for foreign withholding taxes.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not recorded a deferred tax asset for the temporary difference associated with the excess of the tax greater than the book basis in its Romanian subsidiary as the future tax benefit is not expected to reverse in the foreseeable future.</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March 31, 2023. The Company did not have any gross unrecognized tax benefits at March 31, 2023 or 2022.</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reversals of uncertain tax positions in the fiscal years ended March 31, 2023 and 2022.</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twelve months.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conducts business globally and, as a result, its subsidiaries file income tax returns in the U.S. federal jurisdiction and various state and foreign jurisdictions. Major tax jurisdictions include the U.S. and Austria. All U.S. income tax filings for fiscal years ended March 31, 1996 through 2022 remain open and subject to examination.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fiscal years from the fiscal year ended March 31, 2021 through 2023 remain open and subject to examination in Austria. Tax filings in Romania for the fiscal years ended March 31, 2018 through 2023 remain open and subject to examination.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15. Debt</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twelve months ended March 31, 2022. The current and long-term debt balance is $0.1 million and less than $0.1 million, respectively, as of March 31,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have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the Company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Fonts w:ascii="Arial" w:cs="Arial" w:eastAsia="Arial" w:hAnsi="Arial"/>
          <w:sz w:val="16"/>
          <w:szCs w:val="16"/>
          <w:i w:val="1"/>
          <w:iCs w:val="1"/>
          <w:color w:val="auto"/>
        </w:rPr>
        <w:t>one</w:t>
      </w:r>
      <w:r>
        <w:rPr>
          <w:rFonts w:ascii="Arial" w:cs="Arial" w:eastAsia="Arial" w:hAnsi="Arial"/>
          <w:sz w:val="16"/>
          <w:szCs w:val="16"/>
          <w:color w:val="auto"/>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6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financing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March 31, 2023, the right-of-use asset related to the finance lease was $1.0 thousand, net of accumulated amortization of $12.2 thousand, and is included in the property and equipment, net on the Company's consolidated balance sheet.</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the Company's consolidated statement of operations.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at March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 2022</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Right-of-use assets - Financing</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 Operating</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2,858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3,510</w:t>
            </w:r>
          </w:p>
        </w:tc>
        <w:tc>
          <w:tcPr>
            <w:tcW w:w="1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Financing</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Operating</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 Financing</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 - LT Operating</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4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7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r>
    </w:tbl>
    <w:p>
      <w:pPr>
        <w:sectPr>
          <w:pgSz w:w="11900" w:h="16838" w:orient="portrait"/>
          <w:cols w:equalWidth="0" w:num="1">
            <w:col w:w="11240"/>
          </w:cols>
          <w:pgMar w:left="320" w:top="850" w:right="339" w:bottom="0" w:gutter="0" w:footer="0" w:header="0"/>
        </w:sectPr>
      </w:pPr>
    </w:p>
    <w:bookmarkStart w:id="71" w:name="page72"/>
    <w:bookmarkEnd w:id="71"/>
    <w:p>
      <w:pPr>
        <w:ind w:left="500"/>
        <w:spacing w:after="0"/>
        <w:rPr>
          <w:sz w:val="20"/>
          <w:szCs w:val="20"/>
          <w:color w:val="auto"/>
        </w:rPr>
      </w:pPr>
      <w:r>
        <w:rPr>
          <w:rFonts w:ascii="Arial" w:cs="Arial" w:eastAsia="Arial" w:hAnsi="Arial"/>
          <w:sz w:val="16"/>
          <w:szCs w:val="16"/>
          <w:color w:val="auto"/>
        </w:rPr>
        <w:t>The costs related to the Company's finance lease are not material. The costs related to the Company's operating leases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 are as follows (in thousands):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 fixed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costs - variable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r>
      <w:tr>
        <w:trPr>
          <w:trHeight w:val="411"/>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9"/>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-719455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-445135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-162560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20"/>
          </w:cols>
          <w:pgMar w:left="320" w:top="125" w:right="379" w:bottom="1440" w:gutter="0" w:footer="0" w:header="0"/>
          <w:type w:val="continuous"/>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8820" w:type="dxa"/>
            <w:vAlign w:val="bottom"/>
          </w:tcPr>
          <w:p>
            <w:pPr>
              <w:ind w:left="500"/>
              <w:spacing w:after="0"/>
              <w:rPr>
                <w:sz w:val="20"/>
                <w:szCs w:val="20"/>
                <w:color w:val="auto"/>
              </w:rPr>
            </w:pPr>
            <w:r>
              <w:rPr>
                <w:rFonts w:ascii="Arial" w:cs="Arial" w:eastAsia="Arial" w:hAnsi="Arial"/>
                <w:sz w:val="18"/>
                <w:szCs w:val="18"/>
                <w:color w:val="auto"/>
              </w:rPr>
              <w:t>The Company’s estimated minimum future lease obligations under the Company's leases are as follows: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Operating Leases</w:t>
            </w: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31,</w:t>
            </w:r>
          </w:p>
        </w:tc>
        <w:tc>
          <w:tcPr>
            <w:tcW w:w="8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2024</w:t>
            </w:r>
          </w:p>
        </w:tc>
        <w:tc>
          <w:tcPr>
            <w:tcW w:w="142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2028</w:t>
            </w:r>
          </w:p>
        </w:tc>
        <w:tc>
          <w:tcPr>
            <w:tcW w:w="8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8"/>
                <w:szCs w:val="18"/>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Less: interest</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8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of March 31, 2023, the Company had two active stock plans: the Amended and Restated 2007 Director Stock Plan (the “2007 Director Plan”) and the 2022 Stock Incentive Plan (the "2022 Plan"). On August 2, 2022, the Company's stockholders approved the 2022 Plan and amendments to the Company's 2007 Director Plan. The 2022 Plan authorizes the issuance of 1,150,000 shares of common stock. The amendment to the 2007 Director Plan increased the total number of shares of common stock authorized for issuance under the 2007 Director Plan from 280,000 shares to 430,000 shares.</w:t>
      </w:r>
    </w:p>
    <w:p>
      <w:pPr>
        <w:spacing w:after="0" w:line="1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2022 Plan provides for the grant of incentive stock options intended to qualify under Section 422 of the IRC of 1986, as amended, nonstatutory stock options, stock appreciation rights, restricted stock, restricted stock units and other stock-based awards. In the case of options, the exercise price is no less than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 The 2022 Plan replaced the Company’s 2007 Stock Incentive Plan, as amended (the “2007 Plan”). No further awards are granted under the 2007 Plan following effectiveness of the 2022 Plan; however, the terms and conditions of the 2007 Plan continue to govern any outstanding awards granted thereunder.</w:t>
      </w:r>
    </w:p>
    <w:p>
      <w:pPr>
        <w:spacing w:after="0" w:line="19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2007 Director Plan provides for the grant of nonstatutory stock options and stock awards to members of the Board of Directors who are not also employees of the Company ("outside directors"). Under the terms of the 2007 Director Plan,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each outside director is granted an award of shares of common stock on the third business day following the last day of each fiscal year with an aggregate value equal to $50,000 using the closing price of the Company's common stock two business days following the last day of each fiscal year, subject to proration for any partial fiscal year of service.</w:t>
      </w:r>
    </w:p>
    <w:p>
      <w:pPr>
        <w:spacing w:after="0" w:line="17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of March 31, 2023, the 2022 Plan had 654,610 shares available for future issuance, and the 2007 Director Plan had 176,471 shares available for future issuance. Additionally, any shares which are subject to awards previously granted under the 2007 Plan that are forfeited or lapse unexercised and which following the effectiveness of the 2022 Plan are not issued under the 2007 Plan will become available for issuance under the 2022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stock-based compensation for the years ended March 31, 2023 and 2022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18"/>
                <w:szCs w:val="18"/>
                <w:color w:val="auto"/>
              </w:rPr>
            </w:pPr>
          </w:p>
        </w:tc>
        <w:tc>
          <w:tcPr>
            <w:tcW w:w="12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Restricted stock and stock awards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4,656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4,615</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gridSpan w:val="2"/>
          </w:tcPr>
          <w:p>
            <w:pPr>
              <w:jc w:val="right"/>
              <w:ind w:right="7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4,729</w:t>
            </w:r>
          </w:p>
        </w:tc>
        <w:tc>
          <w:tcPr>
            <w:tcW w:w="126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4,661</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less than $0.1 million for the fiscal year ended March 31, 2023. The total unrecognized compensation cost for unvested outstanding restricted stock was $4.7 million for the fiscal year ended March 31, 2023. This expense will be recognized over a weighted-average expense period of approximately 1.7 years.</w:t>
      </w:r>
    </w:p>
    <w:p>
      <w:pPr>
        <w:spacing w:after="0" w:line="18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stock-based compensation expense by financial statement line item for the fiscal years ended March 31, 2023 and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18"/>
                <w:szCs w:val="18"/>
                <w:color w:val="auto"/>
              </w:rPr>
            </w:pPr>
          </w:p>
        </w:tc>
        <w:tc>
          <w:tcPr>
            <w:tcW w:w="12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9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4,729</w:t>
            </w:r>
          </w:p>
        </w:tc>
        <w:tc>
          <w:tcPr>
            <w:tcW w:w="126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960" w:type="dxa"/>
            <w:vAlign w:val="bottom"/>
            <w:vMerge w:val="restart"/>
          </w:tcPr>
          <w:p>
            <w:pPr>
              <w:jc w:val="right"/>
              <w:ind w:right="2170"/>
              <w:spacing w:after="0"/>
              <w:rPr>
                <w:sz w:val="20"/>
                <w:szCs w:val="20"/>
                <w:color w:val="auto"/>
              </w:rPr>
            </w:pPr>
            <w:r>
              <w:rPr>
                <w:rFonts w:ascii="Arial" w:cs="Arial" w:eastAsia="Arial" w:hAnsi="Arial"/>
                <w:sz w:val="18"/>
                <w:szCs w:val="18"/>
                <w:color w:val="auto"/>
              </w:rPr>
              <w:t>59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63" w:gutter="0" w:footer="0" w:header="0"/>
        </w:sectPr>
      </w:pPr>
    </w:p>
    <w:bookmarkStart w:id="73" w:name="page74"/>
    <w:bookmarkEnd w:id="73"/>
    <w:p>
      <w:pPr>
        <w:ind w:left="500"/>
        <w:spacing w:after="0"/>
        <w:rPr>
          <w:sz w:val="20"/>
          <w:szCs w:val="20"/>
          <w:color w:val="auto"/>
        </w:rPr>
      </w:pPr>
      <w:r>
        <w:rPr>
          <w:rFonts w:ascii="Arial" w:cs="Arial" w:eastAsia="Arial" w:hAnsi="Arial"/>
          <w:sz w:val="17"/>
          <w:szCs w:val="17"/>
          <w:color w:val="auto"/>
        </w:rPr>
        <w:t>The following table summarizes the information concerning currently outstanding and exercisable employee and non-employee options: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Weighted-Average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Options /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2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20,564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Canceled/forfeited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(37,572)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40.42</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2023</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81,005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Exercisable at March 31, 2023</w:t>
            </w:r>
          </w:p>
        </w:tc>
        <w:tc>
          <w:tcPr>
            <w:tcW w:w="1460" w:type="dxa"/>
            <w:vAlign w:val="bottom"/>
          </w:tcPr>
          <w:p>
            <w:pPr>
              <w:jc w:val="right"/>
              <w:spacing w:after="0"/>
              <w:rPr>
                <w:sz w:val="20"/>
                <w:szCs w:val="20"/>
                <w:color w:val="auto"/>
              </w:rPr>
            </w:pPr>
            <w:r>
              <w:rPr>
                <w:rFonts w:ascii="Arial" w:cs="Arial" w:eastAsia="Arial" w:hAnsi="Arial"/>
                <w:sz w:val="18"/>
                <w:szCs w:val="18"/>
                <w:color w:val="auto"/>
              </w:rPr>
              <w:t>60,441</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20.63</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March 31, 2023</w:t>
            </w:r>
          </w:p>
        </w:tc>
        <w:tc>
          <w:tcPr>
            <w:tcW w:w="1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granted 20,564 stock options under the 2007 Director Plan during the fiscal year ended March 31, 2023. The Company did not grant any stock options during the fiscal year ended March 31, 2022. The stock options granted during the fiscal year ended March 31, 2023 will vest over 2 years. The weighted average assumptions used in the Black Scholes valuation model for stock options granted during the fiscal year ended March 31, 2023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Fiscal year ended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Fiscal year ended</w:t>
            </w:r>
          </w:p>
        </w:tc>
        <w:tc>
          <w:tcPr>
            <w:tcW w:w="100" w:type="dxa"/>
            <w:vAlign w:val="bottom"/>
          </w:tcPr>
          <w:p>
            <w:pPr>
              <w:spacing w:after="0"/>
              <w:rPr>
                <w:sz w:val="18"/>
                <w:szCs w:val="18"/>
                <w:color w:val="auto"/>
              </w:rPr>
            </w:pPr>
          </w:p>
        </w:tc>
      </w:tr>
      <w:tr>
        <w:trPr>
          <w:trHeight w:val="234"/>
        </w:trPr>
        <w:tc>
          <w:tcPr>
            <w:tcW w:w="796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20"/>
                <w:szCs w:val="20"/>
                <w:color w:val="auto"/>
              </w:rPr>
            </w:pPr>
          </w:p>
        </w:tc>
      </w:tr>
      <w:tr>
        <w:trPr>
          <w:trHeight w:val="210"/>
        </w:trPr>
        <w:tc>
          <w:tcPr>
            <w:tcW w:w="79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r>
      <w:tr>
        <w:trPr>
          <w:trHeight w:val="209"/>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Dividend yield</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0"/>
                <w:szCs w:val="20"/>
                <w:color w:val="auto"/>
              </w:rPr>
            </w:pPr>
          </w:p>
        </w:tc>
      </w:tr>
      <w:tr>
        <w:trPr>
          <w:trHeight w:val="418"/>
        </w:trPr>
        <w:tc>
          <w:tcPr>
            <w:tcW w:w="7960" w:type="dxa"/>
            <w:vAlign w:val="bottom"/>
          </w:tcPr>
          <w:p>
            <w:pPr>
              <w:ind w:left="500"/>
              <w:spacing w:after="0"/>
              <w:rPr>
                <w:sz w:val="20"/>
                <w:szCs w:val="20"/>
                <w:color w:val="auto"/>
              </w:rPr>
            </w:pPr>
            <w:r>
              <w:rPr>
                <w:rFonts w:ascii="Arial" w:cs="Arial" w:eastAsia="Arial" w:hAnsi="Arial"/>
                <w:sz w:val="18"/>
                <w:szCs w:val="18"/>
                <w:color w:val="auto"/>
                <w:w w:val="98"/>
              </w:rPr>
              <w:t>The following table summarizes the restricted stock activity for the year ended March 31, 2023:</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 Fair</w:t>
            </w:r>
          </w:p>
        </w:tc>
        <w:tc>
          <w:tcPr>
            <w:tcW w:w="10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Aggregate Value</w:t>
            </w:r>
          </w:p>
        </w:tc>
        <w:tc>
          <w:tcPr>
            <w:tcW w:w="10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1,102,166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914,306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(460,973)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(77,500)</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1,477,999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total fair value of restricted stock that was granted during the fiscal years ended March 31, 2023 and 2022 was $4.7 million and $8.2 million, respectively. The total fair value of restricted stock that vested during the fiscal years ended March 31, 2023 and 2022 was $2.6 million and $7.6 million, respectively.</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200,000 performance-based restricted shares awarded during the fiscal year ended March 31, 2023 for which the performance conditions are deemed probable to be met and the expense is being recorded over a three-year vesting period. There were 76,500 performance-based restricted shares awarded during the fiscal year ended March 31, 2022 for which the performance conditions are deemed probable to be met and the expense is being recorded over a three-year vesting period.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remaining shares awarded vest upon the passage of time. For awards that vest upon the passage of time, expense is being recorded over the vesting period.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the 2000 Employee Stock Purchase Plan, as amended (the "ESPP") which provides employees with the opportunity to purchase shares of common stock at a price equal to the market value of the common stock at the end of the offering period, less a 15% purchase discount. As of March 31, 2023, the ESPP had 99,906 shares available for future issuance. The Company recognized less than $0.1 million of compensation expense for both the fiscal years ended March 31, 2023 and 2022, related to the ESPP.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records a loss on purchase commitments when required.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years ended March 31, 2023 and 2022, all lease costs were recorded in selling, general and administrative expense. See Note 15, "Leases"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March 31, 2023, the Company had $0.6 million of restricted cash included in long-term assets and $1.7 million of restricted cash in current assets. These amounts included in restricted cash primarily represent deposits to secure letters of credit for various supply contracts or collateral deposits. These deposits are held in interest bearing accounts.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5" w:name="page76"/>
    <w:bookmarkEnd w:id="75"/>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Benefit Plans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implemented a defined contribution plan (the “Plan”) under Section 401(k) of the IRC. Any contributions made by the Company to the Plan are discretionary. The Company has a stock match program under which the Company matched, in the form of Company common stock, 50% of the first 6% of eligible contributions. The Company recorded expenses of $0.6 million for the fiscal year ended March 31, 2023 and $0.5 million for the fiscal year ended March 31, 2022, and recorded corresponding charges to additional paid-in capital related to this program.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Restructuring</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The Company accounts for charges resulting from operational restructuring actions in accordance with ASC Topic 420, </w:t>
      </w:r>
      <w:r>
        <w:rPr>
          <w:rFonts w:ascii="Arial" w:cs="Arial" w:eastAsia="Arial" w:hAnsi="Arial"/>
          <w:sz w:val="17"/>
          <w:szCs w:val="17"/>
          <w:i w:val="1"/>
          <w:iCs w:val="1"/>
          <w:color w:val="auto"/>
        </w:rPr>
        <w:t>Exit or Disposal 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(“ASC 420”) and ASC Topic 712,</w:t>
      </w:r>
      <w:r>
        <w:rPr>
          <w:rFonts w:ascii="Arial" w:cs="Arial" w:eastAsia="Arial" w:hAnsi="Arial"/>
          <w:sz w:val="17"/>
          <w:szCs w:val="17"/>
          <w:i w:val="1"/>
          <w:iCs w:val="1"/>
          <w:color w:val="auto"/>
        </w:rPr>
        <w:t xml:space="preserve"> Compensation</w:t>
      </w:r>
      <w:r>
        <w:rPr>
          <w:rFonts w:ascii="Arial" w:cs="Arial" w:eastAsia="Arial" w:hAnsi="Arial"/>
          <w:sz w:val="17"/>
          <w:szCs w:val="17"/>
          <w:color w:val="auto"/>
        </w:rPr>
        <w:t>—</w:t>
      </w:r>
      <w:r>
        <w:rPr>
          <w:rFonts w:ascii="Arial" w:cs="Arial" w:eastAsia="Arial" w:hAnsi="Arial"/>
          <w:sz w:val="17"/>
          <w:szCs w:val="17"/>
          <w:i w:val="1"/>
          <w:iCs w:val="1"/>
          <w:color w:val="auto"/>
        </w:rPr>
        <w:t xml:space="preserve">Nonretirement Postemployment Benefits </w:t>
      </w:r>
      <w:r>
        <w:rPr>
          <w:rFonts w:ascii="Arial" w:cs="Arial" w:eastAsia="Arial" w:hAnsi="Arial"/>
          <w:sz w:val="17"/>
          <w:szCs w:val="17"/>
          <w:color w:val="auto"/>
        </w:rPr>
        <w:t>(“ASC 712”). In accounting for these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January 24, 2023, Daniel P. McGahn, President, CEO and Chairman of the Board, approved a plan to reduce the Company’s global workforce by approximately 5%, effective as of such date. The purpose of the workforce reduction was to reduce operating expenses to better align with the Company’s current revenues. In fiscal 2022, the Company recorded restructuring charges of $1.0 million as a result of this reduction in force, which was comprised of severance pay. All amounts related to these restructuring activities are expected to be paid by March 31, 2024.</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restructuring charges and cash payments during the year ended March 31, 2023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Severance pay and</w:t>
            </w:r>
          </w:p>
        </w:tc>
      </w:tr>
      <w:tr>
        <w:trPr>
          <w:trHeight w:val="234"/>
        </w:trPr>
        <w:tc>
          <w:tcPr>
            <w:tcW w:w="9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benefits</w:t>
            </w:r>
          </w:p>
        </w:tc>
      </w:tr>
      <w:tr>
        <w:trPr>
          <w:trHeight w:val="210"/>
        </w:trPr>
        <w:tc>
          <w:tcPr>
            <w:tcW w:w="9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restructuring balance at April 1, 2022</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Charges to operations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r>
      <w:tr>
        <w:trPr>
          <w:trHeight w:val="216"/>
        </w:trPr>
        <w:tc>
          <w:tcPr>
            <w:tcW w:w="9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r>
      <w:tr>
        <w:trPr>
          <w:trHeight w:val="20"/>
        </w:trPr>
        <w:tc>
          <w:tcPr>
            <w:tcW w:w="96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9680" w:type="dxa"/>
            <w:vAlign w:val="bottom"/>
          </w:tcPr>
          <w:p>
            <w:pPr>
              <w:spacing w:after="0"/>
              <w:rPr>
                <w:sz w:val="20"/>
                <w:szCs w:val="20"/>
                <w:color w:val="auto"/>
              </w:rPr>
            </w:pPr>
            <w:r>
              <w:rPr>
                <w:rFonts w:ascii="Arial" w:cs="Arial" w:eastAsia="Arial" w:hAnsi="Arial"/>
                <w:sz w:val="18"/>
                <w:szCs w:val="18"/>
                <w:color w:val="auto"/>
              </w:rPr>
              <w:t>Accrued restructuring balance at March 31, 2023</w:t>
            </w: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All restructuring charges discussed above are included within restructuring in the Company’s consolidated statements of operations. The Company includes accrued restructuring within accounts payable and accrued expenses in the consolidated balance sheets. There was no restructuring activity in the year ended March 31,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The Company reports its financial results in two reportable business segments: Grid and Wind.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aggregate four operating segments into one reporting segment for financial reporting purposes due to their similar operating and financial characteristics. Our operating segments reflect the way in which internally-reported financial information is used to make decisions and allocate resources.</w:t>
      </w:r>
    </w:p>
    <w:p>
      <w:pPr>
        <w:spacing w:after="0" w:line="14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ectPr>
          <w:pgSz w:w="11900" w:h="16905" w:orient="portrait"/>
          <w:cols w:equalWidth="0" w:num="1">
            <w:col w:w="11240"/>
          </w:cols>
          <w:pgMar w:left="320" w:top="850" w:right="339" w:bottom="0" w:gutter="0" w:footer="0" w:header="0"/>
        </w:sectPr>
      </w:pP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operating results for the two business segments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Wind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Fiscal Years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411"/>
        </w:trPr>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94,631</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98,876</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w:t>
            </w:r>
          </w:p>
        </w:tc>
      </w:tr>
      <w:tr>
        <w:trPr>
          <w:trHeight w:val="210"/>
        </w:trPr>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105,984</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108,435</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Fiscal Years Ended March 31,</w:t>
            </w:r>
          </w:p>
        </w:tc>
      </w:tr>
      <w:tr>
        <w:trPr>
          <w:trHeight w:val="225"/>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19970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 w:lineRule="exact"/>
        <w:rPr>
          <w:sz w:val="20"/>
          <w:szCs w:val="20"/>
          <w:color w:val="auto"/>
        </w:rPr>
      </w:pPr>
    </w:p>
    <w:p>
      <w:pPr>
        <w:sectPr>
          <w:pgSz w:w="11900" w:h="16905" w:orient="portrait"/>
          <w:cols w:equalWidth="0" w:num="2">
            <w:col w:w="7260" w:space="720"/>
            <w:col w:w="3260"/>
          </w:cols>
          <w:pgMar w:left="320" w:top="850" w:right="339" w:bottom="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94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 (loss):</w:t>
            </w:r>
          </w:p>
        </w:tc>
        <w:tc>
          <w:tcPr>
            <w:tcW w:w="3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Grid</w:t>
            </w:r>
          </w:p>
        </w:tc>
        <w:tc>
          <w:tcPr>
            <w:tcW w:w="3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(24,615)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(20,725)</w:t>
            </w:r>
          </w:p>
        </w:tc>
      </w:tr>
    </w:tbl>
    <w:p>
      <w:pPr>
        <w:sectPr>
          <w:pgSz w:w="11900" w:h="16905" w:orient="portrait"/>
          <w:cols w:equalWidth="0" w:num="1">
            <w:col w:w="11240"/>
          </w:cols>
          <w:pgMar w:left="320" w:top="850" w:right="339" w:bottom="0" w:gutter="0" w:footer="0" w:header="0"/>
          <w:type w:val="continuous"/>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Wind</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Unallocated corporate expenses</w:t>
            </w:r>
          </w:p>
        </w:tc>
        <w:tc>
          <w:tcPr>
            <w:tcW w:w="5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(5,847)</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(33,009)</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 for the two business segments as of March 31, 2023 and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Wind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175,561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jc w:val="both"/>
        <w:ind w:firstLine="486"/>
        <w:spacing w:after="0" w:line="286" w:lineRule="auto"/>
        <w:rPr>
          <w:sz w:val="20"/>
          <w:szCs w:val="20"/>
          <w:color w:val="auto"/>
        </w:rPr>
      </w:pPr>
      <w:r>
        <w:rPr>
          <w:rFonts w:ascii="Arial" w:cs="Arial" w:eastAsia="Arial" w:hAnsi="Arial"/>
          <w:sz w:val="17"/>
          <w:szCs w:val="17"/>
          <w:color w:val="auto"/>
        </w:rPr>
        <w:t>Unallocated corporate expenses primarily consist of a loss on contingent consideration of $0.1 million, stock-based compensation expense of $4.7 million and a restructuring charge of $1.0 million in the fiscal year ended March 31, 2023. Unallocated corporate expenses primarily consist of a gain on contingent consideration of $5.9 million offset by stock-based compensation expense of $4.7 million in the year ended March 31, 2022.</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Geographic information about property, plant and equipment associated with particular regions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12,309</w:t>
            </w:r>
          </w:p>
        </w:tc>
        <w:tc>
          <w:tcPr>
            <w:tcW w:w="6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Recent Accounting Pronouncements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the Company remains a smaller reporting company, would be annual reporting periods beginning after December 15, 2022. The Company evaluated the impact of the adoption of ASU 2016-13, and does not expect it to have a material impact on its consolidated financial statements.</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October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2021</w:t>
      </w:r>
      <w:r>
        <w:rPr>
          <w:rFonts w:ascii="Arial" w:cs="Arial" w:eastAsia="Arial" w:hAnsi="Arial"/>
          <w:sz w:val="18"/>
          <w:szCs w:val="18"/>
          <w:color w:val="auto"/>
        </w:rPr>
        <w:t>-</w:t>
      </w:r>
      <w:r>
        <w:rPr>
          <w:rFonts w:ascii="Arial" w:cs="Arial" w:eastAsia="Arial" w:hAnsi="Arial"/>
          <w:sz w:val="18"/>
          <w:szCs w:val="18"/>
          <w:i w:val="1"/>
          <w:iCs w:val="1"/>
          <w:color w:val="auto"/>
        </w:rPr>
        <w:t>08, 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amendments in ASU 2021-08 will improve the accounting for acquired revenue contracts with customers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Following the release of ASU 2021-08 in October 2021, the new effective date will be annual reporting periods beginning after December 15, 2022. The Company evaluated the impact of the adoption of ASU 2021-08, and does not expect it to have a material impact on its consolidated financial statements.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November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2021</w:t>
      </w:r>
      <w:r>
        <w:rPr>
          <w:rFonts w:ascii="Arial" w:cs="Arial" w:eastAsia="Arial" w:hAnsi="Arial"/>
          <w:sz w:val="18"/>
          <w:szCs w:val="18"/>
          <w:color w:val="auto"/>
        </w:rPr>
        <w:t>-</w:t>
      </w:r>
      <w:r>
        <w:rPr>
          <w:rFonts w:ascii="Arial" w:cs="Arial" w:eastAsia="Arial" w:hAnsi="Arial"/>
          <w:sz w:val="18"/>
          <w:szCs w:val="18"/>
          <w:i w:val="1"/>
          <w:iCs w:val="1"/>
          <w:color w:val="auto"/>
        </w:rPr>
        <w:t>10, 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is annual reporting periods beginning after December 15, 2021. As of April 1, 2022, the Company adopted ASU 2021-10 and noted no material impact on its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Annual Report on Form 10-K with the SEC, and has determined that there are no such events to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8" w:name="page79"/>
    <w:bookmarkEnd w:id="78"/>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2023,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1240" w:hanging="260"/>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48" w:lineRule="exact"/>
        <w:rPr>
          <w:rFonts w:ascii="Arial" w:cs="Arial" w:eastAsia="Arial" w:hAnsi="Arial"/>
          <w:sz w:val="16"/>
          <w:szCs w:val="16"/>
          <w:color w:val="auto"/>
        </w:rPr>
      </w:pPr>
    </w:p>
    <w:p>
      <w:pPr>
        <w:jc w:val="both"/>
        <w:ind w:firstLine="980"/>
        <w:spacing w:after="0" w:line="263" w:lineRule="auto"/>
        <w:tabs>
          <w:tab w:leader="none" w:pos="1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183" w:lineRule="exact"/>
        <w:rPr>
          <w:rFonts w:ascii="Arial" w:cs="Arial" w:eastAsia="Arial" w:hAnsi="Arial"/>
          <w:sz w:val="18"/>
          <w:szCs w:val="18"/>
          <w:color w:val="auto"/>
        </w:rPr>
      </w:pPr>
    </w:p>
    <w:p>
      <w:pPr>
        <w:ind w:firstLine="980"/>
        <w:spacing w:after="0" w:line="277" w:lineRule="auto"/>
        <w:tabs>
          <w:tab w:leader="none" w:pos="1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as of March 31, 2023 based on the Committee of Sponsoring Organizations of the Treadway Commission’s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Edition). Based on this evaluation, management concluded that our internal control over financial reporting was effective as of March 31, 2023.</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March 31, 2023 has been audited by RSM US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8"/>
          <w:szCs w:val="18"/>
          <w:color w:val="auto"/>
        </w:rPr>
        <w:t>During the quarter ended March 31, 2023, we completed the process of incorporating the internal controls of Neeltran, Inc. and Neeltran International, Inc. (the "Neeltran Acquisition") into our internal control over financial reporting and extending our Section 404 compliance program under the Sarbanes-Oxley Act of 2002 and the applicable rules and regulations under such Act to include the Neeltran Acquisition. Except for the foregoing, there were no changes to our internal control over financial reporting (as defined in Rules 13a-15(f) and 15d-15(f) under the Exchange Act) during the fiscal quarter ended March 31, 2023 that have materially affected, or are reasonably likely to materially affect, our internal control over financial reporting.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American Superconductor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We have audited American Superconductor Corporation's (the Company) internal control over financial reporting as of March 31, 2023,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in 2013. In our opinion, the Company maintained, in all material respects, effective internal control over financial reporting as of March 31, 2023,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in 2013.</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of the Company as of March 31, 2023 and 2022, the related consolidated statements of operations, comprehensive income (loss), stockholders' equity and cash flows for the years then ended, and the related notes to the consolidated financial statements of the Company and our report dated May 31, 2023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response to this item is contained in part under the caption “Executive Officers” in Part I of this Annual Report on Form 10-K, and in part in our Proxy Statement for the Annual Meeting of Stockholders to be held in 2023 (the “2023 Proxy Statement”) in the sections “Corporate Governance — Members of the Board,” “Corporate Governance — Code of Business Conduct and Ethics,” “Corporate Governance —Board Committees” and “Corporate Governance — Board Committees — Audit Committee,” “Corporate Governance — Director Nomination Process”, “Corporate Governance — Board Determination of Independence”, which sections are incorporated herein by reference.</w:t>
      </w:r>
    </w:p>
    <w:p>
      <w:pPr>
        <w:spacing w:after="0" w:line="3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sections of the 2023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spacing w:after="0" w:line="396" w:lineRule="exact"/>
        <w:rPr>
          <w:sz w:val="20"/>
          <w:szCs w:val="20"/>
          <w:color w:val="auto"/>
        </w:rPr>
      </w:pPr>
    </w:p>
    <w:p>
      <w:pPr>
        <w:ind w:left="1360" w:right="420" w:hanging="1347"/>
        <w:spacing w:after="0" w:line="277" w:lineRule="auto"/>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sections of the 2023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sections of the 2023 Proxy Statement titled “Certain Relationships and Related Transactions” and “Corporate Governance — Board Determination of Independence” and “Corporate Governance — Board Committees”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independent registered public accounting firm is RSM US LLP, Boston, MA, Auditor ID: 49.</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section of the 2023 Proxy Statement titled “Ratification of Selection of Independent Registered Public Accounting Firm (Proposal 2)”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29" w:lineRule="exact"/>
        <w:rPr>
          <w:sz w:val="20"/>
          <w:szCs w:val="20"/>
          <w:color w:val="auto"/>
        </w:rPr>
      </w:pPr>
    </w:p>
    <w:p>
      <w:pPr>
        <w:ind w:left="500" w:right="6140" w:hanging="6"/>
        <w:spacing w:after="0" w:line="500" w:lineRule="auto"/>
        <w:tabs>
          <w:tab w:leader="none" w:pos="7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Document filed as part of this Annual Report on Form 10-K: 1. Financial Statements</w:t>
      </w:r>
    </w:p>
    <w:p>
      <w:pPr>
        <w:spacing w:after="0" w:line="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3080" w:type="dxa"/>
            <w:vAlign w:val="bottom"/>
            <w:gridSpan w:val="3"/>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34</w:t>
            </w:r>
          </w:p>
        </w:tc>
      </w:tr>
      <w:tr>
        <w:trPr>
          <w:trHeight w:val="196"/>
        </w:trPr>
        <w:tc>
          <w:tcPr>
            <w:tcW w:w="41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Consolidated Balance Sheets at March 31, 2023 and 2022</w:t>
            </w:r>
          </w:p>
        </w:tc>
        <w:tc>
          <w:tcPr>
            <w:tcW w:w="3120" w:type="dxa"/>
            <w:vAlign w:val="bottom"/>
            <w:gridSpan w:val="4"/>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35</w:t>
            </w:r>
          </w:p>
        </w:tc>
      </w:tr>
      <w:tr>
        <w:trPr>
          <w:trHeight w:val="196"/>
        </w:trPr>
        <w:tc>
          <w:tcPr>
            <w:tcW w:w="6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Consolidated Statements of Operations for the fiscal years ended March 31, 2023 and 2022</w:t>
            </w:r>
          </w:p>
        </w:tc>
        <w:tc>
          <w:tcPr>
            <w:tcW w:w="720" w:type="dxa"/>
            <w:vAlign w:val="bottom"/>
            <w:gridSpan w:val="2"/>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36</w:t>
            </w:r>
          </w:p>
        </w:tc>
      </w:tr>
      <w:tr>
        <w:trPr>
          <w:trHeight w:val="196"/>
        </w:trPr>
        <w:tc>
          <w:tcPr>
            <w:tcW w:w="73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Consolidated Statements of Comprehensive Loss for the fiscal years ended March 31, 2023 and 2022</w:t>
            </w:r>
          </w:p>
        </w:tc>
        <w:tc>
          <w:tcPr>
            <w:tcW w:w="37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37</w:t>
            </w:r>
          </w:p>
        </w:tc>
      </w:tr>
      <w:tr>
        <w:trPr>
          <w:trHeight w:val="196"/>
        </w:trPr>
        <w:tc>
          <w:tcPr>
            <w:tcW w:w="73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Consolidated Statements of Stockholders’ Equity for the fiscal years ended March 31, 2023 and 2022</w:t>
            </w:r>
          </w:p>
        </w:tc>
        <w:tc>
          <w:tcPr>
            <w:tcW w:w="37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38</w:t>
            </w:r>
          </w:p>
        </w:tc>
      </w:tr>
      <w:tr>
        <w:trPr>
          <w:trHeight w:val="196"/>
        </w:trPr>
        <w:tc>
          <w:tcPr>
            <w:tcW w:w="7300" w:type="dxa"/>
            <w:vAlign w:val="bottom"/>
            <w:gridSpan w:val="6"/>
          </w:tcPr>
          <w:p>
            <w:pPr>
              <w:spacing w:after="0" w:line="196" w:lineRule="exact"/>
              <w:rPr>
                <w:sz w:val="20"/>
                <w:szCs w:val="20"/>
                <w:color w:val="auto"/>
              </w:rPr>
            </w:pPr>
            <w:r>
              <w:rPr>
                <w:rFonts w:ascii="Arial" w:cs="Arial" w:eastAsia="Arial" w:hAnsi="Arial"/>
                <w:sz w:val="18"/>
                <w:szCs w:val="18"/>
                <w:color w:val="0000EE"/>
                <w:w w:val="98"/>
              </w:rPr>
              <w:t>Consolidated Statements of Cash Flows for the fiscal years ended March 31, 2023 and 2022</w:t>
            </w:r>
          </w:p>
        </w:tc>
        <w:tc>
          <w:tcPr>
            <w:tcW w:w="394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39</w:t>
            </w:r>
          </w:p>
        </w:tc>
      </w:tr>
      <w:tr>
        <w:trPr>
          <w:trHeight w:val="196"/>
        </w:trPr>
        <w:tc>
          <w:tcPr>
            <w:tcW w:w="66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Notes to the Consolidated Financial Statements</w:t>
            </w:r>
          </w:p>
        </w:tc>
        <w:tc>
          <w:tcPr>
            <w:tcW w:w="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40</w:t>
            </w:r>
          </w:p>
        </w:tc>
      </w:tr>
      <w:tr>
        <w:trPr>
          <w:trHeight w:val="20"/>
        </w:trPr>
        <w:tc>
          <w:tcPr>
            <w:tcW w:w="3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schedules are omitted because they are not applicable, not required or the required information is shown in the consolidated financial statements or notes thereto.</w:t>
      </w:r>
    </w:p>
    <w:p>
      <w:pPr>
        <w:spacing w:after="0" w:line="170" w:lineRule="exact"/>
        <w:rPr>
          <w:sz w:val="20"/>
          <w:szCs w:val="20"/>
          <w:color w:val="auto"/>
        </w:rPr>
      </w:pPr>
    </w:p>
    <w:p>
      <w:pPr>
        <w:ind w:left="500" w:right="5160" w:hanging="6"/>
        <w:spacing w:after="0" w:line="50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 Required by Item 601 of Regulation S-K under the Exchange Act. See (b) Exhibits.</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 Exhibits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list of Exhibits filed as a part of this Annual Report on Form 10-K is set forth on the Exhibit Index immediately following Item 16, “Form 10-K Summary</w:t>
      </w:r>
      <w:r>
        <w:rPr>
          <w:rFonts w:ascii="Arial" w:cs="Arial" w:eastAsia="Arial" w:hAnsi="Arial"/>
          <w:sz w:val="18"/>
          <w:szCs w:val="18"/>
          <w:i w:val="1"/>
          <w:iCs w:val="1"/>
          <w:color w:val="auto"/>
        </w:rPr>
        <w:t>”</w:t>
      </w:r>
      <w:r>
        <w:rPr>
          <w:rFonts w:ascii="Arial" w:cs="Arial" w:eastAsia="Arial" w:hAnsi="Arial"/>
          <w:sz w:val="18"/>
          <w:szCs w:val="18"/>
          <w:color w:val="auto"/>
        </w:rPr>
        <w:t>,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2" w:name="page83"/>
    <w:bookmarkEnd w:id="82"/>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Incorporated by Reference</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File</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0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24"/>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7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3"/>
              </w:rPr>
              <w:t>Form</w:t>
            </w:r>
          </w:p>
        </w:tc>
        <w:tc>
          <w:tcPr>
            <w:tcW w:w="2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3120" w:type="dxa"/>
            <w:vAlign w:val="bottom"/>
            <w:tcBorders>
              <w:top w:val="single" w:sz="8" w:color="auto"/>
              <w:bottom w:val="single" w:sz="8" w:color="0000EE"/>
            </w:tcBorders>
            <w:gridSpan w:val="17"/>
          </w:tcPr>
          <w:p>
            <w:pPr>
              <w:spacing w:after="0" w:line="169"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Restated Certificate of Incorporation of the</w:t>
              </w:r>
            </w:hyperlink>
          </w:p>
        </w:tc>
        <w:tc>
          <w:tcPr>
            <w:tcW w:w="260" w:type="dxa"/>
            <w:vAlign w:val="bottom"/>
            <w:tcBorders>
              <w:top w:val="single" w:sz="8" w:color="auto"/>
            </w:tcBorders>
            <w:gridSpan w:val="9"/>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S-3</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auto"/>
            </w:tcBorders>
          </w:tcPr>
          <w:p>
            <w:pPr>
              <w:jc w:val="center"/>
              <w:ind w:right="530"/>
              <w:spacing w:after="0" w:line="169" w:lineRule="exact"/>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9/13/2013</w:t>
            </w:r>
          </w:p>
        </w:tc>
        <w:tc>
          <w:tcPr>
            <w:tcW w:w="2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Registrant, as amended.</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490"/>
              <w:spacing w:after="0" w:line="196" w:lineRule="exact"/>
              <w:rPr>
                <w:sz w:val="20"/>
                <w:szCs w:val="20"/>
                <w:color w:val="auto"/>
              </w:rPr>
            </w:pPr>
            <w:r>
              <w:rPr>
                <w:rFonts w:ascii="Arial" w:cs="Arial" w:eastAsia="Arial" w:hAnsi="Arial"/>
                <w:sz w:val="18"/>
                <w:szCs w:val="18"/>
                <w:color w:val="auto"/>
                <w:w w:val="89"/>
              </w:rPr>
              <w:t>191153</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7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Certificate of Amendment of Restated</w:t>
              </w:r>
            </w:hyperlink>
          </w:p>
        </w:tc>
        <w:tc>
          <w:tcPr>
            <w:tcW w:w="820" w:type="dxa"/>
            <w:vAlign w:val="bottom"/>
            <w:gridSpan w:val="14"/>
          </w:tcPr>
          <w:p>
            <w:pPr>
              <w:spacing w:after="0"/>
              <w:rPr>
                <w:sz w:val="17"/>
                <w:szCs w:val="17"/>
                <w:color w:val="auto"/>
              </w:rPr>
            </w:pPr>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3.1</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3/24/2015</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Certificate of Incorporation of the Registrant,</w:t>
              </w:r>
            </w:hyperlink>
          </w:p>
        </w:tc>
        <w:tc>
          <w:tcPr>
            <w:tcW w:w="3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dated March 24, 2015.</w:t>
              </w:r>
            </w:hyperlink>
          </w:p>
        </w:tc>
        <w:tc>
          <w:tcPr>
            <w:tcW w:w="194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Amended and Restated By-Laws of the</w:t>
              </w:r>
            </w:hyperlink>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333-</w:t>
            </w:r>
          </w:p>
        </w:tc>
        <w:tc>
          <w:tcPr>
            <w:tcW w:w="106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3.1</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2/1/2021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Registrant.</w:t>
              </w:r>
            </w:hyperlink>
          </w:p>
        </w:tc>
        <w:tc>
          <w:tcPr>
            <w:tcW w:w="2040" w:type="dxa"/>
            <w:vAlign w:val="bottom"/>
            <w:tcBorders>
              <w:top w:val="single" w:sz="8" w:color="0000EE"/>
            </w:tcBorders>
            <w:gridSpan w:val="12"/>
          </w:tcPr>
          <w:p>
            <w:pPr>
              <w:spacing w:after="0"/>
              <w:rPr>
                <w:sz w:val="17"/>
                <w:szCs w:val="17"/>
                <w:color w:val="auto"/>
              </w:rPr>
            </w:pPr>
          </w:p>
        </w:tc>
        <w:tc>
          <w:tcPr>
            <w:tcW w:w="74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490"/>
              <w:spacing w:after="0" w:line="196" w:lineRule="exact"/>
              <w:rPr>
                <w:sz w:val="20"/>
                <w:szCs w:val="20"/>
                <w:color w:val="auto"/>
              </w:rPr>
            </w:pPr>
            <w:r>
              <w:rPr>
                <w:rFonts w:ascii="Arial" w:cs="Arial" w:eastAsia="Arial" w:hAnsi="Arial"/>
                <w:sz w:val="18"/>
                <w:szCs w:val="18"/>
                <w:color w:val="auto"/>
                <w:w w:val="89"/>
              </w:rPr>
              <w:t>191153</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Form of Indenture</w:t>
              </w:r>
            </w:hyperlink>
            <w:r>
              <w:rPr>
                <w:rFonts w:ascii="Arial" w:cs="Arial" w:eastAsia="Arial" w:hAnsi="Arial"/>
                <w:sz w:val="18"/>
                <w:szCs w:val="18"/>
                <w:color w:val="000000"/>
              </w:rPr>
              <w:t>.</w:t>
            </w:r>
          </w:p>
        </w:tc>
        <w:tc>
          <w:tcPr>
            <w:tcW w:w="1780" w:type="dxa"/>
            <w:vAlign w:val="bottom"/>
            <w:gridSpan w:val="2"/>
          </w:tcPr>
          <w:p>
            <w:pPr>
              <w:jc w:val="center"/>
              <w:ind w:right="880"/>
              <w:spacing w:after="0" w:line="196" w:lineRule="exact"/>
              <w:rPr>
                <w:sz w:val="20"/>
                <w:szCs w:val="20"/>
                <w:color w:val="auto"/>
              </w:rPr>
            </w:pPr>
            <w:r>
              <w:rPr>
                <w:rFonts w:ascii="Arial" w:cs="Arial" w:eastAsia="Arial" w:hAnsi="Arial"/>
                <w:sz w:val="18"/>
                <w:szCs w:val="18"/>
                <w:color w:val="auto"/>
                <w:w w:val="92"/>
              </w:rPr>
              <w:t>S-3</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333-</w:t>
            </w:r>
          </w:p>
        </w:tc>
        <w:tc>
          <w:tcPr>
            <w:tcW w:w="106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4.1</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2/26/2021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gridSpan w:val="2"/>
          </w:tcPr>
          <w:p>
            <w:pPr>
              <w:jc w:val="center"/>
              <w:ind w:right="490"/>
              <w:spacing w:after="0"/>
              <w:rPr>
                <w:sz w:val="20"/>
                <w:szCs w:val="20"/>
                <w:color w:val="auto"/>
              </w:rPr>
            </w:pPr>
            <w:r>
              <w:rPr>
                <w:rFonts w:ascii="Arial" w:cs="Arial" w:eastAsia="Arial" w:hAnsi="Arial"/>
                <w:sz w:val="18"/>
                <w:szCs w:val="18"/>
                <w:color w:val="auto"/>
                <w:w w:val="89"/>
              </w:rPr>
              <w:t>253611</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6"/>
                <w:szCs w:val="16"/>
                <w:color w:val="auto"/>
              </w:rPr>
            </w:pPr>
          </w:p>
        </w:tc>
        <w:tc>
          <w:tcPr>
            <w:tcW w:w="3580" w:type="dxa"/>
            <w:vAlign w:val="bottom"/>
            <w:gridSpan w:val="27"/>
          </w:tcPr>
          <w:p>
            <w:pPr>
              <w:spacing w:after="0" w:line="190" w:lineRule="exact"/>
              <w:rPr>
                <w:rFonts w:ascii="Arial" w:cs="Arial" w:eastAsia="Arial" w:hAnsi="Arial"/>
                <w:sz w:val="18"/>
                <w:szCs w:val="18"/>
                <w:color w:val="0000EE"/>
              </w:rPr>
            </w:pPr>
            <w:hyperlink r:id="rId104">
              <w:r>
                <w:rPr>
                  <w:rFonts w:ascii="Arial" w:cs="Arial" w:eastAsia="Arial" w:hAnsi="Arial"/>
                  <w:sz w:val="18"/>
                  <w:szCs w:val="18"/>
                  <w:color w:val="0000EE"/>
                </w:rPr>
                <w:t>Description of Capital Stock</w:t>
              </w:r>
            </w:hyperlink>
            <w:r>
              <w:rPr>
                <w:rFonts w:ascii="Arial" w:cs="Arial" w:eastAsia="Arial" w:hAnsi="Arial"/>
                <w:sz w:val="18"/>
                <w:szCs w:val="18"/>
                <w:color w:val="000000"/>
              </w:rPr>
              <w:t>.</w:t>
            </w:r>
          </w:p>
        </w:tc>
        <w:tc>
          <w:tcPr>
            <w:tcW w:w="1780" w:type="dxa"/>
            <w:vAlign w:val="bottom"/>
            <w:gridSpan w:val="2"/>
          </w:tcPr>
          <w:p>
            <w:pPr>
              <w:jc w:val="center"/>
              <w:ind w:right="880"/>
              <w:spacing w:after="0" w:line="190" w:lineRule="exact"/>
              <w:rPr>
                <w:sz w:val="20"/>
                <w:szCs w:val="20"/>
                <w:color w:val="auto"/>
              </w:rPr>
            </w:pPr>
            <w:r>
              <w:rPr>
                <w:rFonts w:ascii="Arial" w:cs="Arial" w:eastAsia="Arial" w:hAnsi="Arial"/>
                <w:sz w:val="18"/>
                <w:szCs w:val="18"/>
                <w:color w:val="auto"/>
                <w:w w:val="99"/>
              </w:rPr>
              <w:t>10-K</w:t>
            </w:r>
          </w:p>
        </w:tc>
        <w:tc>
          <w:tcPr>
            <w:tcW w:w="1160" w:type="dxa"/>
            <w:vAlign w:val="bottom"/>
            <w:gridSpan w:val="2"/>
          </w:tcPr>
          <w:p>
            <w:pPr>
              <w:jc w:val="center"/>
              <w:ind w:right="510"/>
              <w:spacing w:after="0" w:line="190"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70"/>
              <w:spacing w:after="0" w:line="190" w:lineRule="exact"/>
              <w:rPr>
                <w:sz w:val="20"/>
                <w:szCs w:val="20"/>
                <w:color w:val="auto"/>
              </w:rPr>
            </w:pPr>
            <w:r>
              <w:rPr>
                <w:rFonts w:ascii="Arial" w:cs="Arial" w:eastAsia="Arial" w:hAnsi="Arial"/>
                <w:sz w:val="18"/>
                <w:szCs w:val="18"/>
                <w:color w:val="auto"/>
                <w:w w:val="87"/>
              </w:rPr>
              <w:t>4.3</w:t>
            </w:r>
          </w:p>
        </w:tc>
        <w:tc>
          <w:tcPr>
            <w:tcW w:w="1140" w:type="dxa"/>
            <w:vAlign w:val="bottom"/>
            <w:gridSpan w:val="2"/>
          </w:tcPr>
          <w:p>
            <w:pPr>
              <w:jc w:val="center"/>
              <w:ind w:left="130"/>
              <w:spacing w:after="0" w:line="190" w:lineRule="exact"/>
              <w:rPr>
                <w:sz w:val="20"/>
                <w:szCs w:val="20"/>
                <w:color w:val="auto"/>
              </w:rPr>
            </w:pPr>
            <w:r>
              <w:rPr>
                <w:rFonts w:ascii="Arial" w:cs="Arial" w:eastAsia="Arial" w:hAnsi="Arial"/>
                <w:sz w:val="18"/>
                <w:szCs w:val="18"/>
                <w:color w:val="auto"/>
                <w:w w:val="91"/>
              </w:rPr>
              <w:t>6/5/2019</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gridSpan w:val="2"/>
          </w:tcPr>
          <w:p>
            <w:pPr>
              <w:jc w:val="center"/>
              <w:ind w:right="510"/>
              <w:spacing w:after="0"/>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3580" w:type="dxa"/>
            <w:vAlign w:val="bottom"/>
            <w:gridSpan w:val="27"/>
          </w:tcPr>
          <w:p>
            <w:pPr>
              <w:spacing w:after="0" w:line="190" w:lineRule="exact"/>
              <w:rPr>
                <w:rFonts w:ascii="Arial" w:cs="Arial" w:eastAsia="Arial" w:hAnsi="Arial"/>
                <w:sz w:val="18"/>
                <w:szCs w:val="18"/>
                <w:color w:val="0000EE"/>
              </w:rPr>
            </w:pPr>
            <w:hyperlink r:id="rId105">
              <w:r>
                <w:rPr>
                  <w:rFonts w:ascii="Arial" w:cs="Arial" w:eastAsia="Arial" w:hAnsi="Arial"/>
                  <w:sz w:val="18"/>
                  <w:szCs w:val="18"/>
                  <w:color w:val="0000EE"/>
                </w:rPr>
                <w:t>2007 Stock Incentive Plan, as amended.</w:t>
              </w:r>
            </w:hyperlink>
          </w:p>
        </w:tc>
        <w:tc>
          <w:tcPr>
            <w:tcW w:w="1780" w:type="dxa"/>
            <w:vAlign w:val="bottom"/>
            <w:gridSpan w:val="2"/>
          </w:tcPr>
          <w:p>
            <w:pPr>
              <w:jc w:val="center"/>
              <w:ind w:right="900"/>
              <w:spacing w:after="0" w:line="190"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0"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0" w:lineRule="exact"/>
              <w:rPr>
                <w:sz w:val="20"/>
                <w:szCs w:val="20"/>
                <w:color w:val="auto"/>
              </w:rPr>
            </w:pPr>
            <w:r>
              <w:rPr>
                <w:rFonts w:ascii="Arial" w:cs="Arial" w:eastAsia="Arial" w:hAnsi="Arial"/>
                <w:sz w:val="18"/>
                <w:szCs w:val="18"/>
                <w:color w:val="auto"/>
                <w:w w:val="91"/>
              </w:rPr>
              <w:t>10.1</w:t>
            </w:r>
          </w:p>
        </w:tc>
        <w:tc>
          <w:tcPr>
            <w:tcW w:w="1140" w:type="dxa"/>
            <w:vAlign w:val="bottom"/>
            <w:gridSpan w:val="2"/>
          </w:tcPr>
          <w:p>
            <w:pPr>
              <w:jc w:val="center"/>
              <w:ind w:left="130"/>
              <w:spacing w:after="0" w:line="190" w:lineRule="exact"/>
              <w:rPr>
                <w:sz w:val="20"/>
                <w:szCs w:val="20"/>
                <w:color w:val="auto"/>
              </w:rPr>
            </w:pPr>
            <w:r>
              <w:rPr>
                <w:rFonts w:ascii="Arial" w:cs="Arial" w:eastAsia="Arial" w:hAnsi="Arial"/>
                <w:sz w:val="18"/>
                <w:szCs w:val="18"/>
                <w:color w:val="auto"/>
                <w:w w:val="91"/>
              </w:rPr>
              <w:t>8/6/2019</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gridSpan w:val="2"/>
          </w:tcPr>
          <w:p>
            <w:pPr>
              <w:jc w:val="center"/>
              <w:ind w:right="510"/>
              <w:spacing w:after="0"/>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6"/>
                <w:szCs w:val="16"/>
                <w:color w:val="auto"/>
              </w:rPr>
            </w:pPr>
          </w:p>
        </w:tc>
        <w:tc>
          <w:tcPr>
            <w:tcW w:w="3580" w:type="dxa"/>
            <w:vAlign w:val="bottom"/>
            <w:gridSpan w:val="27"/>
          </w:tcPr>
          <w:p>
            <w:pPr>
              <w:spacing w:after="0" w:line="190" w:lineRule="exact"/>
              <w:rPr>
                <w:rFonts w:ascii="Arial" w:cs="Arial" w:eastAsia="Arial" w:hAnsi="Arial"/>
                <w:sz w:val="18"/>
                <w:szCs w:val="18"/>
                <w:color w:val="0000EE"/>
              </w:rPr>
            </w:pPr>
            <w:hyperlink r:id="rId106">
              <w:r>
                <w:rPr>
                  <w:rFonts w:ascii="Arial" w:cs="Arial" w:eastAsia="Arial" w:hAnsi="Arial"/>
                  <w:sz w:val="18"/>
                  <w:szCs w:val="18"/>
                  <w:color w:val="0000EE"/>
                </w:rPr>
                <w:t>Form of Incentive Stock Option Agreement</w:t>
              </w:r>
            </w:hyperlink>
          </w:p>
        </w:tc>
        <w:tc>
          <w:tcPr>
            <w:tcW w:w="1780" w:type="dxa"/>
            <w:vAlign w:val="bottom"/>
            <w:gridSpan w:val="2"/>
          </w:tcPr>
          <w:p>
            <w:pPr>
              <w:jc w:val="center"/>
              <w:ind w:right="900"/>
              <w:spacing w:after="0" w:line="190"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0"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0" w:lineRule="exact"/>
              <w:rPr>
                <w:sz w:val="20"/>
                <w:szCs w:val="20"/>
                <w:color w:val="auto"/>
              </w:rPr>
            </w:pPr>
            <w:r>
              <w:rPr>
                <w:rFonts w:ascii="Arial" w:cs="Arial" w:eastAsia="Arial" w:hAnsi="Arial"/>
                <w:sz w:val="18"/>
                <w:szCs w:val="18"/>
                <w:color w:val="auto"/>
                <w:w w:val="91"/>
              </w:rPr>
              <w:t>10.2</w:t>
            </w:r>
          </w:p>
        </w:tc>
        <w:tc>
          <w:tcPr>
            <w:tcW w:w="1140" w:type="dxa"/>
            <w:vAlign w:val="bottom"/>
            <w:gridSpan w:val="2"/>
          </w:tcPr>
          <w:p>
            <w:pPr>
              <w:jc w:val="center"/>
              <w:ind w:left="130"/>
              <w:spacing w:after="0" w:line="190" w:lineRule="exact"/>
              <w:rPr>
                <w:sz w:val="20"/>
                <w:szCs w:val="20"/>
                <w:color w:val="auto"/>
              </w:rPr>
            </w:pPr>
            <w:r>
              <w:rPr>
                <w:rFonts w:ascii="Arial" w:cs="Arial" w:eastAsia="Arial" w:hAnsi="Arial"/>
                <w:sz w:val="18"/>
                <w:szCs w:val="18"/>
                <w:color w:val="auto"/>
                <w:w w:val="91"/>
              </w:rPr>
              <w:t>8/7/2007</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under 2007 Stock Incentive Plan, as amended.</w:t>
              </w:r>
            </w:hyperlink>
          </w:p>
        </w:tc>
        <w:tc>
          <w:tcPr>
            <w:tcW w:w="2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Form of Non-statutory Stock Option</w:t>
              </w:r>
            </w:hyperlink>
          </w:p>
        </w:tc>
        <w:tc>
          <w:tcPr>
            <w:tcW w:w="940" w:type="dxa"/>
            <w:vAlign w:val="bottom"/>
            <w:gridSpan w:val="17"/>
          </w:tcPr>
          <w:p>
            <w:pPr>
              <w:spacing w:after="0"/>
              <w:rPr>
                <w:sz w:val="17"/>
                <w:szCs w:val="17"/>
                <w:color w:val="auto"/>
              </w:rPr>
            </w:pPr>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10.3</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Agreement under 2007 Stock Incentive Plan,</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r:id="rId107">
              <w:r>
                <w:rPr>
                  <w:rFonts w:ascii="Arial" w:cs="Arial" w:eastAsia="Arial" w:hAnsi="Arial"/>
                  <w:sz w:val="18"/>
                  <w:szCs w:val="18"/>
                  <w:color w:val="0000EE"/>
                  <w:w w:val="84"/>
                </w:rPr>
                <w:t>as amended.</w:t>
              </w:r>
            </w:hyperlink>
          </w:p>
        </w:tc>
        <w:tc>
          <w:tcPr>
            <w:tcW w:w="2340" w:type="dxa"/>
            <w:vAlign w:val="bottom"/>
            <w:tcBorders>
              <w:top w:val="single" w:sz="8" w:color="0000EE"/>
            </w:tcBorders>
            <w:gridSpan w:val="17"/>
          </w:tcPr>
          <w:p>
            <w:pPr>
              <w:spacing w:after="0"/>
              <w:rPr>
                <w:sz w:val="17"/>
                <w:szCs w:val="17"/>
                <w:color w:val="auto"/>
              </w:rPr>
            </w:pPr>
          </w:p>
        </w:tc>
        <w:tc>
          <w:tcPr>
            <w:tcW w:w="3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Form of Restricted Stock Agreement</w:t>
              </w:r>
            </w:hyperlink>
          </w:p>
        </w:tc>
        <w:tc>
          <w:tcPr>
            <w:tcW w:w="920" w:type="dxa"/>
            <w:vAlign w:val="bottom"/>
            <w:gridSpan w:val="16"/>
          </w:tcPr>
          <w:p>
            <w:pPr>
              <w:spacing w:after="0"/>
              <w:rPr>
                <w:sz w:val="17"/>
                <w:szCs w:val="17"/>
                <w:color w:val="auto"/>
              </w:rPr>
            </w:pPr>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10.4</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Regarding Awards to Executive Officers</w:t>
              </w:r>
            </w:hyperlink>
          </w:p>
        </w:tc>
        <w:tc>
          <w:tcPr>
            <w:tcW w:w="70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under 2007 Stock Incentive Plan, as amended.</w:t>
              </w:r>
            </w:hyperlink>
          </w:p>
        </w:tc>
        <w:tc>
          <w:tcPr>
            <w:tcW w:w="2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Form of Restricted Stock Agreement</w:t>
              </w:r>
            </w:hyperlink>
          </w:p>
        </w:tc>
        <w:tc>
          <w:tcPr>
            <w:tcW w:w="920" w:type="dxa"/>
            <w:vAlign w:val="bottom"/>
            <w:gridSpan w:val="16"/>
          </w:tcPr>
          <w:p>
            <w:pPr>
              <w:spacing w:after="0"/>
              <w:rPr>
                <w:sz w:val="17"/>
                <w:szCs w:val="17"/>
                <w:color w:val="auto"/>
              </w:rPr>
            </w:pPr>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10.5</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w w:val="98"/>
              </w:rPr>
            </w:pPr>
            <w:hyperlink r:id="rId109">
              <w:r>
                <w:rPr>
                  <w:rFonts w:ascii="Arial" w:cs="Arial" w:eastAsia="Arial" w:hAnsi="Arial"/>
                  <w:sz w:val="18"/>
                  <w:szCs w:val="18"/>
                  <w:color w:val="0000EE"/>
                  <w:w w:val="98"/>
                </w:rPr>
                <w:t>Regarding Awards to Employees, under 2007</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Stock Incentive Plan, as amended.</w:t>
              </w:r>
            </w:hyperlink>
          </w:p>
        </w:tc>
        <w:tc>
          <w:tcPr>
            <w:tcW w:w="780" w:type="dxa"/>
            <w:vAlign w:val="bottom"/>
            <w:tcBorders>
              <w:top w:val="single" w:sz="8" w:color="0000EE"/>
            </w:tcBorders>
            <w:gridSpan w:val="12"/>
          </w:tcPr>
          <w:p>
            <w:pPr>
              <w:spacing w:after="0"/>
              <w:rPr>
                <w:sz w:val="17"/>
                <w:szCs w:val="17"/>
                <w:color w:val="auto"/>
              </w:rPr>
            </w:pPr>
          </w:p>
        </w:tc>
        <w:tc>
          <w:tcPr>
            <w:tcW w:w="3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Form of Restricted Stock Agreement</w:t>
              </w:r>
            </w:hyperlink>
          </w:p>
        </w:tc>
        <w:tc>
          <w:tcPr>
            <w:tcW w:w="920" w:type="dxa"/>
            <w:vAlign w:val="bottom"/>
            <w:gridSpan w:val="16"/>
          </w:tcPr>
          <w:p>
            <w:pPr>
              <w:spacing w:after="0"/>
              <w:rPr>
                <w:sz w:val="17"/>
                <w:szCs w:val="17"/>
                <w:color w:val="auto"/>
              </w:rPr>
            </w:pPr>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10.1</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5/20/2008</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(regarding performance-based awards to</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executive officers and employees) under 2007</w:t>
              </w:r>
            </w:hyperlink>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Stock Incentive Plan, as amended.</w:t>
              </w:r>
            </w:hyperlink>
          </w:p>
        </w:tc>
        <w:tc>
          <w:tcPr>
            <w:tcW w:w="11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Form of Option Surrender Agreement under</w:t>
              </w:r>
            </w:hyperlink>
          </w:p>
        </w:tc>
        <w:tc>
          <w:tcPr>
            <w:tcW w:w="1780" w:type="dxa"/>
            <w:vAlign w:val="bottom"/>
            <w:gridSpan w:val="2"/>
          </w:tcPr>
          <w:p>
            <w:pPr>
              <w:jc w:val="center"/>
              <w:ind w:right="880"/>
              <w:spacing w:after="0" w:line="196" w:lineRule="exact"/>
              <w:rPr>
                <w:sz w:val="20"/>
                <w:szCs w:val="20"/>
                <w:color w:val="auto"/>
              </w:rPr>
            </w:pPr>
            <w:r>
              <w:rPr>
                <w:rFonts w:ascii="Arial" w:cs="Arial" w:eastAsia="Arial" w:hAnsi="Arial"/>
                <w:sz w:val="18"/>
                <w:szCs w:val="18"/>
                <w:color w:val="auto"/>
                <w:w w:val="94"/>
              </w:rPr>
              <w:t>10-Q</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10.4</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11/6/2018</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tcBorders>
            <w:gridSpan w:val="19"/>
          </w:tcPr>
          <w:p>
            <w:pPr>
              <w:spacing w:after="0" w:line="196" w:lineRule="exact"/>
              <w:rPr>
                <w:rFonts w:ascii="Arial" w:cs="Arial" w:eastAsia="Arial" w:hAnsi="Arial"/>
                <w:sz w:val="18"/>
                <w:szCs w:val="18"/>
                <w:color w:val="0000EE"/>
                <w:w w:val="98"/>
              </w:rPr>
            </w:pPr>
            <w:hyperlink r:id="rId111">
              <w:r>
                <w:rPr>
                  <w:rFonts w:ascii="Arial" w:cs="Arial" w:eastAsia="Arial" w:hAnsi="Arial"/>
                  <w:sz w:val="18"/>
                  <w:szCs w:val="18"/>
                  <w:color w:val="0000EE"/>
                  <w:w w:val="98"/>
                </w:rPr>
                <w:t>2007 Stock Incentive Plan, as amended.</w:t>
              </w:r>
            </w:hyperlink>
          </w:p>
        </w:tc>
        <w:tc>
          <w:tcPr>
            <w:tcW w:w="4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w w:val="98"/>
              </w:rPr>
            </w:pPr>
            <w:hyperlink r:id="rId112">
              <w:r>
                <w:rPr>
                  <w:rFonts w:ascii="Arial" w:cs="Arial" w:eastAsia="Arial" w:hAnsi="Arial"/>
                  <w:sz w:val="18"/>
                  <w:szCs w:val="18"/>
                  <w:color w:val="0000EE"/>
                  <w:w w:val="98"/>
                </w:rPr>
                <w:t>Form of Performance-Based Restricted Stock</w:t>
              </w:r>
            </w:hyperlink>
          </w:p>
        </w:tc>
        <w:tc>
          <w:tcPr>
            <w:tcW w:w="1780" w:type="dxa"/>
            <w:vAlign w:val="bottom"/>
            <w:gridSpan w:val="2"/>
          </w:tcPr>
          <w:p>
            <w:pPr>
              <w:jc w:val="center"/>
              <w:ind w:right="880"/>
              <w:spacing w:after="0" w:line="196" w:lineRule="exact"/>
              <w:rPr>
                <w:sz w:val="20"/>
                <w:szCs w:val="20"/>
                <w:color w:val="auto"/>
              </w:rPr>
            </w:pPr>
            <w:r>
              <w:rPr>
                <w:rFonts w:ascii="Arial" w:cs="Arial" w:eastAsia="Arial" w:hAnsi="Arial"/>
                <w:sz w:val="18"/>
                <w:szCs w:val="18"/>
                <w:color w:val="auto"/>
                <w:w w:val="94"/>
              </w:rPr>
              <w:t>10-Q</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10.1</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2/5/2020</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Agreement for Executive Officers under 2007</w:t>
              </w:r>
            </w:hyperlink>
          </w:p>
        </w:tc>
        <w:tc>
          <w:tcPr>
            <w:tcW w:w="2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Stock Incentive Plan, as amended.</w:t>
              </w:r>
            </w:hyperlink>
          </w:p>
        </w:tc>
        <w:tc>
          <w:tcPr>
            <w:tcW w:w="11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27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Form of Time-Based Restricted Stock</w:t>
              </w:r>
            </w:hyperlink>
          </w:p>
        </w:tc>
        <w:tc>
          <w:tcPr>
            <w:tcW w:w="840" w:type="dxa"/>
            <w:vAlign w:val="bottom"/>
            <w:gridSpan w:val="15"/>
          </w:tcPr>
          <w:p>
            <w:pPr>
              <w:spacing w:after="0"/>
              <w:rPr>
                <w:sz w:val="17"/>
                <w:szCs w:val="17"/>
                <w:color w:val="auto"/>
              </w:rPr>
            </w:pPr>
          </w:p>
        </w:tc>
        <w:tc>
          <w:tcPr>
            <w:tcW w:w="1780" w:type="dxa"/>
            <w:vAlign w:val="bottom"/>
            <w:gridSpan w:val="2"/>
          </w:tcPr>
          <w:p>
            <w:pPr>
              <w:jc w:val="center"/>
              <w:ind w:right="880"/>
              <w:spacing w:after="0" w:line="196" w:lineRule="exact"/>
              <w:rPr>
                <w:sz w:val="20"/>
                <w:szCs w:val="20"/>
                <w:color w:val="auto"/>
              </w:rPr>
            </w:pPr>
            <w:r>
              <w:rPr>
                <w:rFonts w:ascii="Arial" w:cs="Arial" w:eastAsia="Arial" w:hAnsi="Arial"/>
                <w:sz w:val="18"/>
                <w:szCs w:val="18"/>
                <w:color w:val="auto"/>
                <w:w w:val="94"/>
              </w:rPr>
              <w:t>10-Q</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10.2</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2/5/2020</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Agreement for Executive Officers under 2007</w:t>
              </w:r>
            </w:hyperlink>
          </w:p>
        </w:tc>
        <w:tc>
          <w:tcPr>
            <w:tcW w:w="2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Stock Incentive Plan, as amended.</w:t>
              </w:r>
            </w:hyperlink>
          </w:p>
        </w:tc>
        <w:tc>
          <w:tcPr>
            <w:tcW w:w="11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Amended and Restated 2007 Director Stock</w:t>
              </w:r>
            </w:hyperlink>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10.5</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8/5/2022</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14">
              <w:r>
                <w:rPr>
                  <w:rFonts w:ascii="Arial" w:cs="Arial" w:eastAsia="Arial" w:hAnsi="Arial"/>
                  <w:sz w:val="18"/>
                  <w:szCs w:val="18"/>
                  <w:color w:val="0000EE"/>
                  <w:w w:val="87"/>
                </w:rPr>
                <w:t>Plan.</w:t>
              </w:r>
            </w:hyperlink>
          </w:p>
        </w:tc>
        <w:tc>
          <w:tcPr>
            <w:tcW w:w="2800" w:type="dxa"/>
            <w:vAlign w:val="bottom"/>
            <w:tcBorders>
              <w:top w:val="single" w:sz="8" w:color="0000EE"/>
            </w:tcBorders>
            <w:gridSpan w:val="18"/>
          </w:tcPr>
          <w:p>
            <w:pPr>
              <w:spacing w:after="0"/>
              <w:rPr>
                <w:sz w:val="17"/>
                <w:szCs w:val="17"/>
                <w:color w:val="auto"/>
              </w:rPr>
            </w:pPr>
          </w:p>
        </w:tc>
        <w:tc>
          <w:tcPr>
            <w:tcW w:w="4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6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Form of Non-statutory Stock Option</w:t>
              </w:r>
            </w:hyperlink>
          </w:p>
        </w:tc>
        <w:tc>
          <w:tcPr>
            <w:tcW w:w="940" w:type="dxa"/>
            <w:vAlign w:val="bottom"/>
            <w:gridSpan w:val="17"/>
          </w:tcPr>
          <w:p>
            <w:pPr>
              <w:spacing w:after="0"/>
              <w:rPr>
                <w:sz w:val="17"/>
                <w:szCs w:val="17"/>
                <w:color w:val="auto"/>
              </w:rPr>
            </w:pPr>
          </w:p>
        </w:tc>
        <w:tc>
          <w:tcPr>
            <w:tcW w:w="178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9"/>
              </w:rPr>
              <w:t>8-K</w:t>
            </w: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8"/>
              </w:rPr>
              <w:t>000-</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10.7</w:t>
            </w:r>
          </w:p>
        </w:tc>
        <w:tc>
          <w:tcPr>
            <w:tcW w:w="114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Agreement Under Amended and Restated</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2"/>
          </w:tcPr>
          <w:p>
            <w:pPr>
              <w:jc w:val="center"/>
              <w:ind w:right="510"/>
              <w:spacing w:after="0" w:line="196" w:lineRule="exact"/>
              <w:rPr>
                <w:sz w:val="20"/>
                <w:szCs w:val="20"/>
                <w:color w:val="auto"/>
              </w:rPr>
            </w:pPr>
            <w:r>
              <w:rPr>
                <w:rFonts w:ascii="Arial" w:cs="Arial" w:eastAsia="Arial" w:hAnsi="Arial"/>
                <w:sz w:val="18"/>
                <w:szCs w:val="18"/>
                <w:color w:val="auto"/>
                <w:w w:val="87"/>
              </w:rPr>
              <w:t>19672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2007 Director Stock Plan</w:t>
              </w:r>
              <w:r>
                <w:rPr>
                  <w:rFonts w:ascii="Arial" w:cs="Arial" w:eastAsia="Arial" w:hAnsi="Arial"/>
                  <w:sz w:val="18"/>
                  <w:szCs w:val="18"/>
                  <w:color w:val="000000"/>
                </w:rPr>
                <w:t>.</w:t>
              </w:r>
            </w:hyperlink>
          </w:p>
        </w:tc>
        <w:tc>
          <w:tcPr>
            <w:tcW w:w="58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14"/>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220" w:type="dxa"/>
            <w:vAlign w:val="bottom"/>
          </w:tcPr>
          <w:p>
            <w:pPr>
              <w:spacing w:after="0"/>
              <w:rPr>
                <w:sz w:val="20"/>
                <w:szCs w:val="20"/>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10.12+</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920" w:type="dxa"/>
            <w:vAlign w:val="bottom"/>
            <w:tcBorders>
              <w:top w:val="single" w:sz="8" w:color="auto"/>
              <w:bottom w:val="single" w:sz="8" w:color="0000EE"/>
            </w:tcBorders>
            <w:gridSpan w:val="5"/>
          </w:tcPr>
          <w:p>
            <w:pPr>
              <w:spacing w:after="0" w:line="169"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2022 Stock Incentive Plan.</w:t>
              </w:r>
            </w:hyperlink>
          </w:p>
        </w:tc>
        <w:tc>
          <w:tcPr>
            <w:tcW w:w="2220" w:type="dxa"/>
            <w:vAlign w:val="bottom"/>
            <w:tcBorders>
              <w:top w:val="single" w:sz="8" w:color="auto"/>
            </w:tcBorders>
            <w:gridSpan w:val="11"/>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000-19672</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8/5/2022</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7"/>
                <w:szCs w:val="17"/>
                <w:color w:val="auto"/>
              </w:rPr>
            </w:pPr>
          </w:p>
        </w:tc>
        <w:tc>
          <w:tcPr>
            <w:tcW w:w="4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Form of Time-Based Restricted Stock Agreement Under</w:t>
              </w:r>
            </w:hyperlink>
          </w:p>
        </w:tc>
        <w:tc>
          <w:tcPr>
            <w:tcW w:w="32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8/5/2022</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2022 Stock Incentive Plan.</w:t>
              </w:r>
            </w:hyperlink>
          </w:p>
        </w:tc>
        <w:tc>
          <w:tcPr>
            <w:tcW w:w="244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2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Form of Performance-Based Restricted Stock Agreement</w:t>
              </w:r>
            </w:hyperlink>
          </w:p>
        </w:tc>
        <w:tc>
          <w:tcPr>
            <w:tcW w:w="24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10.3</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8/5/2022</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Under 2022 Stock Incentive Plan.</w:t>
              </w:r>
            </w:hyperlink>
          </w:p>
        </w:tc>
        <w:tc>
          <w:tcPr>
            <w:tcW w:w="194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220" w:type="dxa"/>
            <w:vAlign w:val="bottom"/>
          </w:tcPr>
          <w:p>
            <w:pPr>
              <w:spacing w:after="0"/>
              <w:rPr>
                <w:sz w:val="17"/>
                <w:szCs w:val="17"/>
                <w:color w:val="auto"/>
              </w:rPr>
            </w:pPr>
          </w:p>
        </w:tc>
        <w:tc>
          <w:tcPr>
            <w:tcW w:w="40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Form of Option Agreement Under 2022 Stock Incentive</w:t>
              </w:r>
            </w:hyperlink>
          </w:p>
        </w:tc>
        <w:tc>
          <w:tcPr>
            <w:tcW w:w="340" w:type="dxa"/>
            <w:vAlign w:val="bottom"/>
            <w:gridSpan w:val="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10.4</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8/5/2022</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8"/>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Plan.</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220" w:type="dxa"/>
            <w:vAlign w:val="bottom"/>
          </w:tcPr>
          <w:p>
            <w:pPr>
              <w:spacing w:after="0"/>
              <w:rPr>
                <w:sz w:val="17"/>
                <w:szCs w:val="17"/>
                <w:color w:val="auto"/>
              </w:rPr>
            </w:pPr>
          </w:p>
        </w:tc>
        <w:tc>
          <w:tcPr>
            <w:tcW w:w="38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Form of Employee Nondisclosure and Developments</w:t>
              </w:r>
            </w:hyperlink>
          </w:p>
        </w:tc>
        <w:tc>
          <w:tcPr>
            <w:tcW w:w="540" w:type="dxa"/>
            <w:vAlign w:val="bottom"/>
            <w:gridSpan w:val="9"/>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8"/>
              </w:rPr>
              <w:t>10-K/A</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333-43647</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8"/>
              </w:rPr>
              <w:t>10.11</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6/7/2018</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8"/>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Agreement.</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220" w:type="dxa"/>
            <w:vAlign w:val="bottom"/>
          </w:tcPr>
          <w:p>
            <w:pPr>
              <w:spacing w:after="0"/>
              <w:rPr>
                <w:sz w:val="17"/>
                <w:szCs w:val="17"/>
                <w:color w:val="auto"/>
              </w:rPr>
            </w:pPr>
          </w:p>
        </w:tc>
        <w:tc>
          <w:tcPr>
            <w:tcW w:w="41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Amended and Restated Executive Severance Agreement,</w:t>
              </w:r>
            </w:hyperlink>
          </w:p>
        </w:tc>
        <w:tc>
          <w:tcPr>
            <w:tcW w:w="26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9"/>
              </w:rPr>
              <w:t>5/24/2011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dated as of May 24, 2011, between the Registrant and</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Daniel P. McGahn.</w:t>
              </w:r>
            </w:hyperlink>
          </w:p>
        </w:tc>
        <w:tc>
          <w:tcPr>
            <w:tcW w:w="52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22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Executive Severance Agreement, dated as of January 13,</w:t>
              </w:r>
            </w:hyperlink>
          </w:p>
        </w:tc>
        <w:tc>
          <w:tcPr>
            <w:tcW w:w="28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4/4/2017</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2012, between the Registrant and John W. Kosiba.</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220" w:type="dxa"/>
            <w:vAlign w:val="bottom"/>
          </w:tcPr>
          <w:p>
            <w:pPr>
              <w:spacing w:after="0"/>
              <w:rPr>
                <w:sz w:val="17"/>
                <w:szCs w:val="17"/>
                <w:color w:val="auto"/>
              </w:rPr>
            </w:pPr>
          </w:p>
        </w:tc>
        <w:tc>
          <w:tcPr>
            <w:tcW w:w="4380" w:type="dxa"/>
            <w:vAlign w:val="bottom"/>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First Amendment to Executive Severance Agreement,</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9"/>
              </w:rPr>
              <w:t>11/7/2017</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effective as of July 31, 2017, between the Registrant and</w:t>
              </w:r>
            </w:hyperlink>
          </w:p>
        </w:tc>
        <w:tc>
          <w:tcPr>
            <w:tcW w:w="3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John W. Kosiba.</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26"/>
          </w:tcPr>
          <w:p>
            <w:pPr>
              <w:ind w:left="42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340" w:type="dxa"/>
            <w:vAlign w:val="bottom"/>
          </w:tcPr>
          <w:p>
            <w:pPr>
              <w:spacing w:after="0"/>
              <w:rPr>
                <w:sz w:val="20"/>
                <w:szCs w:val="20"/>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auto"/>
            </w:tcBorders>
            <w:gridSpan w:val="28"/>
          </w:tcPr>
          <w:p>
            <w:pPr>
              <w:spacing w:after="0" w:line="169"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Subcontract Agreement, dated October 31, 2018, by and</w:t>
              </w:r>
            </w:hyperlink>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10-Q</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000-19672</w:t>
            </w:r>
          </w:p>
        </w:tc>
        <w:tc>
          <w:tcPr>
            <w:tcW w:w="340" w:type="dxa"/>
            <w:vAlign w:val="bottom"/>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2/5/2019</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between the Registrant and Commonwealth Edison</w:t>
              </w:r>
            </w:hyperlink>
          </w:p>
        </w:tc>
        <w:tc>
          <w:tcPr>
            <w:tcW w:w="340" w:type="dxa"/>
            <w:vAlign w:val="bottom"/>
            <w:tcBorders>
              <w:top w:val="single" w:sz="8" w:color="0000EE"/>
            </w:tcBorders>
            <w:gridSpan w:val="12"/>
          </w:tcPr>
          <w:p>
            <w:pPr>
              <w:spacing w:after="0"/>
              <w:rPr>
                <w:sz w:val="17"/>
                <w:szCs w:val="17"/>
                <w:color w:val="auto"/>
              </w:rPr>
            </w:pPr>
          </w:p>
        </w:tc>
        <w:tc>
          <w:tcPr>
            <w:tcW w:w="3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24">
              <w:r>
                <w:rPr>
                  <w:rFonts w:ascii="Arial" w:cs="Arial" w:eastAsia="Arial" w:hAnsi="Arial"/>
                  <w:sz w:val="18"/>
                  <w:szCs w:val="18"/>
                  <w:color w:val="0000EE"/>
                  <w:w w:val="87"/>
                </w:rPr>
                <w:t>Company.</w:t>
              </w:r>
            </w:hyperlink>
          </w:p>
        </w:tc>
        <w:tc>
          <w:tcPr>
            <w:tcW w:w="364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220" w:type="dxa"/>
            <w:vAlign w:val="bottom"/>
          </w:tcPr>
          <w:p>
            <w:pPr>
              <w:spacing w:after="0"/>
              <w:rPr>
                <w:sz w:val="17"/>
                <w:szCs w:val="17"/>
                <w:color w:val="auto"/>
              </w:rPr>
            </w:pPr>
          </w:p>
        </w:tc>
        <w:tc>
          <w:tcPr>
            <w:tcW w:w="4380" w:type="dxa"/>
            <w:vAlign w:val="bottom"/>
            <w:gridSpan w:val="30"/>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Amendment to Subcontract Agreement, effective</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2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8"/>
              </w:rPr>
              <w:t>10.30</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6/2/2020</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0"/>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February 6, 2020, by and between the Registrant and</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Commonwealth Edison Company.</w:t>
              </w:r>
            </w:hyperlink>
          </w:p>
        </w:tc>
        <w:tc>
          <w:tcPr>
            <w:tcW w:w="1360" w:type="dxa"/>
            <w:vAlign w:val="bottom"/>
            <w:tcBorders>
              <w:top w:val="single" w:sz="8" w:color="0000EE"/>
            </w:tcBorders>
            <w:gridSpan w:val="8"/>
          </w:tcPr>
          <w:p>
            <w:pPr>
              <w:spacing w:after="0"/>
              <w:rPr>
                <w:sz w:val="17"/>
                <w:szCs w:val="17"/>
                <w:color w:val="auto"/>
              </w:rPr>
            </w:pPr>
          </w:p>
        </w:tc>
        <w:tc>
          <w:tcPr>
            <w:tcW w:w="54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22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Stock Purchase Agreement, dated October 1, 2020, by</w:t>
              </w:r>
            </w:hyperlink>
          </w:p>
        </w:tc>
        <w:tc>
          <w:tcPr>
            <w:tcW w:w="460" w:type="dxa"/>
            <w:vAlign w:val="bottom"/>
            <w:gridSpan w:val="11"/>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2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10.1</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9"/>
              </w:rPr>
              <w:t>10/5/2020</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and among the Registrant, Frank J. Steciuk, Paul B.</w:t>
              </w:r>
            </w:hyperlink>
          </w:p>
        </w:tc>
        <w:tc>
          <w:tcPr>
            <w:tcW w:w="66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Steciuk and Peter A. Steciuk.</w:t>
              </w:r>
            </w:hyperlink>
          </w:p>
        </w:tc>
        <w:tc>
          <w:tcPr>
            <w:tcW w:w="228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220" w:type="dxa"/>
            <w:vAlign w:val="bottom"/>
          </w:tcPr>
          <w:p>
            <w:pPr>
              <w:spacing w:after="0"/>
              <w:rPr>
                <w:sz w:val="17"/>
                <w:szCs w:val="17"/>
                <w:color w:val="auto"/>
              </w:rPr>
            </w:pPr>
          </w:p>
        </w:tc>
        <w:tc>
          <w:tcPr>
            <w:tcW w:w="39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Stock Purchase Agreement, dated May 6, 2021, by and</w:t>
              </w:r>
            </w:hyperlink>
          </w:p>
        </w:tc>
        <w:tc>
          <w:tcPr>
            <w:tcW w:w="420" w:type="dxa"/>
            <w:vAlign w:val="bottom"/>
            <w:gridSpan w:val="1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2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10.1</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9"/>
              </w:rPr>
              <w:t>5/10/2021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0"/>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among the Registrant, Antonio Capanna, Jr., The Antonio</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tcBorders>
              <w:top w:val="single" w:sz="8" w:color="0000EE"/>
            </w:tcBorders>
            <w:gridSpan w:val="27"/>
          </w:tcPr>
          <w:p>
            <w:pPr>
              <w:spacing w:after="0" w:line="196" w:lineRule="exact"/>
              <w:rPr>
                <w:rFonts w:ascii="Arial" w:cs="Arial" w:eastAsia="Arial" w:hAnsi="Arial"/>
                <w:sz w:val="18"/>
                <w:szCs w:val="18"/>
                <w:color w:val="0000EE"/>
                <w:w w:val="98"/>
              </w:rPr>
            </w:pPr>
            <w:hyperlink r:id="rId127">
              <w:r>
                <w:rPr>
                  <w:rFonts w:ascii="Arial" w:cs="Arial" w:eastAsia="Arial" w:hAnsi="Arial"/>
                  <w:sz w:val="18"/>
                  <w:szCs w:val="18"/>
                  <w:color w:val="0000EE"/>
                  <w:w w:val="98"/>
                </w:rPr>
                <w:t>Capanna 2010 Spousal Lifetime Access Trust Dated</w:t>
              </w:r>
            </w:hyperlink>
          </w:p>
        </w:tc>
        <w:tc>
          <w:tcPr>
            <w:tcW w:w="2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December 28, 2010 and the Other Seller Parties.</w:t>
              </w:r>
            </w:hyperlink>
          </w:p>
        </w:tc>
        <w:tc>
          <w:tcPr>
            <w:tcW w:w="6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Purchase and Sale Agreement, dated May 6, 2021, by</w:t>
              </w:r>
            </w:hyperlink>
          </w:p>
        </w:tc>
        <w:tc>
          <w:tcPr>
            <w:tcW w:w="520" w:type="dxa"/>
            <w:vAlign w:val="bottom"/>
            <w:gridSpan w:val="1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2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10.2</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9"/>
              </w:rPr>
              <w:t>5/10/2021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0"/>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and among AMSC Husky LLC, 71 Pickett District Road,</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LLC, Antonio Capanna, Sr. and Filomena Capanna.</w:t>
              </w:r>
            </w:hyperlink>
          </w:p>
        </w:tc>
        <w:tc>
          <w:tcPr>
            <w:tcW w:w="380" w:type="dxa"/>
            <w:vAlign w:val="bottom"/>
            <w:tcBorders>
              <w:top w:val="single" w:sz="8" w:color="0000EE"/>
            </w:tcBorders>
            <w:gridSpan w:val="13"/>
          </w:tcPr>
          <w:p>
            <w:pPr>
              <w:spacing w:after="0"/>
              <w:rPr>
                <w:sz w:val="17"/>
                <w:szCs w:val="17"/>
                <w:color w:val="auto"/>
              </w:rPr>
            </w:pPr>
          </w:p>
        </w:tc>
        <w:tc>
          <w:tcPr>
            <w:tcW w:w="2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220" w:type="dxa"/>
            <w:vAlign w:val="bottom"/>
          </w:tcPr>
          <w:p>
            <w:pPr>
              <w:spacing w:after="0"/>
              <w:rPr>
                <w:sz w:val="17"/>
                <w:szCs w:val="17"/>
                <w:color w:val="auto"/>
              </w:rPr>
            </w:pPr>
          </w:p>
        </w:tc>
        <w:tc>
          <w:tcPr>
            <w:tcW w:w="4380" w:type="dxa"/>
            <w:vAlign w:val="bottom"/>
            <w:gridSpan w:val="30"/>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Fiscal 2022 Executive Incentive Plan.</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0"/>
              </w:rPr>
              <w:t>000-19672</w:t>
            </w:r>
          </w:p>
        </w:tc>
        <w:tc>
          <w:tcPr>
            <w:tcW w:w="12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10.1</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9"/>
              </w:rPr>
              <w:t>6/10/2022</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220" w:type="dxa"/>
            <w:vAlign w:val="bottom"/>
          </w:tcPr>
          <w:p>
            <w:pPr>
              <w:spacing w:after="0"/>
              <w:rPr>
                <w:sz w:val="17"/>
                <w:szCs w:val="17"/>
                <w:color w:val="auto"/>
              </w:rPr>
            </w:pPr>
          </w:p>
        </w:tc>
        <w:tc>
          <w:tcPr>
            <w:tcW w:w="27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Subsidiaries.</w:t>
            </w:r>
          </w:p>
        </w:tc>
        <w:tc>
          <w:tcPr>
            <w:tcW w:w="166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Arial" w:cs="Arial" w:eastAsia="Arial" w:hAnsi="Arial"/>
                <w:sz w:val="18"/>
                <w:szCs w:val="18"/>
                <w:color w:val="0000EE"/>
              </w:rPr>
              <w:t>Consent of RSM US LLP</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414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2"/>
              </w:rPr>
              <w:t>Chief Executive Officer — Certification pursuant to Rule</w:t>
            </w:r>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Arial" w:cs="Arial" w:eastAsia="Arial" w:hAnsi="Arial"/>
                <w:sz w:val="18"/>
                <w:szCs w:val="18"/>
                <w:color w:val="0000EE"/>
                <w:w w:val="98"/>
              </w:rPr>
              <w:t>13a-14(a) or Rule 15d-14(a) of the Securities Exchange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1"/>
              </w:rPr>
              <w:t>Act of 1934, as adopted pursuant to Section 302 of the</w:t>
            </w:r>
          </w:p>
        </w:tc>
        <w:tc>
          <w:tcPr>
            <w:tcW w:w="3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Sarbanes-Oxley Act of 2002.</w:t>
            </w:r>
          </w:p>
        </w:tc>
        <w:tc>
          <w:tcPr>
            <w:tcW w:w="4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2"/>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Arial" w:cs="Arial" w:eastAsia="Arial" w:hAnsi="Arial"/>
                <w:sz w:val="18"/>
                <w:szCs w:val="18"/>
                <w:color w:val="0000EE"/>
                <w:w w:val="99"/>
              </w:rPr>
              <w:t>Chief Financial Officer — Certification pursuant to Rule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1"/>
              </w:rPr>
              <w:t>13a-14(a) or Rule 15d-14(a) of the Securities Exchange</w:t>
            </w:r>
          </w:p>
        </w:tc>
        <w:tc>
          <w:tcPr>
            <w:tcW w:w="3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1"/>
              </w:rPr>
              <w:t>Act of 1934, as adopted pursuant to Section 302 of the</w:t>
            </w:r>
          </w:p>
        </w:tc>
        <w:tc>
          <w:tcPr>
            <w:tcW w:w="3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Sarbanes-Oxley Act of 2002.</w:t>
            </w:r>
          </w:p>
        </w:tc>
        <w:tc>
          <w:tcPr>
            <w:tcW w:w="4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2"/>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Chief Executive Officer — Certification pursuant to</w:t>
            </w:r>
          </w:p>
        </w:tc>
        <w:tc>
          <w:tcPr>
            <w:tcW w:w="62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Arial" w:cs="Arial" w:eastAsia="Arial" w:hAnsi="Arial"/>
                <w:sz w:val="18"/>
                <w:szCs w:val="18"/>
                <w:color w:val="0000EE"/>
              </w:rPr>
              <w:t>Rule13a-14(b) or Rule 15d-14(b) of the Securities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7"/>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Exchange Act of 1934 and 18 U.S.C. Section 1350, as</w:t>
            </w:r>
          </w:p>
        </w:tc>
        <w:tc>
          <w:tcPr>
            <w:tcW w:w="48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adopted pursuant to Section 906 of the Sarbanes-Oxley</w:t>
            </w:r>
          </w:p>
        </w:tc>
        <w:tc>
          <w:tcPr>
            <w:tcW w:w="4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Arial" w:cs="Arial" w:eastAsia="Arial" w:hAnsi="Arial"/>
                <w:sz w:val="18"/>
                <w:szCs w:val="18"/>
                <w:color w:val="0000EE"/>
              </w:rPr>
              <w:t>Act of 2002.</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Arial" w:cs="Arial" w:eastAsia="Arial" w:hAnsi="Arial"/>
                <w:sz w:val="18"/>
                <w:szCs w:val="18"/>
                <w:color w:val="0000EE"/>
                <w:w w:val="99"/>
              </w:rPr>
              <w:t>Chief Financial Officer — Certification pursuant to Rule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1"/>
              </w:rPr>
              <w:t>13a-14(b) or Rule 15d-14(b) of the Securities Exchange</w:t>
            </w:r>
          </w:p>
        </w:tc>
        <w:tc>
          <w:tcPr>
            <w:tcW w:w="3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5"/>
              </w:rPr>
              <w:t>Act of 1934 and 18 U.S.C. Section 1350, as adopted</w:t>
            </w:r>
          </w:p>
        </w:tc>
        <w:tc>
          <w:tcPr>
            <w:tcW w:w="3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360" w:type="dxa"/>
            <w:vAlign w:val="bottom"/>
            <w:gridSpan w:val="1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Arial" w:cs="Arial" w:eastAsia="Arial" w:hAnsi="Arial"/>
                <w:sz w:val="18"/>
                <w:szCs w:val="18"/>
                <w:color w:val="0000EE"/>
              </w:rPr>
              <w:t>pursuant to Section 906 of the Sarbanes-Oxley Act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20" w:type="dxa"/>
            <w:vAlign w:val="bottom"/>
            <w:gridSpan w:val="3"/>
          </w:tcPr>
          <w:p>
            <w:pPr>
              <w:ind w:left="220"/>
              <w:spacing w:after="0" w:line="196" w:lineRule="exact"/>
              <w:rPr>
                <w:sz w:val="20"/>
                <w:szCs w:val="20"/>
                <w:color w:val="auto"/>
              </w:rPr>
            </w:pPr>
            <w:r>
              <w:rPr>
                <w:rFonts w:ascii="Arial" w:cs="Arial" w:eastAsia="Arial" w:hAnsi="Arial"/>
                <w:sz w:val="18"/>
                <w:szCs w:val="18"/>
                <w:color w:val="0000EE"/>
                <w:w w:val="84"/>
              </w:rPr>
              <w:t>2002.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980" w:type="dxa"/>
            <w:vAlign w:val="bottom"/>
            <w:gridSpan w:val="2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9"/>
                <w:szCs w:val="19"/>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Inline XBRL Taxonomy Calculation Linkbase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Inline XBRL Taxonomy Definition Linkbase 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Inline XBRL Taxonomy Label Linkbase 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8"/>
                <w:szCs w:val="18"/>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Inline XBRL Taxonomy Presentation Linkbase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0"/>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20" w:right="6240" w:hanging="1012"/>
        <w:spacing w:after="0" w:line="290"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and contained in Exhibit 101)</w:t>
      </w:r>
    </w:p>
    <w:p>
      <w:pPr>
        <w:spacing w:after="0" w:line="16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 pursuant to Item 601(b)(10)(iv) of Regulation S-K.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AMERICAN SUPERCONDUCTOR CORPORATION</w:t>
      </w:r>
    </w:p>
    <w:p>
      <w:pPr>
        <w:spacing w:after="0" w:line="200" w:lineRule="exact"/>
        <w:rPr>
          <w:sz w:val="20"/>
          <w:szCs w:val="20"/>
          <w:color w:val="auto"/>
        </w:rPr>
      </w:pPr>
    </w:p>
    <w:p>
      <w:pPr>
        <w:spacing w:after="0" w:line="241" w:lineRule="exact"/>
        <w:rPr>
          <w:sz w:val="20"/>
          <w:szCs w:val="20"/>
          <w:color w:val="auto"/>
        </w:rPr>
      </w:pPr>
    </w:p>
    <w:p>
      <w:pPr>
        <w:ind w:left="55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2"/>
          <w:szCs w:val="12"/>
          <w:color w:val="auto"/>
        </w:rPr>
        <w:t>aniel</w:t>
      </w:r>
      <w:r>
        <w:rPr>
          <w:rFonts w:ascii="Arial" w:cs="Arial" w:eastAsia="Arial" w:hAnsi="Arial"/>
          <w:sz w:val="18"/>
          <w:szCs w:val="18"/>
          <w:color w:val="auto"/>
        </w:rPr>
        <w:t xml:space="preserve"> P. M</w:t>
      </w:r>
      <w:r>
        <w:rPr>
          <w:rFonts w:ascii="Arial" w:cs="Arial" w:eastAsia="Arial" w:hAnsi="Arial"/>
          <w:sz w:val="12"/>
          <w:szCs w:val="12"/>
          <w:color w:val="auto"/>
        </w:rPr>
        <w:t>c</w:t>
      </w:r>
      <w:r>
        <w:rPr>
          <w:rFonts w:ascii="Arial" w:cs="Arial" w:eastAsia="Arial" w:hAnsi="Arial"/>
          <w:sz w:val="18"/>
          <w:szCs w:val="18"/>
          <w:color w:val="auto"/>
        </w:rPr>
        <w:t>G</w:t>
      </w:r>
      <w:r>
        <w:rPr>
          <w:rFonts w:ascii="Arial" w:cs="Arial" w:eastAsia="Arial" w:hAnsi="Arial"/>
          <w:sz w:val="12"/>
          <w:szCs w:val="12"/>
          <w:color w:val="auto"/>
        </w:rPr>
        <w:t>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24942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Daniel P. McGahn</w:t>
      </w:r>
    </w:p>
    <w:p>
      <w:pPr>
        <w:spacing w:after="0" w:line="23"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Chairman of the Board, President, and</w:t>
      </w:r>
    </w:p>
    <w:p>
      <w:pPr>
        <w:spacing w:after="0" w:line="9"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 May 31,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22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1"/>
        </w:trPr>
        <w:tc>
          <w:tcPr>
            <w:tcW w:w="3380" w:type="dxa"/>
            <w:vAlign w:val="bottom"/>
            <w:vMerge w:val="restart"/>
          </w:tcPr>
          <w:p>
            <w:pPr>
              <w:jc w:val="cente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aniel</w:t>
            </w:r>
            <w:r>
              <w:rPr>
                <w:rFonts w:ascii="Arial" w:cs="Arial" w:eastAsia="Arial" w:hAnsi="Arial"/>
                <w:sz w:val="18"/>
                <w:szCs w:val="18"/>
                <w:color w:val="auto"/>
              </w:rPr>
              <w:t xml:space="preserve"> P. M</w:t>
            </w:r>
            <w:r>
              <w:rPr>
                <w:rFonts w:ascii="Arial" w:cs="Arial" w:eastAsia="Arial" w:hAnsi="Arial"/>
                <w:sz w:val="12"/>
                <w:szCs w:val="12"/>
                <w:color w:val="auto"/>
              </w:rPr>
              <w:t>c</w:t>
            </w:r>
            <w:r>
              <w:rPr>
                <w:rFonts w:ascii="Arial" w:cs="Arial" w:eastAsia="Arial" w:hAnsi="Arial"/>
                <w:sz w:val="18"/>
                <w:szCs w:val="18"/>
                <w:color w:val="auto"/>
              </w:rPr>
              <w:t>G</w:t>
            </w:r>
            <w:r>
              <w:rPr>
                <w:rFonts w:ascii="Arial" w:cs="Arial" w:eastAsia="Arial" w:hAnsi="Arial"/>
                <w:sz w:val="12"/>
                <w:szCs w:val="12"/>
                <w:color w:val="auto"/>
              </w:rPr>
              <w:t>ahn</w:t>
            </w: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Chairman of the Board, President, Chief Executive Officer, and Director</w:t>
            </w:r>
          </w:p>
        </w:tc>
        <w:tc>
          <w:tcPr>
            <w:tcW w:w="22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3"/>
              </w:rPr>
              <w:t>May 31, 2023</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2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3"/>
              </w:rPr>
              <w:t>Daniel P. McGahn</w:t>
            </w: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W. K</w:t>
            </w:r>
            <w:r>
              <w:rPr>
                <w:rFonts w:ascii="Arial" w:cs="Arial" w:eastAsia="Arial" w:hAnsi="Arial"/>
                <w:sz w:val="12"/>
                <w:szCs w:val="12"/>
                <w:color w:val="auto"/>
              </w:rPr>
              <w:t>osiba</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May 31, 2023</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John W. Kosiba, Jr.</w:t>
            </w:r>
          </w:p>
        </w:tc>
        <w:tc>
          <w:tcPr>
            <w:tcW w:w="22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H. H</w:t>
            </w:r>
            <w:r>
              <w:rPr>
                <w:rFonts w:ascii="Arial" w:cs="Arial" w:eastAsia="Arial" w:hAnsi="Arial"/>
                <w:sz w:val="12"/>
                <w:szCs w:val="12"/>
                <w:color w:val="auto"/>
              </w:rPr>
              <w:t>ouse</w:t>
            </w: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Lead Independent Director of the Board</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May 31, 2023</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House</w:t>
            </w: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aura</w:t>
            </w:r>
            <w:r>
              <w:rPr>
                <w:rFonts w:ascii="Arial" w:cs="Arial" w:eastAsia="Arial" w:hAnsi="Arial"/>
                <w:sz w:val="18"/>
                <w:szCs w:val="18"/>
                <w:color w:val="auto"/>
              </w:rPr>
              <w:t xml:space="preserve"> A. D</w:t>
            </w:r>
            <w:r>
              <w:rPr>
                <w:rFonts w:ascii="Arial" w:cs="Arial" w:eastAsia="Arial" w:hAnsi="Arial"/>
                <w:sz w:val="12"/>
                <w:szCs w:val="12"/>
                <w:color w:val="auto"/>
              </w:rPr>
              <w:t>ambier</w:t>
            </w: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May 31, 2023</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5"/>
              </w:rPr>
              <w:t>Laura A. Dambier</w:t>
            </w: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argaret</w:t>
            </w:r>
            <w:r>
              <w:rPr>
                <w:rFonts w:ascii="Arial" w:cs="Arial" w:eastAsia="Arial" w:hAnsi="Arial"/>
                <w:sz w:val="18"/>
                <w:szCs w:val="18"/>
                <w:color w:val="auto"/>
              </w:rPr>
              <w:t xml:space="preserve"> D. K</w:t>
            </w:r>
            <w:r>
              <w:rPr>
                <w:rFonts w:ascii="Arial" w:cs="Arial" w:eastAsia="Arial" w:hAnsi="Arial"/>
                <w:sz w:val="12"/>
                <w:szCs w:val="12"/>
                <w:color w:val="auto"/>
              </w:rPr>
              <w:t>lein</w:t>
            </w: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May 31, 2023</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5"/>
              </w:rPr>
              <w:t>Margaret D. Klein</w:t>
            </w: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arbara g</w:t>
            </w:r>
            <w:r>
              <w:rPr>
                <w:rFonts w:ascii="Arial" w:cs="Arial" w:eastAsia="Arial" w:hAnsi="Arial"/>
                <w:sz w:val="18"/>
                <w:szCs w:val="18"/>
                <w:color w:val="auto"/>
              </w:rPr>
              <w:t>. L</w:t>
            </w:r>
            <w:r>
              <w:rPr>
                <w:rFonts w:ascii="Arial" w:cs="Arial" w:eastAsia="Arial" w:hAnsi="Arial"/>
                <w:sz w:val="12"/>
                <w:szCs w:val="12"/>
                <w:color w:val="auto"/>
              </w:rPr>
              <w:t>ittlefield</w:t>
            </w: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May 31, 2023</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Barbara G. Littlefield</w:t>
            </w: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R. O</w:t>
            </w:r>
            <w:r>
              <w:rPr>
                <w:rFonts w:ascii="Arial" w:cs="Arial" w:eastAsia="Arial" w:hAnsi="Arial"/>
                <w:sz w:val="12"/>
                <w:szCs w:val="12"/>
                <w:color w:val="auto"/>
              </w:rPr>
              <w:t>liver</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May 31, 2023</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3"/>
              </w:rPr>
              <w:t>David R. Oliver, Jr.</w:t>
            </w: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380" w:type="dxa"/>
            <w:vAlign w:val="bottom"/>
          </w:tcPr>
          <w:p>
            <w:pPr>
              <w:spacing w:after="0"/>
              <w:rPr>
                <w:sz w:val="24"/>
                <w:szCs w:val="24"/>
                <w:color w:val="auto"/>
              </w:rPr>
            </w:pPr>
          </w:p>
        </w:tc>
        <w:tc>
          <w:tcPr>
            <w:tcW w:w="5620" w:type="dxa"/>
            <w:vAlign w:val="bottom"/>
            <w:gridSpan w:val="2"/>
          </w:tcPr>
          <w:p>
            <w:pPr>
              <w:jc w:val="right"/>
              <w:ind w:right="319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Australia Pty Ltd – incorporated in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Husky LLC - formed in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India Private Limited – incorporated in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Austria GmbH – incorporated in 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United Kingdom Limited – incorporated in the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Securities Corp. – incorporated in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Infinia Technology Corporation - incorporated in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Korea Co., Ltd. – incorporated in 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Romania S.R.L. – incorporated in 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Neeltran, Inc. - incorporated in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Power Realty, LLC - formed in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Power Systems, Inc. - incorporated in New York</w:t>
      </w:r>
    </w:p>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140" w:right="120"/>
        <w:spacing w:after="0" w:line="301" w:lineRule="auto"/>
        <w:rPr>
          <w:sz w:val="20"/>
          <w:szCs w:val="20"/>
          <w:color w:val="auto"/>
        </w:rPr>
      </w:pPr>
      <w:r>
        <w:rPr>
          <w:rFonts w:ascii="Arial" w:cs="Arial" w:eastAsia="Arial" w:hAnsi="Arial"/>
          <w:sz w:val="16"/>
          <w:szCs w:val="16"/>
          <w:color w:val="auto"/>
        </w:rPr>
        <w:t>We consent to the incorporation by reference in Registration Statements on Form S-3 (No. 333-253611) and Form S-8 (No. 333-145685, 333-170286, 333-183075, 333-197971, 333-213850, 333-233531, 333-266727 and 333-266728) of our reports dated May 31, 2023, relating to the consolidated financial statements of American Superconductor Corporation and its subsidiaries (the Company), and the effectiveness of the Company's internal control over financial reporting, appearing in this Annual Report on Form 10-K of the Company for the year ended March 31, 2023.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2023</w:t>
      </w:r>
    </w:p>
    <w:p>
      <w:pPr>
        <w:sectPr>
          <w:pgSz w:w="11900" w:h="16838" w:orient="portrait"/>
          <w:cols w:equalWidth="0" w:num="1">
            <w:col w:w="11240"/>
          </w:cols>
          <w:pgMar w:left="320" w:top="121" w:right="339" w:bottom="1440" w:gutter="0" w:footer="0" w:header="0"/>
        </w:sectPr>
      </w:pPr>
    </w:p>
    <w:bookmarkStart w:id="89" w:name="page90"/>
    <w:bookmarkEnd w:id="89"/>
    <w:p>
      <w:pPr>
        <w:ind w:left="1032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660" w:val="left"/>
          <w:tab w:leader="none" w:pos="6720" w:val="left"/>
          <w:tab w:leader="none" w:pos="8380" w:val="left"/>
        </w:tabs>
        <w:rPr>
          <w:sz w:val="20"/>
          <w:szCs w:val="20"/>
          <w:color w:val="auto"/>
        </w:rPr>
      </w:pPr>
      <w:r>
        <w:rPr>
          <w:rFonts w:ascii="Arial" w:cs="Arial" w:eastAsia="Arial" w:hAnsi="Arial"/>
          <w:sz w:val="18"/>
          <w:szCs w:val="18"/>
          <w:color w:val="auto"/>
        </w:rPr>
        <w:t>Date:</w:t>
        <w:tab/>
        <w:t>May 31,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90" w:name="page91"/>
    <w:bookmarkEnd w:id="90"/>
    <w:p>
      <w:pPr>
        <w:ind w:left="1032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1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660" w:val="left"/>
          <w:tab w:leader="none" w:pos="6720" w:val="left"/>
          <w:tab w:leader="none" w:pos="8340" w:val="left"/>
        </w:tabs>
        <w:rPr>
          <w:sz w:val="20"/>
          <w:szCs w:val="20"/>
          <w:color w:val="auto"/>
        </w:rPr>
      </w:pPr>
      <w:r>
        <w:rPr>
          <w:rFonts w:ascii="Arial" w:cs="Arial" w:eastAsia="Arial" w:hAnsi="Arial"/>
          <w:sz w:val="18"/>
          <w:szCs w:val="18"/>
          <w:color w:val="auto"/>
        </w:rPr>
        <w:t>Date:</w:t>
        <w:tab/>
        <w:t>May 31,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91" w:name="page92"/>
    <w:bookmarkEnd w:id="9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2023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92"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20" w:val="left"/>
          <w:tab w:leader="none" w:pos="8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92" w:name="page93"/>
    <w:bookmarkEnd w:id="92"/>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2023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20" w:val="left"/>
          <w:tab w:leader="none" w:pos="8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2"/>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3"/>
    </w:lvl>
  </w:abstractNum>
  <w:abstractNum w:abstractNumId="27">
    <w:nsid w:val="1E7FF521"/>
    <w:multiLevelType w:val="hybridMultilevel"/>
    <w:lvl w:ilvl="0">
      <w:lvlJc w:val="left"/>
      <w:lvlText w:val="%1"/>
      <w:numFmt w:val="decimal"/>
      <w:start w:val="104"/>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00" Type="http://schemas.openxmlformats.org/officeDocument/2006/relationships/hyperlink" Target="http://www.sec.gov/Archives/edgar/data/880807/000119312513366603/d596366dex31.htm" TargetMode="External"/><Relationship Id="rId101" Type="http://schemas.openxmlformats.org/officeDocument/2006/relationships/hyperlink" Target="http://www.sec.gov/Archives/edgar/data/880807/000119312515103436/d896586dex31.htm" TargetMode="External"/><Relationship Id="rId102" Type="http://schemas.openxmlformats.org/officeDocument/2006/relationships/hyperlink" Target="http://www.sec.gov/Archives/edgar/data/880807/000143774921001681/ex_223507.htm" TargetMode="External"/><Relationship Id="rId103" Type="http://schemas.openxmlformats.org/officeDocument/2006/relationships/hyperlink" Target="http://www.sec.gov/Archives/edgar/data/880807/000119312518032227/d536779dex41.htm" TargetMode="External"/><Relationship Id="rId104" Type="http://schemas.openxmlformats.org/officeDocument/2006/relationships/hyperlink" Target="http://www.sec.gov/Archives/edgar/data/880807/000143774919011477/ex_146280.htm" TargetMode="External"/><Relationship Id="rId105" Type="http://schemas.openxmlformats.org/officeDocument/2006/relationships/hyperlink" Target="http://www.sec.gov/Archives/edgar/data/880807/000119312519214189/d778101dex101.htm" TargetMode="External"/><Relationship Id="rId106" Type="http://schemas.openxmlformats.org/officeDocument/2006/relationships/hyperlink" Target="http://www.sec.gov/Archives/edgar/data/880807/000119312507173829/dex102.htm" TargetMode="External"/><Relationship Id="rId107" Type="http://schemas.openxmlformats.org/officeDocument/2006/relationships/hyperlink" Target="http://www.sec.gov/Archives/edgar/data/880807/000119312507173829/dex103.htm" TargetMode="External"/><Relationship Id="rId108" Type="http://schemas.openxmlformats.org/officeDocument/2006/relationships/hyperlink" Target="http://www.sec.gov/Archives/edgar/data/880807/000119312507173829/dex104.htm" TargetMode="External"/><Relationship Id="rId109" Type="http://schemas.openxmlformats.org/officeDocument/2006/relationships/hyperlink" Target="http://www.sec.gov/Archives/edgar/data/880807/000119312507173829/dex105.htm" TargetMode="External"/><Relationship Id="rId110" Type="http://schemas.openxmlformats.org/officeDocument/2006/relationships/hyperlink" Target="http://www.sec.gov/Archives/edgar/data/880807/000119312508119372/dex101.htm" TargetMode="External"/><Relationship Id="rId111" Type="http://schemas.openxmlformats.org/officeDocument/2006/relationships/hyperlink" Target="http://www.sec.gov/Archives/edgar/data/880807/000162828018013770/a104formofoptionsurrendera.htm" TargetMode="External"/><Relationship Id="rId112" Type="http://schemas.openxmlformats.org/officeDocument/2006/relationships/hyperlink" Target="http://www.sec.gov/Archives/edgar/data/880807/000143774920001789/ex_170064.htm" TargetMode="External"/><Relationship Id="rId113" Type="http://schemas.openxmlformats.org/officeDocument/2006/relationships/hyperlink" Target="http://www.sec.gov/Archives/edgar/data/880807/000143774920001789/ex_170065.htm" TargetMode="External"/><Relationship Id="rId114" Type="http://schemas.openxmlformats.org/officeDocument/2006/relationships/hyperlink" Target="http://www.sec.gov/Archives/edgar/data/880807/000119312522213651/d381722dex105.htm" TargetMode="External"/><Relationship Id="rId115" Type="http://schemas.openxmlformats.org/officeDocument/2006/relationships/hyperlink" Target="http://www.sec.gov/Archives/edgar/data/880807/000119312507173829/dex107.htm" TargetMode="External"/><Relationship Id="rId116" Type="http://schemas.openxmlformats.org/officeDocument/2006/relationships/hyperlink" Target="http://www.sec.gov/Archives/edgar/data/880807/000119312522213651/d381722dex101.htm" TargetMode="External"/><Relationship Id="rId117" Type="http://schemas.openxmlformats.org/officeDocument/2006/relationships/hyperlink" Target="http://www.sec.gov/Archives/edgar/data/880807/000119312522213651/d381722dex102.htm" TargetMode="External"/><Relationship Id="rId118" Type="http://schemas.openxmlformats.org/officeDocument/2006/relationships/hyperlink" Target="http://www.sec.gov/Archives/edgar/data/880807/000119312522213651/d381722dex103.htm" TargetMode="External"/><Relationship Id="rId119" Type="http://schemas.openxmlformats.org/officeDocument/2006/relationships/hyperlink" Target="http://www.sec.gov/Archives/edgar/data/880807/000119312522213651/d381722dex104.htm" TargetMode="External"/><Relationship Id="rId120" Type="http://schemas.openxmlformats.org/officeDocument/2006/relationships/hyperlink" Target="http://www.sec.gov/Archives/edgar/data/880807/000162828018007711/exh1011nondisclosure.htm" TargetMode="External"/><Relationship Id="rId121" Type="http://schemas.openxmlformats.org/officeDocument/2006/relationships/hyperlink" Target="http://www.sec.gov/Archives/edgar/data/880807/000095012311053517/b86731exv10w2.htm" TargetMode="External"/><Relationship Id="rId122" Type="http://schemas.openxmlformats.org/officeDocument/2006/relationships/hyperlink" Target="http://www.sec.gov/Archives/edgar/data/880807/000119312517109748/d369870dex101.htm" TargetMode="External"/><Relationship Id="rId123" Type="http://schemas.openxmlformats.org/officeDocument/2006/relationships/hyperlink" Target="http://www.sec.gov/Archives/edgar/data/880807/000162828017011077/firstamendmenttoexecutives.htm" TargetMode="External"/><Relationship Id="rId124" Type="http://schemas.openxmlformats.org/officeDocument/2006/relationships/hyperlink" Target="http://www.sec.gov/Archives/edgar/data/880807/000162828019000966/a101amsc-comedxamscsubcont.htm" TargetMode="External"/><Relationship Id="rId125" Type="http://schemas.openxmlformats.org/officeDocument/2006/relationships/hyperlink" Target="http://www.sec.gov/Archives/edgar/data/880807/000143774920012276/ex_187341.htm" TargetMode="External"/><Relationship Id="rId126" Type="http://schemas.openxmlformats.org/officeDocument/2006/relationships/hyperlink" Target="http://www.sec.gov/Archives/edgar/data/880807/000143774920020734/ex_205896.htm" TargetMode="External"/><Relationship Id="rId127" Type="http://schemas.openxmlformats.org/officeDocument/2006/relationships/hyperlink" Target="http://www.sec.gov/Archives/edgar/data/880807/000119312521156251/d80808dex101.htm" TargetMode="External"/><Relationship Id="rId128" Type="http://schemas.openxmlformats.org/officeDocument/2006/relationships/hyperlink" Target="http://www.sec.gov/Archives/edgar/data/880807/000119312521156251/d80808dex102.htm" TargetMode="External"/><Relationship Id="rId129" Type="http://schemas.openxmlformats.org/officeDocument/2006/relationships/hyperlink" Target="http://www.sec.gov/Archives/edgar/data/880807/000143774922014780/ex_3856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2023-05-31T15:18:36Z</dcterms:created>
  <dcterms:modified xsi:type="dcterms:W3CDTF">2023-05-31T15:18:36Z</dcterms:modified>
</cp:coreProperties>
</file>