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7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quarterly period ended: December 31, 2008</w:t>
      </w:r>
    </w:p>
    <w:p>
      <w:pPr>
        <w:spacing w:after="0" w:line="19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79" w:lineRule="exact"/>
        <w:rPr>
          <w:sz w:val="24"/>
          <w:szCs w:val="24"/>
          <w:color w:val="auto"/>
        </w:rPr>
      </w:pPr>
    </w:p>
    <w:p>
      <w:pPr>
        <w:ind w:left="460"/>
        <w:spacing w:after="0"/>
        <w:tabs>
          <w:tab w:leader="none" w:pos="3320" w:val="left"/>
          <w:tab w:leader="none" w:pos="40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1763395</wp:posOffset>
            </wp:positionH>
            <wp:positionV relativeFrom="paragraph">
              <wp:posOffset>-10160</wp:posOffset>
            </wp:positionV>
            <wp:extent cx="8172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0-19672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American Superconductor Corporation</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tbl>
      <w:tblPr>
        <w:tblLayout w:type="fixed"/>
        <w:tblInd w:w="1300" w:type="dxa"/>
        <w:tblCellMar>
          <w:top w:w="0" w:type="dxa"/>
          <w:left w:w="0" w:type="dxa"/>
          <w:bottom w:w="0" w:type="dxa"/>
          <w:right w:w="0" w:type="dxa"/>
        </w:tblCellMar>
      </w:tblPr>
      <w:tr>
        <w:trPr>
          <w:trHeight w:val="229"/>
        </w:trPr>
        <w:tc>
          <w:tcPr>
            <w:tcW w:w="1200" w:type="dxa"/>
            <w:vAlign w:val="bottom"/>
          </w:tcPr>
          <w:p>
            <w:pPr>
              <w:spacing w:after="0"/>
              <w:rPr>
                <w:sz w:val="19"/>
                <w:szCs w:val="19"/>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4480" w:type="dxa"/>
            <w:vAlign w:val="bottom"/>
            <w:gridSpan w:val="4"/>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w w:val="85"/>
              </w:rPr>
              <w:t>04-2959321</w:t>
            </w:r>
          </w:p>
        </w:tc>
        <w:tc>
          <w:tcPr>
            <w:tcW w:w="100" w:type="dxa"/>
            <w:vAlign w:val="bottom"/>
          </w:tcPr>
          <w:p>
            <w:pPr>
              <w:spacing w:after="0"/>
              <w:rPr>
                <w:sz w:val="19"/>
                <w:szCs w:val="19"/>
                <w:color w:val="auto"/>
              </w:rPr>
            </w:pPr>
          </w:p>
        </w:tc>
      </w:tr>
      <w:tr>
        <w:trPr>
          <w:trHeight w:val="130"/>
        </w:trPr>
        <w:tc>
          <w:tcPr>
            <w:tcW w:w="1200" w:type="dxa"/>
            <w:vAlign w:val="bottom"/>
          </w:tcPr>
          <w:p>
            <w:pPr>
              <w:ind w:left="720"/>
              <w:spacing w:after="0" w:line="131" w:lineRule="exact"/>
              <w:rPr>
                <w:sz w:val="20"/>
                <w:szCs w:val="20"/>
                <w:color w:val="auto"/>
              </w:rPr>
            </w:pPr>
            <w:r>
              <w:rPr>
                <w:rFonts w:ascii="Arial" w:cs="Arial" w:eastAsia="Arial" w:hAnsi="Arial"/>
                <w:sz w:val="14"/>
                <w:szCs w:val="14"/>
                <w:b w:val="1"/>
                <w:bCs w:val="1"/>
                <w:color w:val="auto"/>
                <w:w w:val="80"/>
              </w:rPr>
              <w:t>(State or</w:t>
            </w:r>
          </w:p>
        </w:tc>
        <w:tc>
          <w:tcPr>
            <w:tcW w:w="5200" w:type="dxa"/>
            <w:vAlign w:val="bottom"/>
            <w:gridSpan w:val="5"/>
          </w:tcPr>
          <w:p>
            <w:pPr>
              <w:ind w:left="60"/>
              <w:spacing w:after="0" w:line="131" w:lineRule="exact"/>
              <w:rPr>
                <w:sz w:val="20"/>
                <w:szCs w:val="20"/>
                <w:color w:val="auto"/>
              </w:rPr>
            </w:pPr>
            <w:r>
              <w:rPr>
                <w:rFonts w:ascii="Arial" w:cs="Arial" w:eastAsia="Arial" w:hAnsi="Arial"/>
                <w:sz w:val="14"/>
                <w:szCs w:val="14"/>
                <w:b w:val="1"/>
                <w:bCs w:val="1"/>
                <w:color w:val="auto"/>
              </w:rPr>
              <w:t>other jurisdiction of</w:t>
            </w:r>
          </w:p>
        </w:tc>
        <w:tc>
          <w:tcPr>
            <w:tcW w:w="560" w:type="dxa"/>
            <w:vAlign w:val="bottom"/>
          </w:tcPr>
          <w:p>
            <w:pPr>
              <w:spacing w:after="0"/>
              <w:rPr>
                <w:sz w:val="11"/>
                <w:szCs w:val="11"/>
                <w:color w:val="auto"/>
              </w:rPr>
            </w:pPr>
          </w:p>
        </w:tc>
        <w:tc>
          <w:tcPr>
            <w:tcW w:w="860" w:type="dxa"/>
            <w:vAlign w:val="bottom"/>
            <w:gridSpan w:val="3"/>
          </w:tcPr>
          <w:p>
            <w:pPr>
              <w:jc w:val="center"/>
              <w:spacing w:after="0" w:line="131" w:lineRule="exact"/>
              <w:rPr>
                <w:sz w:val="20"/>
                <w:szCs w:val="20"/>
                <w:color w:val="auto"/>
              </w:rPr>
            </w:pPr>
            <w:r>
              <w:rPr>
                <w:rFonts w:ascii="Arial" w:cs="Arial" w:eastAsia="Arial" w:hAnsi="Arial"/>
                <w:sz w:val="14"/>
                <w:szCs w:val="14"/>
                <w:b w:val="1"/>
                <w:bCs w:val="1"/>
                <w:color w:val="auto"/>
                <w:w w:val="80"/>
              </w:rPr>
              <w:t>(I.R.S. Employer</w:t>
            </w:r>
          </w:p>
        </w:tc>
        <w:tc>
          <w:tcPr>
            <w:tcW w:w="100" w:type="dxa"/>
            <w:vAlign w:val="bottom"/>
          </w:tcPr>
          <w:p>
            <w:pPr>
              <w:spacing w:after="0"/>
              <w:rPr>
                <w:sz w:val="11"/>
                <w:szCs w:val="11"/>
                <w:color w:val="auto"/>
              </w:rPr>
            </w:pPr>
          </w:p>
        </w:tc>
      </w:tr>
      <w:tr>
        <w:trPr>
          <w:trHeight w:val="174"/>
        </w:trPr>
        <w:tc>
          <w:tcPr>
            <w:tcW w:w="6400" w:type="dxa"/>
            <w:vAlign w:val="bottom"/>
            <w:gridSpan w:val="6"/>
          </w:tcPr>
          <w:p>
            <w:pPr>
              <w:jc w:val="center"/>
              <w:ind w:right="3280"/>
              <w:spacing w:after="0"/>
              <w:rPr>
                <w:sz w:val="20"/>
                <w:szCs w:val="20"/>
                <w:color w:val="auto"/>
              </w:rPr>
            </w:pPr>
            <w:r>
              <w:rPr>
                <w:rFonts w:ascii="Arial" w:cs="Arial" w:eastAsia="Arial" w:hAnsi="Arial"/>
                <w:sz w:val="14"/>
                <w:szCs w:val="14"/>
                <w:b w:val="1"/>
                <w:bCs w:val="1"/>
                <w:color w:val="auto"/>
                <w:w w:val="88"/>
              </w:rPr>
              <w:t>incorporation or organization)</w:t>
            </w:r>
          </w:p>
        </w:tc>
        <w:tc>
          <w:tcPr>
            <w:tcW w:w="1520" w:type="dxa"/>
            <w:vAlign w:val="bottom"/>
            <w:gridSpan w:val="5"/>
          </w:tcPr>
          <w:p>
            <w:pPr>
              <w:jc w:val="center"/>
              <w:ind w:left="392"/>
              <w:spacing w:after="0"/>
              <w:rPr>
                <w:sz w:val="20"/>
                <w:szCs w:val="20"/>
                <w:color w:val="auto"/>
              </w:rPr>
            </w:pPr>
            <w:r>
              <w:rPr>
                <w:rFonts w:ascii="Arial" w:cs="Arial" w:eastAsia="Arial" w:hAnsi="Arial"/>
                <w:sz w:val="14"/>
                <w:szCs w:val="14"/>
                <w:b w:val="1"/>
                <w:bCs w:val="1"/>
                <w:color w:val="auto"/>
                <w:w w:val="89"/>
              </w:rPr>
              <w:t>Identification No.)</w:t>
            </w:r>
          </w:p>
        </w:tc>
      </w:tr>
      <w:tr>
        <w:trPr>
          <w:trHeight w:val="432"/>
        </w:trPr>
        <w:tc>
          <w:tcPr>
            <w:tcW w:w="31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4"/>
              </w:rPr>
              <w:t>64 Jackson Road, Devens, Massachusetts</w:t>
            </w:r>
          </w:p>
        </w:tc>
        <w:tc>
          <w:tcPr>
            <w:tcW w:w="3260" w:type="dxa"/>
            <w:vAlign w:val="bottom"/>
            <w:gridSpan w:val="3"/>
          </w:tcPr>
          <w:p>
            <w:pPr>
              <w:spacing w:after="0"/>
              <w:rPr>
                <w:sz w:val="24"/>
                <w:szCs w:val="24"/>
                <w:color w:val="auto"/>
              </w:rPr>
            </w:pPr>
          </w:p>
        </w:tc>
        <w:tc>
          <w:tcPr>
            <w:tcW w:w="760" w:type="dxa"/>
            <w:vAlign w:val="bottom"/>
            <w:gridSpan w:val="2"/>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01434</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3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(Zip Code)</w:t>
            </w:r>
          </w:p>
        </w:tc>
      </w:tr>
      <w:tr>
        <w:trPr>
          <w:trHeight w:val="392"/>
        </w:trPr>
        <w:tc>
          <w:tcPr>
            <w:tcW w:w="3860" w:type="dxa"/>
            <w:vAlign w:val="bottom"/>
            <w:gridSpan w:val="4"/>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(978) 842-3000</w:t>
            </w:r>
          </w:p>
        </w:tc>
        <w:tc>
          <w:tcPr>
            <w:tcW w:w="1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80" w:type="dxa"/>
            <w:vAlign w:val="bottom"/>
            <w:gridSpan w:val="4"/>
          </w:tcPr>
          <w:p>
            <w:pPr>
              <w:jc w:val="center"/>
              <w:ind w:left="432"/>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r>
    </w:tbl>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20" w:firstLine="456"/>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224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980" w:type="dxa"/>
            <w:vAlign w:val="bottom"/>
          </w:tcPr>
          <w:p>
            <w:pPr>
              <w:ind w:left="132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20" w:type="dxa"/>
            <w:vAlign w:val="bottom"/>
          </w:tcPr>
          <w:p>
            <w:pPr>
              <w:jc w:val="center"/>
              <w:ind w:right="742"/>
              <w:spacing w:after="0" w:line="207" w:lineRule="exact"/>
              <w:rPr>
                <w:sz w:val="20"/>
                <w:szCs w:val="20"/>
                <w:color w:val="auto"/>
              </w:rPr>
            </w:pPr>
            <w:r>
              <w:rPr>
                <w:rFonts w:ascii="Arial" w:cs="Arial" w:eastAsia="Arial" w:hAnsi="Arial"/>
                <w:sz w:val="18"/>
                <w:szCs w:val="18"/>
                <w:color w:val="auto"/>
                <w:w w:val="88"/>
              </w:rPr>
              <w:t xml:space="preserve">Non-accelerated filer </w:t>
            </w:r>
            <w:r>
              <w:rPr>
                <w:rFonts w:ascii="MS PGothic" w:cs="MS PGothic" w:eastAsia="MS PGothic" w:hAnsi="MS PGothic"/>
                <w:sz w:val="18"/>
                <w:szCs w:val="18"/>
                <w:color w:val="auto"/>
                <w:w w:val="88"/>
              </w:rPr>
              <w:t>☐</w:t>
            </w:r>
          </w:p>
        </w:tc>
        <w:tc>
          <w:tcPr>
            <w:tcW w:w="2240" w:type="dxa"/>
            <w:vAlign w:val="bottom"/>
          </w:tcPr>
          <w:p>
            <w:pPr>
              <w:ind w:left="120"/>
              <w:spacing w:after="0" w:line="207" w:lineRule="exact"/>
              <w:rPr>
                <w:sz w:val="20"/>
                <w:szCs w:val="20"/>
                <w:color w:val="auto"/>
              </w:rPr>
            </w:pPr>
            <w:r>
              <w:rPr>
                <w:rFonts w:ascii="Arial" w:cs="Arial" w:eastAsia="Arial" w:hAnsi="Arial"/>
                <w:sz w:val="18"/>
                <w:szCs w:val="18"/>
                <w:color w:val="auto"/>
                <w:w w:val="88"/>
              </w:rPr>
              <w:t xml:space="preserve">Smaller reporting company </w:t>
            </w:r>
            <w:r>
              <w:rPr>
                <w:rFonts w:ascii="MS PGothic" w:cs="MS PGothic" w:eastAsia="MS PGothic" w:hAnsi="MS PGothic"/>
                <w:sz w:val="18"/>
                <w:szCs w:val="18"/>
                <w:color w:val="auto"/>
                <w:w w:val="88"/>
              </w:rPr>
              <w:t>☐</w:t>
            </w:r>
          </w:p>
        </w:tc>
      </w:tr>
      <w:tr>
        <w:trPr>
          <w:trHeight w:val="264"/>
        </w:trPr>
        <w:tc>
          <w:tcPr>
            <w:tcW w:w="224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3960" w:type="dxa"/>
            <w:vAlign w:val="bottom"/>
            <w:gridSpan w:val="3"/>
          </w:tcPr>
          <w:p>
            <w:pPr>
              <w:jc w:val="center"/>
              <w:ind w:right="22"/>
              <w:spacing w:after="0"/>
              <w:rPr>
                <w:sz w:val="20"/>
                <w:szCs w:val="20"/>
                <w:color w:val="auto"/>
              </w:rPr>
            </w:pPr>
            <w:r>
              <w:rPr>
                <w:rFonts w:ascii="Arial" w:cs="Arial" w:eastAsia="Arial" w:hAnsi="Arial"/>
                <w:sz w:val="18"/>
                <w:szCs w:val="18"/>
                <w:color w:val="auto"/>
                <w:w w:val="89"/>
              </w:rPr>
              <w:t>(Do not check if a smaller reporting company)</w:t>
            </w:r>
          </w:p>
        </w:tc>
        <w:tc>
          <w:tcPr>
            <w:tcW w:w="2240" w:type="dxa"/>
            <w:vAlign w:val="bottom"/>
          </w:tcPr>
          <w:p>
            <w:pPr>
              <w:spacing w:after="0"/>
              <w:rPr>
                <w:sz w:val="22"/>
                <w:szCs w:val="22"/>
                <w:color w:val="auto"/>
              </w:rPr>
            </w:pPr>
          </w:p>
        </w:tc>
      </w:tr>
      <w:tr>
        <w:trPr>
          <w:trHeight w:val="398"/>
        </w:trPr>
        <w:tc>
          <w:tcPr>
            <w:tcW w:w="11420" w:type="dxa"/>
            <w:vAlign w:val="bottom"/>
            <w:gridSpan w:val="6"/>
          </w:tcPr>
          <w:p>
            <w:pPr>
              <w:ind w:left="4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r>
      <w:tr>
        <w:trPr>
          <w:trHeight w:val="358"/>
        </w:trPr>
        <w:tc>
          <w:tcPr>
            <w:tcW w:w="2240" w:type="dxa"/>
            <w:vAlign w:val="bottom"/>
          </w:tcPr>
          <w:p>
            <w:pPr>
              <w:spacing w:after="0"/>
              <w:rPr>
                <w:sz w:val="24"/>
                <w:szCs w:val="24"/>
                <w:color w:val="auto"/>
              </w:rPr>
            </w:pPr>
          </w:p>
        </w:tc>
        <w:tc>
          <w:tcPr>
            <w:tcW w:w="6940" w:type="dxa"/>
            <w:vAlign w:val="bottom"/>
            <w:gridSpan w:val="4"/>
          </w:tcPr>
          <w:p>
            <w:pPr>
              <w:ind w:left="1580"/>
              <w:spacing w:after="0"/>
              <w:rPr>
                <w:sz w:val="20"/>
                <w:szCs w:val="20"/>
                <w:color w:val="auto"/>
              </w:rPr>
            </w:pPr>
            <w:r>
              <w:rPr>
                <w:rFonts w:ascii="Arial" w:cs="Arial" w:eastAsia="Arial" w:hAnsi="Arial"/>
                <w:sz w:val="18"/>
                <w:szCs w:val="18"/>
                <w:color w:val="auto"/>
              </w:rPr>
              <w:t>Shares outstanding of the Registrant’s common stock:</w:t>
            </w:r>
          </w:p>
        </w:tc>
        <w:tc>
          <w:tcPr>
            <w:tcW w:w="2240" w:type="dxa"/>
            <w:vAlign w:val="bottom"/>
          </w:tcPr>
          <w:p>
            <w:pPr>
              <w:spacing w:after="0"/>
              <w:rPr>
                <w:sz w:val="24"/>
                <w:szCs w:val="24"/>
                <w:color w:val="auto"/>
              </w:rPr>
            </w:pPr>
          </w:p>
        </w:tc>
      </w:tr>
      <w:tr>
        <w:trPr>
          <w:trHeight w:val="428"/>
        </w:trPr>
        <w:tc>
          <w:tcPr>
            <w:tcW w:w="522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87"/>
              </w:rPr>
              <w:t>Common Stock, par value $0.01 per share</w:t>
            </w:r>
          </w:p>
        </w:tc>
        <w:tc>
          <w:tcPr>
            <w:tcW w:w="3960" w:type="dxa"/>
            <w:vAlign w:val="bottom"/>
            <w:gridSpan w:val="3"/>
          </w:tcPr>
          <w:p>
            <w:pPr>
              <w:jc w:val="right"/>
              <w:ind w:right="22"/>
              <w:spacing w:after="0"/>
              <w:rPr>
                <w:sz w:val="20"/>
                <w:szCs w:val="20"/>
                <w:color w:val="auto"/>
              </w:rPr>
            </w:pPr>
            <w:r>
              <w:rPr>
                <w:rFonts w:ascii="Arial" w:cs="Arial" w:eastAsia="Arial" w:hAnsi="Arial"/>
                <w:sz w:val="18"/>
                <w:szCs w:val="18"/>
                <w:b w:val="1"/>
                <w:bCs w:val="1"/>
                <w:color w:val="auto"/>
              </w:rPr>
              <w:t>43,287,057</w:t>
            </w:r>
          </w:p>
        </w:tc>
        <w:tc>
          <w:tcPr>
            <w:tcW w:w="2240" w:type="dxa"/>
            <w:vAlign w:val="bottom"/>
          </w:tcPr>
          <w:p>
            <w:pPr>
              <w:spacing w:after="0"/>
              <w:rPr>
                <w:sz w:val="24"/>
                <w:szCs w:val="24"/>
                <w:color w:val="auto"/>
              </w:rPr>
            </w:pPr>
          </w:p>
        </w:tc>
      </w:tr>
      <w:tr>
        <w:trPr>
          <w:trHeight w:val="174"/>
        </w:trPr>
        <w:tc>
          <w:tcPr>
            <w:tcW w:w="2240" w:type="dxa"/>
            <w:vAlign w:val="bottom"/>
            <w:tcBorders>
              <w:top w:val="single" w:sz="8" w:color="auto"/>
            </w:tcBorders>
          </w:tcPr>
          <w:p>
            <w:pPr>
              <w:spacing w:after="0"/>
              <w:rPr>
                <w:sz w:val="15"/>
                <w:szCs w:val="15"/>
                <w:color w:val="auto"/>
              </w:rPr>
            </w:pPr>
          </w:p>
        </w:tc>
        <w:tc>
          <w:tcPr>
            <w:tcW w:w="2980" w:type="dxa"/>
            <w:vAlign w:val="bottom"/>
            <w:tcBorders>
              <w:top w:val="single" w:sz="8" w:color="auto"/>
            </w:tcBorders>
          </w:tcPr>
          <w:p>
            <w:pPr>
              <w:jc w:val="center"/>
              <w:ind w:right="1639"/>
              <w:spacing w:after="0"/>
              <w:rPr>
                <w:sz w:val="20"/>
                <w:szCs w:val="20"/>
                <w:color w:val="auto"/>
              </w:rPr>
            </w:pPr>
            <w:r>
              <w:rPr>
                <w:rFonts w:ascii="Arial" w:cs="Arial" w:eastAsia="Arial" w:hAnsi="Arial"/>
                <w:sz w:val="14"/>
                <w:szCs w:val="14"/>
                <w:b w:val="1"/>
                <w:bCs w:val="1"/>
                <w:color w:val="auto"/>
                <w:w w:val="80"/>
              </w:rPr>
              <w:t>Class</w:t>
            </w:r>
          </w:p>
        </w:tc>
        <w:tc>
          <w:tcPr>
            <w:tcW w:w="5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54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Outstanding as of February 2, 2009</w:t>
            </w:r>
          </w:p>
        </w:tc>
      </w:tr>
      <w:tr>
        <w:trPr>
          <w:trHeight w:val="96"/>
        </w:trPr>
        <w:tc>
          <w:tcPr>
            <w:tcW w:w="2240" w:type="dxa"/>
            <w:vAlign w:val="bottom"/>
            <w:tcBorders>
              <w:bottom w:val="single" w:sz="8" w:color="auto"/>
            </w:tcBorders>
          </w:tcPr>
          <w:p>
            <w:pPr>
              <w:spacing w:after="0"/>
              <w:rPr>
                <w:sz w:val="8"/>
                <w:szCs w:val="8"/>
                <w:color w:val="auto"/>
              </w:rPr>
            </w:pPr>
          </w:p>
        </w:tc>
        <w:tc>
          <w:tcPr>
            <w:tcW w:w="29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220" w:type="dxa"/>
            <w:vAlign w:val="bottom"/>
            <w:tcBorders>
              <w:bottom w:val="single" w:sz="8" w:color="auto"/>
            </w:tcBorders>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r>
      <w:tr>
        <w:trPr>
          <w:trHeight w:val="21"/>
        </w:trPr>
        <w:tc>
          <w:tcPr>
            <w:tcW w:w="224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900" w:type="dxa"/>
            <w:vAlign w:val="bottom"/>
            <w:gridSpan w:val="17"/>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I—FINANCIAL INFORMATION</w:t>
              </w:r>
            </w:hyperlink>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 No.</w:t>
            </w:r>
          </w:p>
        </w:tc>
        <w:tc>
          <w:tcPr>
            <w:tcW w:w="0" w:type="dxa"/>
            <w:vAlign w:val="bottom"/>
          </w:tcPr>
          <w:p>
            <w:pPr>
              <w:spacing w:after="0"/>
              <w:rPr>
                <w:sz w:val="1"/>
                <w:szCs w:val="1"/>
                <w:color w:val="auto"/>
              </w:rPr>
            </w:pPr>
          </w:p>
        </w:tc>
      </w:tr>
      <w:tr>
        <w:trPr>
          <w:trHeight w:val="169"/>
        </w:trPr>
        <w:tc>
          <w:tcPr>
            <w:tcW w:w="10900" w:type="dxa"/>
            <w:vAlign w:val="bottom"/>
            <w:gridSpan w:val="17"/>
            <w:vMerge w:val="continue"/>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9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1.</w:t>
            </w:r>
          </w:p>
        </w:tc>
        <w:tc>
          <w:tcPr>
            <w:tcW w:w="14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640" w:type="dxa"/>
            <w:vAlign w:val="bottom"/>
            <w:tcBorders>
              <w:top w:val="single" w:sz="8" w:color="0000EE"/>
            </w:tcBorders>
            <w:gridSpan w:val="3"/>
          </w:tcPr>
          <w:p>
            <w:pPr>
              <w:spacing w:after="0"/>
              <w:rPr>
                <w:sz w:val="24"/>
                <w:szCs w:val="24"/>
                <w:color w:val="auto"/>
              </w:rPr>
            </w:pPr>
          </w:p>
        </w:tc>
        <w:tc>
          <w:tcPr>
            <w:tcW w:w="7820" w:type="dxa"/>
            <w:vAlign w:val="bottom"/>
            <w:gridSpan w:val="8"/>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4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 as of December 31, 2008 and March 31, 2008</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4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Unaudited Condensed Consolidated Statements of Operations for the three and nine months ended December 31, 2008 and 2007</w:t>
              </w:r>
            </w:hyperlink>
          </w:p>
        </w:tc>
        <w:tc>
          <w:tcPr>
            <w:tcW w:w="900" w:type="dxa"/>
            <w:vAlign w:val="bottom"/>
            <w:gridSpan w:val="2"/>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40" w:type="dxa"/>
            <w:vAlign w:val="bottom"/>
            <w:gridSpan w:val="15"/>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Unaudited Condensed Consolidated Statements of Comprehensive Loss for the three and nine months ended December 31, 2008 and</w:t>
              </w:r>
            </w:hyperlink>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2007</w:t>
              </w:r>
            </w:hyperlink>
          </w:p>
        </w:tc>
        <w:tc>
          <w:tcPr>
            <w:tcW w:w="2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1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Unaudited Condensed Consolidated Statements of Cash Flows for the nine months ended December 31, 2008 and 2007</w:t>
              </w:r>
            </w:hyperlink>
          </w:p>
        </w:tc>
        <w:tc>
          <w:tcPr>
            <w:tcW w:w="1540" w:type="dxa"/>
            <w:vAlign w:val="bottom"/>
            <w:gridSpan w:val="3"/>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8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Unaudited Condensed Consolidated Financial Statements</w:t>
              </w:r>
            </w:hyperlink>
          </w:p>
        </w:tc>
        <w:tc>
          <w:tcPr>
            <w:tcW w:w="5260" w:type="dxa"/>
            <w:vAlign w:val="bottom"/>
            <w:gridSpan w:val="6"/>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9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40" w:type="dxa"/>
            <w:vAlign w:val="bottom"/>
            <w:gridSpan w:val="15"/>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Financial Condition and Results of Operations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04"/>
        </w:trPr>
        <w:tc>
          <w:tcPr>
            <w:tcW w:w="9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640" w:type="dxa"/>
            <w:vAlign w:val="bottom"/>
            <w:gridSpan w:val="5"/>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9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24">
              <w:r>
                <w:rPr>
                  <w:rFonts w:ascii="Arial" w:cs="Arial" w:eastAsia="Arial" w:hAnsi="Arial"/>
                  <w:sz w:val="18"/>
                  <w:szCs w:val="18"/>
                  <w:color w:val="0000EE"/>
                  <w:w w:val="86"/>
                </w:rPr>
                <w:t>Controls and Procedures</w:t>
              </w:r>
            </w:hyperlink>
          </w:p>
        </w:tc>
        <w:tc>
          <w:tcPr>
            <w:tcW w:w="8200" w:type="dxa"/>
            <w:vAlign w:val="bottom"/>
            <w:gridSpan w:val="10"/>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280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PART II—OTHER INFORMATION</w:t>
              </w:r>
            </w:hyperlink>
          </w:p>
        </w:tc>
        <w:tc>
          <w:tcPr>
            <w:tcW w:w="8100" w:type="dxa"/>
            <w:vAlign w:val="bottom"/>
            <w:gridSpan w:val="9"/>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940" w:type="dxa"/>
            <w:vAlign w:val="bottom"/>
            <w:gridSpan w:val="1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9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80" w:type="dxa"/>
            <w:vAlign w:val="bottom"/>
            <w:tcBorders>
              <w:top w:val="single" w:sz="8" w:color="0000EE"/>
            </w:tcBorders>
            <w:gridSpan w:val="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Exhibits</w:t>
              </w:r>
            </w:hyperlink>
          </w:p>
        </w:tc>
        <w:tc>
          <w:tcPr>
            <w:tcW w:w="9060" w:type="dxa"/>
            <w:vAlign w:val="bottom"/>
            <w:gridSpan w:val="12"/>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960" w:type="dxa"/>
            <w:vAlign w:val="bottom"/>
            <w:gridSpan w:val="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Signature</w:t>
              </w:r>
            </w:hyperlink>
          </w:p>
        </w:tc>
        <w:tc>
          <w:tcPr>
            <w:tcW w:w="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560" w:type="dxa"/>
            <w:vAlign w:val="bottom"/>
          </w:tcPr>
          <w:p>
            <w:pPr>
              <w:jc w:val="center"/>
              <w:ind w:left="1072"/>
              <w:spacing w:after="0"/>
              <w:rPr>
                <w:sz w:val="20"/>
                <w:szCs w:val="20"/>
                <w:color w:val="auto"/>
              </w:rPr>
            </w:pPr>
            <w:r>
              <w:rPr>
                <w:rFonts w:ascii="Arial" w:cs="Arial" w:eastAsia="Arial" w:hAnsi="Arial"/>
                <w:sz w:val="18"/>
                <w:szCs w:val="18"/>
                <w:b w:val="1"/>
                <w:bCs w:val="1"/>
                <w:color w:val="auto"/>
                <w:w w:val="97"/>
              </w:rPr>
              <w:t>AMERICAN SUPERCONDUCTOR CORPORATION</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560" w:type="dxa"/>
            <w:vAlign w:val="bottom"/>
          </w:tcPr>
          <w:p>
            <w:pPr>
              <w:jc w:val="center"/>
              <w:ind w:left="1072"/>
              <w:spacing w:after="0"/>
              <w:rPr>
                <w:sz w:val="20"/>
                <w:szCs w:val="20"/>
                <w:color w:val="auto"/>
              </w:rPr>
            </w:pPr>
            <w:r>
              <w:rPr>
                <w:rFonts w:ascii="Arial" w:cs="Arial" w:eastAsia="Arial" w:hAnsi="Arial"/>
                <w:sz w:val="18"/>
                <w:szCs w:val="18"/>
                <w:b w:val="1"/>
                <w:bCs w:val="1"/>
                <w:color w:val="auto"/>
                <w:w w:val="99"/>
              </w:rPr>
              <w:t>PART I — FINANCIAL INFORMATION</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560" w:type="dxa"/>
            <w:vAlign w:val="bottom"/>
          </w:tcPr>
          <w:p>
            <w:pPr>
              <w:ind w:left="180"/>
              <w:spacing w:after="0"/>
              <w:rPr>
                <w:sz w:val="20"/>
                <w:szCs w:val="20"/>
                <w:color w:val="auto"/>
              </w:rPr>
            </w:pPr>
            <w:r>
              <w:rPr>
                <w:rFonts w:ascii="Arial" w:cs="Arial" w:eastAsia="Arial" w:hAnsi="Arial"/>
                <w:sz w:val="18"/>
                <w:szCs w:val="18"/>
                <w:b w:val="1"/>
                <w:bCs w:val="1"/>
                <w:color w:val="auto"/>
              </w:rPr>
              <w:t>FINANCIAL STATEMENTS</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560" w:type="dxa"/>
            <w:vAlign w:val="bottom"/>
          </w:tcPr>
          <w:p>
            <w:pPr>
              <w:jc w:val="center"/>
              <w:ind w:left="1052"/>
              <w:spacing w:after="0"/>
              <w:rPr>
                <w:sz w:val="20"/>
                <w:szCs w:val="20"/>
                <w:color w:val="auto"/>
              </w:rPr>
            </w:pPr>
            <w:r>
              <w:rPr>
                <w:rFonts w:ascii="Arial" w:cs="Arial" w:eastAsia="Arial" w:hAnsi="Arial"/>
                <w:sz w:val="18"/>
                <w:szCs w:val="18"/>
                <w:b w:val="1"/>
                <w:bCs w:val="1"/>
                <w:color w:val="auto"/>
                <w:w w:val="97"/>
              </w:rPr>
              <w:t>UNAUDITED CONDENSED CONSOLIDATED BALANCE SHEETS</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560" w:type="dxa"/>
            <w:vAlign w:val="bottom"/>
          </w:tcPr>
          <w:p>
            <w:pPr>
              <w:jc w:val="center"/>
              <w:ind w:left="1072"/>
              <w:spacing w:after="0"/>
              <w:rPr>
                <w:sz w:val="20"/>
                <w:szCs w:val="20"/>
                <w:color w:val="auto"/>
              </w:rPr>
            </w:pPr>
            <w:r>
              <w:rPr>
                <w:rFonts w:ascii="Arial" w:cs="Arial" w:eastAsia="Arial" w:hAnsi="Arial"/>
                <w:sz w:val="18"/>
                <w:szCs w:val="18"/>
                <w:b w:val="1"/>
                <w:bCs w:val="1"/>
                <w:color w:val="auto"/>
                <w:w w:val="87"/>
              </w:rPr>
              <w:t>(In thousands)</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560" w:type="dxa"/>
            <w:vAlign w:val="bottom"/>
            <w:shd w:val="clear" w:color="auto" w:fill="CCEEFF"/>
          </w:tcPr>
          <w:p>
            <w:pPr>
              <w:ind w:left="336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55,588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59,049</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38,398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39,128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22,333</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10,907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6,607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5,618</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tax assets, net</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56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189,509</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173,319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0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55,188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Goodwill</w:t>
            </w:r>
          </w:p>
        </w:tc>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27,536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18,530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9,589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w w:val="80"/>
              </w:rPr>
              <w:t>Other assets</w:t>
            </w:r>
          </w:p>
        </w:tc>
        <w:tc>
          <w:tcPr>
            <w:tcW w:w="8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3,196</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5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286,424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261,234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560" w:type="dxa"/>
            <w:vAlign w:val="bottom"/>
            <w:shd w:val="clear" w:color="auto" w:fill="CCEEFF"/>
          </w:tcPr>
          <w:p>
            <w:pPr>
              <w:ind w:left="178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43,678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Deferred revenue</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16,337</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60,015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420" w:type="dxa"/>
            <w:vAlign w:val="bottom"/>
            <w:gridSpan w:val="3"/>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3,893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Deferred tax liabilities, net</w:t>
            </w:r>
          </w:p>
        </w:tc>
        <w:tc>
          <w:tcPr>
            <w:tcW w:w="1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non-current liabilities</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56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64,741</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52,782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40" w:type="dxa"/>
            <w:vAlign w:val="bottom"/>
          </w:tcPr>
          <w:p>
            <w:pPr>
              <w:spacing w:after="0"/>
              <w:rPr>
                <w:sz w:val="10"/>
                <w:szCs w:val="10"/>
                <w:color w:val="auto"/>
              </w:rPr>
            </w:pPr>
          </w:p>
        </w:tc>
        <w:tc>
          <w:tcPr>
            <w:tcW w:w="85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42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650,634</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615,025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contract costs - warrant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(428,445)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(410,502)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56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221,683</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208,452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286,424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261,234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58"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88"/>
              </w:rPr>
              <w:t>Three months ended</w:t>
            </w:r>
          </w:p>
        </w:tc>
        <w:tc>
          <w:tcPr>
            <w:tcW w:w="100" w:type="dxa"/>
            <w:vAlign w:val="bottom"/>
          </w:tcPr>
          <w:p>
            <w:pPr>
              <w:spacing w:after="0"/>
              <w:rPr>
                <w:sz w:val="14"/>
                <w:szCs w:val="14"/>
                <w:color w:val="auto"/>
              </w:rPr>
            </w:pPr>
          </w:p>
        </w:tc>
        <w:tc>
          <w:tcPr>
            <w:tcW w:w="15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5"/>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5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2007</w:t>
            </w: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41,334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32,624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121,526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74,016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2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20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Costs of revenue</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31,764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22,537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89,630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54,728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5,305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3,956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14,906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11,962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27,142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21,006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420"/>
              <w:spacing w:after="0"/>
              <w:rPr>
                <w:sz w:val="20"/>
                <w:szCs w:val="20"/>
                <w:color w:val="auto"/>
              </w:rPr>
            </w:pPr>
            <w:r>
              <w:rPr>
                <w:rFonts w:ascii="Arial" w:cs="Arial" w:eastAsia="Arial" w:hAnsi="Arial"/>
                <w:sz w:val="18"/>
                <w:szCs w:val="18"/>
                <w:color w:val="auto"/>
              </w:rPr>
              <w:t>Amortization of acquisition related intangibles</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1,634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1,417</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and impairments</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vMerge w:val="restart"/>
          </w:tcPr>
          <w:p>
            <w:pPr>
              <w:ind w:left="860"/>
              <w:spacing w:after="0"/>
              <w:rPr>
                <w:sz w:val="20"/>
                <w:szCs w:val="20"/>
                <w:color w:val="auto"/>
              </w:rPr>
            </w:pPr>
            <w:r>
              <w:rPr>
                <w:rFonts w:ascii="Arial" w:cs="Arial" w:eastAsia="Arial" w:hAnsi="Arial"/>
                <w:sz w:val="18"/>
                <w:szCs w:val="18"/>
                <w:color w:val="auto"/>
              </w:rPr>
              <w:t>Total costs and expenses</w:t>
            </w:r>
          </w:p>
        </w:tc>
        <w:tc>
          <w:tcPr>
            <w:tcW w:w="2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000" w:type="dxa"/>
            <w:vAlign w:val="bottom"/>
            <w:vMerge w:val="continue"/>
          </w:tcPr>
          <w:p>
            <w:pPr>
              <w:spacing w:after="0"/>
              <w:rPr>
                <w:sz w:val="19"/>
                <w:szCs w:val="19"/>
                <w:color w:val="auto"/>
              </w:rPr>
            </w:pPr>
          </w:p>
        </w:tc>
        <w:tc>
          <w:tcPr>
            <w:tcW w:w="2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47,070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38,774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133,763</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96,085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0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(5,736)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(6,150)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(12,237)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(22,069)</w:t>
            </w:r>
          </w:p>
        </w:tc>
        <w:tc>
          <w:tcPr>
            <w:tcW w:w="0" w:type="dxa"/>
            <w:vAlign w:val="bottom"/>
          </w:tcPr>
          <w:p>
            <w:pPr>
              <w:spacing w:after="0"/>
              <w:rPr>
                <w:sz w:val="1"/>
                <w:szCs w:val="1"/>
                <w:color w:val="auto"/>
              </w:rPr>
            </w:pPr>
          </w:p>
        </w:tc>
      </w:tr>
      <w:tr>
        <w:trPr>
          <w:trHeight w:val="322"/>
        </w:trPr>
        <w:tc>
          <w:tcPr>
            <w:tcW w:w="60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697</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1,342</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2,273</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2,892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(1,393)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 expense</w:t>
            </w:r>
          </w:p>
        </w:tc>
        <w:tc>
          <w:tcPr>
            <w:tcW w:w="2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020" w:type="dxa"/>
            <w:vAlign w:val="bottom"/>
            <w:gridSpan w:val="2"/>
            <w:vMerge w:val="continue"/>
          </w:tcPr>
          <w:p>
            <w:pPr>
              <w:spacing w:after="0"/>
              <w:rPr>
                <w:sz w:val="19"/>
                <w:szCs w:val="19"/>
                <w:color w:val="auto"/>
              </w:rPr>
            </w:pPr>
          </w:p>
        </w:tc>
        <w:tc>
          <w:tcPr>
            <w:tcW w:w="2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(5,462)</w:t>
            </w:r>
          </w:p>
        </w:tc>
        <w:tc>
          <w:tcPr>
            <w:tcW w:w="1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(6,201)</w:t>
            </w: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(12,377)</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(21,735)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0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5,566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2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20" w:type="dxa"/>
            <w:vAlign w:val="bottom"/>
            <w:gridSpan w:val="2"/>
            <w:vMerge w:val="continue"/>
          </w:tcPr>
          <w:p>
            <w:pPr>
              <w:spacing w:after="0"/>
              <w:rPr>
                <w:sz w:val="19"/>
                <w:szCs w:val="19"/>
                <w:color w:val="auto"/>
              </w:rPr>
            </w:pP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(7,772)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(7,309)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(17,943)</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(23,635)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(0.18)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(0.42)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43,024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40,882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42,596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38,464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58"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UNAUDITED CONDENSED CONSOLIDATED STATEMENTS OF COMPREHENSIVE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6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1"/>
              </w:rPr>
              <w:t>Three months ended</w:t>
            </w:r>
          </w:p>
        </w:tc>
        <w:tc>
          <w:tcPr>
            <w:tcW w:w="16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6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16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(7,772)</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(7,309)</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(17,943)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(23,635)</w:t>
            </w:r>
          </w:p>
        </w:tc>
        <w:tc>
          <w:tcPr>
            <w:tcW w:w="0" w:type="dxa"/>
            <w:vAlign w:val="bottom"/>
          </w:tcPr>
          <w:p>
            <w:pPr>
              <w:spacing w:after="0"/>
              <w:rPr>
                <w:sz w:val="1"/>
                <w:szCs w:val="1"/>
                <w:color w:val="auto"/>
              </w:rPr>
            </w:pPr>
          </w:p>
        </w:tc>
      </w:tr>
      <w:tr>
        <w:trPr>
          <w:trHeight w:val="222"/>
        </w:trPr>
        <w:tc>
          <w:tcPr>
            <w:tcW w:w="8120" w:type="dxa"/>
            <w:vAlign w:val="bottom"/>
            <w:gridSpan w:val="2"/>
          </w:tcPr>
          <w:p>
            <w:pPr>
              <w:spacing w:after="0"/>
              <w:rPr>
                <w:sz w:val="20"/>
                <w:szCs w:val="20"/>
                <w:color w:val="auto"/>
              </w:rPr>
            </w:pPr>
            <w:r>
              <w:rPr>
                <w:rFonts w:ascii="Arial" w:cs="Arial" w:eastAsia="Arial" w:hAnsi="Arial"/>
                <w:sz w:val="18"/>
                <w:szCs w:val="18"/>
                <w:color w:val="auto"/>
              </w:rPr>
              <w:t>Other comprehensive income/(loss)</w:t>
            </w:r>
          </w:p>
        </w:tc>
        <w:tc>
          <w:tcPr>
            <w:tcW w:w="5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(832)</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563</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Change in unrealized gain/(loss) on investments</w:t>
            </w:r>
          </w:p>
        </w:tc>
        <w:tc>
          <w:tcPr>
            <w:tcW w:w="540" w:type="dxa"/>
            <w:vAlign w:val="bottom"/>
          </w:tcPr>
          <w:p>
            <w:pPr>
              <w:jc w:val="right"/>
              <w:spacing w:after="0"/>
              <w:rPr>
                <w:sz w:val="20"/>
                <w:szCs w:val="20"/>
                <w:color w:val="auto"/>
              </w:rPr>
            </w:pPr>
            <w:r>
              <w:rPr>
                <w:rFonts w:ascii="Arial" w:cs="Arial" w:eastAsia="Arial" w:hAnsi="Arial"/>
                <w:sz w:val="18"/>
                <w:szCs w:val="18"/>
                <w:color w:val="auto"/>
              </w:rPr>
              <w:t>254</w:t>
            </w:r>
          </w:p>
        </w:tc>
        <w:tc>
          <w:tcPr>
            <w:tcW w:w="2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80</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129</w:t>
            </w:r>
          </w:p>
        </w:tc>
        <w:tc>
          <w:tcPr>
            <w:tcW w:w="660" w:type="dxa"/>
            <w:vAlign w:val="bottom"/>
          </w:tcPr>
          <w:p>
            <w:pPr>
              <w:jc w:val="right"/>
              <w:spacing w:after="0"/>
              <w:rPr>
                <w:sz w:val="20"/>
                <w:szCs w:val="20"/>
                <w:color w:val="auto"/>
              </w:rPr>
            </w:pPr>
            <w:r>
              <w:rPr>
                <w:rFonts w:ascii="Arial" w:cs="Arial" w:eastAsia="Arial" w:hAnsi="Arial"/>
                <w:sz w:val="18"/>
                <w:szCs w:val="18"/>
                <w:color w:val="auto"/>
              </w:rPr>
              <w:t>203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income/(loss)</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(578)</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643</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(4,458)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8"/>
                <w:szCs w:val="18"/>
                <w:color w:val="auto"/>
              </w:rPr>
              <w:t>Comprehensive loss</w:t>
            </w: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20" w:type="dxa"/>
            <w:vAlign w:val="bottom"/>
            <w:gridSpan w:val="2"/>
            <w:vMerge w:val="continue"/>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(8,350)</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(6,666)</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(22,401)</w:t>
            </w:r>
          </w:p>
        </w:tc>
        <w:tc>
          <w:tcPr>
            <w:tcW w:w="7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(21,897)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58"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86"/>
              </w:rPr>
              <w:t>Nine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(17,943)</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(23,635)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used in operations: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6,192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 expense</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860"/>
              <w:spacing w:after="0"/>
              <w:rPr>
                <w:sz w:val="20"/>
                <w:szCs w:val="20"/>
                <w:color w:val="auto"/>
              </w:rPr>
            </w:pPr>
            <w:r>
              <w:rPr>
                <w:rFonts w:ascii="Arial" w:cs="Arial" w:eastAsia="Arial" w:hAnsi="Arial"/>
                <w:sz w:val="18"/>
                <w:szCs w:val="18"/>
                <w:color w:val="auto"/>
              </w:rPr>
              <w:t>Stock-based compensation expense—non-employee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Impairment charges on long-lived assets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860"/>
              <w:spacing w:after="0"/>
              <w:rPr>
                <w:sz w:val="20"/>
                <w:szCs w:val="20"/>
                <w:color w:val="auto"/>
              </w:rPr>
            </w:pPr>
            <w:r>
              <w:rPr>
                <w:rFonts w:ascii="Arial" w:cs="Arial" w:eastAsia="Arial" w:hAnsi="Arial"/>
                <w:sz w:val="18"/>
                <w:szCs w:val="18"/>
                <w:color w:val="auto"/>
              </w:rPr>
              <w:t>Inventory write-down charges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Re-valuation of warrant</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860"/>
              <w:spacing w:after="0"/>
              <w:rPr>
                <w:sz w:val="20"/>
                <w:szCs w:val="20"/>
                <w:color w:val="auto"/>
              </w:rPr>
            </w:pPr>
            <w:r>
              <w:rPr>
                <w:rFonts w:ascii="Arial" w:cs="Arial" w:eastAsia="Arial" w:hAnsi="Arial"/>
                <w:sz w:val="18"/>
                <w:szCs w:val="18"/>
                <w:color w:val="auto"/>
              </w:rPr>
              <w:t>Deferred income taxes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non-cash items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860"/>
              <w:spacing w:after="0"/>
              <w:rPr>
                <w:sz w:val="20"/>
                <w:szCs w:val="20"/>
                <w:color w:val="auto"/>
              </w:rPr>
            </w:pPr>
            <w:r>
              <w:rPr>
                <w:rFonts w:ascii="Arial" w:cs="Arial" w:eastAsia="Arial" w:hAnsi="Arial"/>
                <w:sz w:val="18"/>
                <w:szCs w:val="18"/>
                <w:color w:val="auto"/>
              </w:rPr>
              <w:t>Changes in operating asset and liability accounts, excluding the effect of acquisitions: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receivable</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(5,735)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280"/>
              <w:spacing w:after="0"/>
              <w:rPr>
                <w:sz w:val="20"/>
                <w:szCs w:val="20"/>
                <w:color w:val="auto"/>
              </w:rPr>
            </w:pPr>
            <w:r>
              <w:rPr>
                <w:rFonts w:ascii="Arial" w:cs="Arial" w:eastAsia="Arial" w:hAnsi="Arial"/>
                <w:sz w:val="18"/>
                <w:szCs w:val="18"/>
                <w:color w:val="auto"/>
              </w:rPr>
              <w:t>Inventory</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(11,531)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Prepaid expenses and other current assets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(1,433)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280"/>
              <w:spacing w:after="0"/>
              <w:rPr>
                <w:sz w:val="20"/>
                <w:szCs w:val="20"/>
                <w:color w:val="auto"/>
              </w:rPr>
            </w:pPr>
            <w:r>
              <w:rPr>
                <w:rFonts w:ascii="Arial" w:cs="Arial" w:eastAsia="Arial" w:hAnsi="Arial"/>
                <w:sz w:val="18"/>
                <w:szCs w:val="18"/>
                <w:color w:val="auto"/>
              </w:rPr>
              <w:t>Accounts payable and accrued expenses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9,602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Deferred revenue</w:t>
            </w:r>
          </w:p>
        </w:tc>
        <w:tc>
          <w:tcPr>
            <w:tcW w:w="1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0" w:type="dxa"/>
            <w:vAlign w:val="bottom"/>
          </w:tcPr>
          <w:p>
            <w:pPr>
              <w:ind w:left="420"/>
              <w:spacing w:after="0"/>
              <w:rPr>
                <w:sz w:val="20"/>
                <w:szCs w:val="20"/>
                <w:color w:val="auto"/>
              </w:rPr>
            </w:pPr>
            <w:r>
              <w:rPr>
                <w:rFonts w:ascii="Arial" w:cs="Arial" w:eastAsia="Arial" w:hAnsi="Arial"/>
                <w:sz w:val="18"/>
                <w:szCs w:val="18"/>
                <w:color w:val="auto"/>
              </w:rPr>
              <w:t>Net cash used in operating activities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(842)</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(17,501)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860"/>
              <w:spacing w:after="0"/>
              <w:rPr>
                <w:sz w:val="20"/>
                <w:szCs w:val="20"/>
                <w:color w:val="auto"/>
              </w:rPr>
            </w:pPr>
            <w:r>
              <w:rPr>
                <w:rFonts w:ascii="Arial" w:cs="Arial" w:eastAsia="Arial" w:hAnsi="Arial"/>
                <w:sz w:val="18"/>
                <w:szCs w:val="18"/>
                <w:color w:val="auto"/>
              </w:rPr>
              <w:t>Purchase of property, plant and equipment, net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(5,249)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Proceeds from the sale of property, plant and equipment</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860"/>
              <w:spacing w:after="0"/>
              <w:rPr>
                <w:sz w:val="20"/>
                <w:szCs w:val="20"/>
                <w:color w:val="auto"/>
              </w:rPr>
            </w:pPr>
            <w:r>
              <w:rPr>
                <w:rFonts w:ascii="Arial" w:cs="Arial" w:eastAsia="Arial" w:hAnsi="Arial"/>
                <w:sz w:val="18"/>
                <w:szCs w:val="18"/>
                <w:color w:val="auto"/>
              </w:rPr>
              <w:t>Purchase of marketable securities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(77,602)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(167,262)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Proceeds from the maturity of marketable securities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57,080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860"/>
              <w:spacing w:after="0"/>
              <w:rPr>
                <w:sz w:val="20"/>
                <w:szCs w:val="20"/>
                <w:color w:val="auto"/>
              </w:rPr>
            </w:pPr>
            <w:r>
              <w:rPr>
                <w:rFonts w:ascii="Arial" w:cs="Arial" w:eastAsia="Arial" w:hAnsi="Arial"/>
                <w:sz w:val="18"/>
                <w:szCs w:val="18"/>
                <w:color w:val="auto"/>
              </w:rPr>
              <w:t>Change in restricted cash</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5,030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Acquisition costs, net of cash acquired in acquisitions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860"/>
              <w:spacing w:after="0"/>
              <w:rPr>
                <w:sz w:val="20"/>
                <w:szCs w:val="20"/>
                <w:color w:val="auto"/>
              </w:rPr>
            </w:pPr>
            <w:r>
              <w:rPr>
                <w:rFonts w:ascii="Arial" w:cs="Arial" w:eastAsia="Arial" w:hAnsi="Arial"/>
                <w:sz w:val="18"/>
                <w:szCs w:val="18"/>
                <w:color w:val="auto"/>
              </w:rPr>
              <w:t>Purchase of intangible assets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(845)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other assets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vMerge w:val="restart"/>
          </w:tcPr>
          <w:p>
            <w:pPr>
              <w:ind w:left="420"/>
              <w:spacing w:after="0"/>
              <w:rPr>
                <w:sz w:val="20"/>
                <w:szCs w:val="20"/>
                <w:color w:val="auto"/>
              </w:rPr>
            </w:pPr>
            <w:r>
              <w:rPr>
                <w:rFonts w:ascii="Arial" w:cs="Arial" w:eastAsia="Arial" w:hAnsi="Arial"/>
                <w:sz w:val="18"/>
                <w:szCs w:val="18"/>
                <w:color w:val="auto"/>
              </w:rPr>
              <w:t>Net cash used in investing activities</w:t>
            </w:r>
          </w:p>
        </w:tc>
        <w:tc>
          <w:tcPr>
            <w:tcW w:w="1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00" w:type="dxa"/>
            <w:vAlign w:val="bottom"/>
            <w:vMerge w:val="continue"/>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(21,664)</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(35,356)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860"/>
              <w:spacing w:after="0"/>
              <w:rPr>
                <w:sz w:val="20"/>
                <w:szCs w:val="20"/>
                <w:color w:val="auto"/>
              </w:rPr>
            </w:pPr>
            <w:r>
              <w:rPr>
                <w:rFonts w:ascii="Arial" w:cs="Arial" w:eastAsia="Arial" w:hAnsi="Arial"/>
                <w:sz w:val="18"/>
                <w:szCs w:val="18"/>
                <w:color w:val="auto"/>
              </w:rPr>
              <w:t>Proceeds from follow-on public offering, net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93,606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Proceeds from exercise of employee stock options</w:t>
            </w:r>
          </w:p>
        </w:tc>
        <w:tc>
          <w:tcPr>
            <w:tcW w:w="1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0" w:type="dxa"/>
            <w:vAlign w:val="bottom"/>
          </w:tcPr>
          <w:p>
            <w:pPr>
              <w:ind w:left="420"/>
              <w:spacing w:after="0"/>
              <w:rPr>
                <w:sz w:val="20"/>
                <w:szCs w:val="20"/>
                <w:color w:val="auto"/>
              </w:rPr>
            </w:pPr>
            <w:r>
              <w:rPr>
                <w:rFonts w:ascii="Arial" w:cs="Arial" w:eastAsia="Arial" w:hAnsi="Arial"/>
                <w:sz w:val="18"/>
                <w:szCs w:val="18"/>
                <w:color w:val="auto"/>
              </w:rPr>
              <w:t>Net cash provided by financing activities</w:t>
            </w:r>
          </w:p>
        </w:tc>
        <w:tc>
          <w:tcPr>
            <w:tcW w:w="1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107,580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(1,970)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1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020" w:type="dxa"/>
            <w:vAlign w:val="bottom"/>
            <w:gridSpan w:val="2"/>
            <w:vMerge w:val="continue"/>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(12,246)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55,406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67,834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55,588</w:t>
            </w:r>
          </w:p>
        </w:tc>
        <w:tc>
          <w:tcPr>
            <w:tcW w:w="240" w:type="dxa"/>
            <w:vAlign w:val="bottom"/>
          </w:tcPr>
          <w:p>
            <w:pPr>
              <w:spacing w:after="0"/>
              <w:rPr>
                <w:sz w:val="19"/>
                <w:szCs w:val="19"/>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71,331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Supplemental schedule of cash flow information:</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860"/>
              <w:spacing w:after="0"/>
              <w:rPr>
                <w:sz w:val="20"/>
                <w:szCs w:val="20"/>
                <w:color w:val="auto"/>
              </w:rPr>
            </w:pPr>
            <w:r>
              <w:rPr>
                <w:rFonts w:ascii="Arial" w:cs="Arial" w:eastAsia="Arial" w:hAnsi="Arial"/>
                <w:sz w:val="18"/>
                <w:szCs w:val="18"/>
                <w:color w:val="auto"/>
              </w:rPr>
              <w:t>Issuance of common stock in connection with acquisitions</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Non-cash contingent consideration in connection with acquisitions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00" w:type="dxa"/>
            <w:vAlign w:val="bottom"/>
          </w:tcPr>
          <w:p>
            <w:pPr>
              <w:ind w:left="860"/>
              <w:spacing w:after="0"/>
              <w:rPr>
                <w:sz w:val="20"/>
                <w:szCs w:val="20"/>
                <w:color w:val="auto"/>
              </w:rPr>
            </w:pPr>
            <w:r>
              <w:rPr>
                <w:rFonts w:ascii="Arial" w:cs="Arial" w:eastAsia="Arial" w:hAnsi="Arial"/>
                <w:sz w:val="18"/>
                <w:szCs w:val="18"/>
                <w:color w:val="auto"/>
              </w:rPr>
              <w:t>Non-cash issuance of common stock</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99"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 and Basis of Presentation</w:t>
      </w:r>
    </w:p>
    <w:p>
      <w:pPr>
        <w:spacing w:after="0" w:line="9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American Superconductor Corporation (the “Company” or “AMSC”) was founded on April 9, 1987. The Company offers an array of proprietary technologies and solutions spanning the electric power infrastructure – from generation to delivery to end use. The Company is a leader in alternative energy, providing proven, megawatt-scale wind turbine designs and electrical control systems. The Company also offers a host of Smart Grid technologies for power grid operators that enhance the reliability, efficiency and capacity of the grid, and seamlessly integrate renewable energy sources into the power infrastructure. These technologies include superconductor power cable systems, grid-level surge protectors and power electronics-based voltage stabilization systems. Our technologies are protected by a broad and deep intellectual property portfolio consisting of hundreds of patents and licenses worldwide. The Company operates in two business segments: AMSC Power Systems and AMSC Superconductors.</w:t>
      </w:r>
    </w:p>
    <w:p>
      <w:pPr>
        <w:spacing w:after="0" w:line="118"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These unaudited condensed consolidated financial statements of the Company have been prepared in accordance with the Securities and Exchange Commission’s (“SEC”) instructions to Form 10-Q. Certain information and footnote disclosures normally included in the financial statements prepared in accordance with accounting principles generally accepted in the United States have been condensed or omitted pursuant to those instructions. The year-end condensed balance sheet data was derived from audited financial statements but does not include all disclosures required by generally accepted accounting principles in the United States of America. The unaudited condensed consolidated financial statements, in the opinion of management, reflect all adjustments (consisting of normal recurring adjustments) necessary for a fair statement of the results for the interim periods ended December 31, 2008 and 2007 and the financial position at December 31, 2008. The unaudited condensed consolidated financial statements include the accounts of the Company and its wholly-owned subsidiaries. All significant intercompany balances and transactions are eliminated in consolidation.</w:t>
      </w:r>
    </w:p>
    <w:p>
      <w:pPr>
        <w:spacing w:after="0" w:line="1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results of operations for an interim period are not necessarily indicative of the results of operations to be expected for the fiscal year. These unaudited condensed consolidated financial statements should be read in conjunction with the audited consolidated financial statements for the fiscal year ended March 31, 2008 (fiscal 2007) which are contained in the Company’s Annual Report on Form 10-K, filed with the SEC on May 29, 2008.</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6"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In April 2008, the FASB issued FASB staff position (“FSP FAS 142-3”) “Determination of the Useful Life of Intangible Assets.” FSP FAS 142-3 amends the factors that should be considered in developing renewal or extension assumptions used to determine the useful life of a recognized intangible asset under SFAS No. 142, “Goodwill and Other Intangible Assets.” The objective of this FSP is to improve the consistency between the useful life of a recognized intangible asset under SFAS No. 142 and the period of expected cash flows used to measure the fair value of the asset under SFAS No. 141(R), and other U.S. GAAP. This FSP applies to all intangible assets, whether acquired in a business combination or otherwise, and shall be effective for financial statements issued for fiscal years beginning after December 15, 2008, and interim periods within those fiscal years and applied prospectively to intangible assets acquired after the effective date. Early adoption is prohibited. The Company is in the process of evaluating whether the adoption of this standard will have a material effect on its financial position, results of operations or cash flows.</w:t>
      </w:r>
    </w:p>
    <w:p>
      <w:pPr>
        <w:spacing w:after="0" w:line="118"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March 2008, the FASB issued SFAS No. 161, “Disclosures about Derivative Instruments and Hedging Activities.” This statement is intended to help investors better understand how derivative instruments and hedging activities affect an entity’s financial position, financial performance and cash flows through enhanced disclosure requirements. This statement is effective for financial statements issued for fiscal years and interim periods beginning after November 15, 2008. The Company began hedging activities in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151" w:lineRule="exact"/>
        <w:rPr>
          <w:sz w:val="20"/>
          <w:szCs w:val="20"/>
          <w:color w:val="auto"/>
        </w:rPr>
      </w:pPr>
    </w:p>
    <w:p>
      <w:pPr>
        <w:jc w:val="both"/>
        <w:spacing w:after="0" w:line="314" w:lineRule="auto"/>
        <w:rPr>
          <w:sz w:val="20"/>
          <w:szCs w:val="20"/>
          <w:color w:val="auto"/>
        </w:rPr>
      </w:pPr>
      <w:r>
        <w:rPr>
          <w:rFonts w:ascii="Arial" w:cs="Arial" w:eastAsia="Arial" w:hAnsi="Arial"/>
          <w:sz w:val="15"/>
          <w:szCs w:val="15"/>
          <w:color w:val="auto"/>
        </w:rPr>
        <w:t>October 2008 and will begin disclosing under the provisions of SFAS No. 161 in its next Annual Report on Form 10-K filing. In December 2007, the FASB issued SFAS No. 141(R), “Business Combinations”, which replaces SFAS No. 141. This revised standard requires assets, liabilities and non-controlling interests acquired to be measured at fair value and requires that costs incurred to effect the acquisition be recognized separately from the business combination. In addition, this statement expands the scope to include all transactions and other events in which one entity obtains control over one or more businesses. This statement is effective for all business combinations for which the acquisition date is on or after the beginning of the first annual reporting period beginning on or after December 15, 2008. Should there be an acquisition in the future, the Company will adopt this statement for acquisitions consummated after its effective date.</w:t>
      </w:r>
    </w:p>
    <w:p>
      <w:pPr>
        <w:spacing w:after="0" w:line="105"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December 2007, the FASB issued SFAS No. 160, “Non-controlling Interests in Consolidated Financial Statements, and an Amendment of ARB No. 51.” This statement establishes accounting and reporting standards for the non-controlling interest in a subsidiary and for the deconsolidation of a subsidiary. This statement is effective for fiscal years beginning on or after December 15, 2008. Although there are not any current plans for an acquisition of a non-controlling interest, should there be such an acquisition in the future, the Company will adopt this statement for acquisitions consummated after its effective date.</w:t>
      </w:r>
    </w:p>
    <w:p>
      <w:pPr>
        <w:spacing w:after="0" w:line="113"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In September 2006, the FASB issued SFAS No. 157, “Fair Value Measurements.” SFAS No. 157 defines fair value, establishes a framework for measuring fair value in GAAP and establishes a hierarchy that categorizes and prioritizes the sources to be used to estimate fair value. SFAS No. 157 also expands financial statement disclosures about fair value measurements. On February 12, 2008, the FASB issued FSP FAS 157-2 which delays the effective date of SFAS No. 157 for one year for all nonfinancial assets and nonfinancial liabilities, except those that are recognized or disclosed at fair value in the financial statements on a recurring basis (at least annually). SFAS No. 157 and FSP 157-2 are effective for financial statements issued for fiscal years beginning after November 15, 2007. The Company has elected a partial deferral of SFAS No. 157 under the provisions of FSP 157-2 related to the measurement of fair value used when evaluating goodwill, other intangible assets and other long-lived assets for impairment and valuing asset retirement obligations and liabilities for exit or disposal activities. The partial adoption of SFAS No. 157 on April 1, 2008 did not have a material impact on the Company’s condensed consolidated financial statements.</w:t>
      </w:r>
    </w:p>
    <w:p>
      <w:pPr>
        <w:spacing w:after="0" w:line="234"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accounts for its stock-based compensation under the fair value recognition provisions of SFAS No. 123(R), “Share-Based Payments.” The following table summarizes employee stock-based compensation expense under SFAS No. 123(R) by financial statement line item for the three and nine months ended December 31, 2008 and 2007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44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5"/>
              </w:rPr>
              <w:t>Three months ended</w:t>
            </w:r>
          </w:p>
        </w:tc>
        <w:tc>
          <w:tcPr>
            <w:tcW w:w="120" w:type="dxa"/>
            <w:vAlign w:val="bottom"/>
          </w:tcPr>
          <w:p>
            <w:pPr>
              <w:spacing w:after="0"/>
              <w:rPr>
                <w:sz w:val="14"/>
                <w:szCs w:val="14"/>
                <w:color w:val="auto"/>
              </w:rPr>
            </w:pPr>
          </w:p>
        </w:tc>
        <w:tc>
          <w:tcPr>
            <w:tcW w:w="128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w w:val="89"/>
              </w:rPr>
              <w:t>Nine months ended</w:t>
            </w:r>
          </w:p>
        </w:tc>
      </w:tr>
      <w:tr>
        <w:trPr>
          <w:trHeight w:val="161"/>
        </w:trPr>
        <w:tc>
          <w:tcPr>
            <w:tcW w:w="8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December 31,</w:t>
            </w:r>
          </w:p>
        </w:tc>
        <w:tc>
          <w:tcPr>
            <w:tcW w:w="120" w:type="dxa"/>
            <w:vAlign w:val="bottom"/>
          </w:tcPr>
          <w:p>
            <w:pPr>
              <w:spacing w:after="0"/>
              <w:rPr>
                <w:sz w:val="14"/>
                <w:szCs w:val="14"/>
                <w:color w:val="auto"/>
              </w:rPr>
            </w:pPr>
          </w:p>
        </w:tc>
        <w:tc>
          <w:tcPr>
            <w:tcW w:w="128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86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89"/>
              </w:rPr>
              <w:t>2008</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89"/>
              </w:rPr>
              <w:t>2007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2007</w:t>
            </w:r>
          </w:p>
        </w:tc>
        <w:tc>
          <w:tcPr>
            <w:tcW w:w="20" w:type="dxa"/>
            <w:vAlign w:val="bottom"/>
          </w:tcPr>
          <w:p>
            <w:pPr>
              <w:spacing w:after="0"/>
              <w:rPr>
                <w:sz w:val="12"/>
                <w:szCs w:val="12"/>
                <w:color w:val="auto"/>
              </w:rPr>
            </w:pPr>
          </w:p>
        </w:tc>
      </w:tr>
      <w:tr>
        <w:trPr>
          <w:trHeight w:val="210"/>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Costs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$ 1,035</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0" w:type="dxa"/>
            <w:vAlign w:val="bottom"/>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538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261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1,574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764</w:t>
            </w:r>
          </w:p>
        </w:tc>
        <w:tc>
          <w:tcPr>
            <w:tcW w:w="2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1,501</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4,977</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3,218</w:t>
            </w:r>
          </w:p>
        </w:tc>
        <w:tc>
          <w:tcPr>
            <w:tcW w:w="20" w:type="dxa"/>
            <w:vAlign w:val="bottom"/>
          </w:tcPr>
          <w:p>
            <w:pPr>
              <w:spacing w:after="0"/>
              <w:rPr>
                <w:sz w:val="18"/>
                <w:szCs w:val="18"/>
                <w:color w:val="auto"/>
              </w:rPr>
            </w:pPr>
          </w:p>
        </w:tc>
      </w:tr>
      <w:tr>
        <w:trPr>
          <w:trHeight w:val="222"/>
        </w:trPr>
        <w:tc>
          <w:tcPr>
            <w:tcW w:w="8600" w:type="dxa"/>
            <w:vAlign w:val="bottom"/>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2,392</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1,335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9"/>
              </w:rPr>
              <w:t>$ 7,586</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4,358</w:t>
            </w:r>
          </w:p>
        </w:tc>
      </w:tr>
      <w:tr>
        <w:trPr>
          <w:trHeight w:val="20"/>
        </w:trPr>
        <w:tc>
          <w:tcPr>
            <w:tcW w:w="8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During the nine months ended December 31, 2008, the Company granted approximately 400,000 shares and 131,000 shares of restricted stock and stock options, respectively, to employees under the 2007 Stock Incentive Plan. The fair value of the grants made during the nine months ended December 31, 2008 was $13.4 million. The restricted stock grant includes approximately 140,000 shares of performance-based restricted stock, which will vest upon achievement of certain financial performance measurements. The remaining shares granted vest upon the passage of time. For awards that vest upon the passage of time, expense is being recorded over the vesting period. At December 31, 2008, the Company determined that achievement of the performance measures is probable and as such, is recognizing the fair value of the performance-based awards over the estimated performance period.</w:t>
      </w:r>
    </w:p>
    <w:p>
      <w:pPr>
        <w:spacing w:after="0" w:line="12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total unrecognized compensation cost for unvested employee stock-based compensation awards outstanding, net of estimated forfeitures, was $14.2 million at December 31, 2008. This expense will be recognized over a weighted-average expense period of 1.7 years.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15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assumptions used in the Black-Scholes valuation model for stock options granted during the three and nine months ended December 31, 2008 and 2007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700" w:type="dxa"/>
            <w:vAlign w:val="bottom"/>
            <w:gridSpan w:val="4"/>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gridSpan w:val="4"/>
          </w:tcPr>
          <w:p>
            <w:pPr>
              <w:ind w:left="10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8280" w:type="dxa"/>
            <w:vAlign w:val="bottom"/>
          </w:tcPr>
          <w:p>
            <w:pPr>
              <w:spacing w:after="0"/>
              <w:rPr>
                <w:sz w:val="14"/>
                <w:szCs w:val="14"/>
                <w:color w:val="auto"/>
              </w:rPr>
            </w:pPr>
          </w:p>
        </w:tc>
        <w:tc>
          <w:tcPr>
            <w:tcW w:w="1700" w:type="dxa"/>
            <w:vAlign w:val="bottom"/>
            <w:gridSpan w:val="4"/>
          </w:tcPr>
          <w:p>
            <w:pPr>
              <w:ind w:left="280"/>
              <w:spacing w:after="0"/>
              <w:rPr>
                <w:sz w:val="20"/>
                <w:szCs w:val="20"/>
                <w:color w:val="auto"/>
              </w:rPr>
            </w:pPr>
            <w:r>
              <w:rPr>
                <w:rFonts w:ascii="Arial" w:cs="Arial" w:eastAsia="Arial" w:hAnsi="Arial"/>
                <w:sz w:val="14"/>
                <w:szCs w:val="14"/>
                <w:b w:val="1"/>
                <w:bCs w:val="1"/>
                <w:color w:val="auto"/>
              </w:rPr>
              <w:t>December 31,</w:t>
            </w:r>
          </w:p>
        </w:tc>
        <w:tc>
          <w:tcPr>
            <w:tcW w:w="1440" w:type="dxa"/>
            <w:vAlign w:val="bottom"/>
            <w:gridSpan w:val="4"/>
          </w:tcPr>
          <w:p>
            <w:pPr>
              <w:ind w:left="2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8280" w:type="dxa"/>
            <w:vAlign w:val="bottom"/>
          </w:tcPr>
          <w:p>
            <w:pPr>
              <w:spacing w:after="0"/>
              <w:rPr>
                <w:sz w:val="12"/>
                <w:szCs w:val="12"/>
                <w:color w:val="auto"/>
              </w:rPr>
            </w:pPr>
          </w:p>
        </w:tc>
        <w:tc>
          <w:tcPr>
            <w:tcW w:w="48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46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r>
      <w:tr>
        <w:trPr>
          <w:trHeight w:val="210"/>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71.2%</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64.1%</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58.9%</w:t>
            </w: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w:t>
            </w:r>
          </w:p>
        </w:tc>
      </w:tr>
      <w:tr>
        <w:trPr>
          <w:trHeight w:val="222"/>
        </w:trPr>
        <w:tc>
          <w:tcPr>
            <w:tcW w:w="8280" w:type="dxa"/>
            <w:vAlign w:val="bottom"/>
          </w:tcPr>
          <w:p>
            <w:pPr>
              <w:spacing w:after="0"/>
              <w:rPr>
                <w:sz w:val="20"/>
                <w:szCs w:val="20"/>
                <w:color w:val="auto"/>
              </w:rPr>
            </w:pPr>
            <w:r>
              <w:rPr>
                <w:rFonts w:ascii="Arial" w:cs="Arial" w:eastAsia="Arial" w:hAnsi="Arial"/>
                <w:sz w:val="18"/>
                <w:szCs w:val="18"/>
                <w:color w:val="auto"/>
              </w:rPr>
              <w:t>Dividend yield</w:t>
            </w: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None</w:t>
            </w:r>
          </w:p>
        </w:tc>
        <w:tc>
          <w:tcPr>
            <w:tcW w:w="84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820" w:type="dxa"/>
            <w:vAlign w:val="bottom"/>
            <w:gridSpan w:val="2"/>
          </w:tcPr>
          <w:p>
            <w:pPr>
              <w:ind w:left="80"/>
              <w:spacing w:after="0"/>
              <w:rPr>
                <w:sz w:val="20"/>
                <w:szCs w:val="20"/>
                <w:color w:val="auto"/>
              </w:rPr>
            </w:pPr>
            <w:r>
              <w:rPr>
                <w:rFonts w:ascii="Arial" w:cs="Arial" w:eastAsia="Arial" w:hAnsi="Arial"/>
                <w:sz w:val="18"/>
                <w:szCs w:val="18"/>
                <w:color w:val="auto"/>
              </w:rPr>
              <w:t>None</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None</w:t>
            </w:r>
          </w:p>
        </w:tc>
      </w:tr>
    </w:tbl>
    <w:p>
      <w:pPr>
        <w:spacing w:after="0" w:line="147"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expected volatility was estimated based on an equal weighting of the historical volatility of the Company’s common stock and the implied volatility of the Company’s traded options. The expected life was estimated based on an analysis of the Company’s historical experience of exercise, cancellation, and expiration patterns. The risk-free interest rate is based on five-year U.S. Treasury rates. The stock-based compensation expense recognized in the unaudited condensed consolidated statements of operations is based on awards that ultimately are expected to vest; therefore, the amount of expense has been reduced for estimated forfeitures. SFAS No. 123(R) requires forfeitures to be estimated at the time of grant and revised, if necessary, in subsequent periods if actual forfeitures differ from those estimates. Forfeitures were estimated based on historical experience. This analysis is re-evaluated periodically and the forfeiture rate is adjusted as necessary.</w:t>
      </w:r>
    </w:p>
    <w:p>
      <w:pPr>
        <w:spacing w:after="0" w:line="234"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Computation of Net Loss per Common Share</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Basic earnings per share (“EPS”) is computed by dividing net earnings (loss) by the weighted-average number of common shares outstanding for the period. Diluted EPS is computed by dividing the net earnings (loss) by the weighted-average number of common shares and dilutive common equivalent shares outstanding during the period, calculated using the treasury stock method. Common equivalent shares include the effect of restricted stock, exercise of stock options and warrants and contingently issuable shares. For the three and nine months ended December 31, 2008 and 2007, common equivalent shares of 3.3 million and 4.3 million shares, respectively, were not included in the calculation of diluted EPS as they were considered anti-dilutive.</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reconciles the numerators and denominators of the earnings per share calculation for the three and nine months ended December 31, 2008 and 2007 (in thousands, except per share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87"/>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3"/>
              </w:rPr>
              <w:t>Nine months ended</w:t>
            </w:r>
          </w:p>
        </w:tc>
      </w:t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w w:val="96"/>
              </w:rPr>
              <w:t>2008</w:t>
            </w: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2008</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(7,772)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(7,309)</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(17,943)</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(23,635)</w:t>
            </w: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Weighted-average shares of common stock outstanding</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43,653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41,234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43,196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38,820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Weighted-average shares subject to repurchase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(629)</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w:t>
            </w:r>
          </w:p>
        </w:tc>
      </w:tr>
      <w:tr>
        <w:trPr>
          <w:trHeight w:val="222"/>
        </w:trPr>
        <w:tc>
          <w:tcPr>
            <w:tcW w:w="8080" w:type="dxa"/>
            <w:vAlign w:val="bottom"/>
            <w:gridSpan w:val="2"/>
          </w:tcPr>
          <w:p>
            <w:pPr>
              <w:spacing w:after="0"/>
              <w:rPr>
                <w:sz w:val="20"/>
                <w:szCs w:val="20"/>
                <w:color w:val="auto"/>
              </w:rPr>
            </w:pPr>
            <w:r>
              <w:rPr>
                <w:rFonts w:ascii="Arial" w:cs="Arial" w:eastAsia="Arial" w:hAnsi="Arial"/>
                <w:sz w:val="18"/>
                <w:szCs w:val="18"/>
                <w:color w:val="auto"/>
              </w:rPr>
              <w:t>Shares used in per-share calculation—basic and diluted</w:t>
            </w: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43,024</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40,882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42,596</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38,464</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(0.61)</w:t>
            </w: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partially adopted SFAS No. 157 as of April 1, 2008, with the exception of the application of the statement to non-recurring nonfinancial assets and nonfinancial liabilities as allowed under FSP 157-2. The Company has determined that cash equivalents and short-term marketable securities are the only assets affected by the adoption of SFAS No. 157 at this time.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Hierarchy</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SFAS No. 157 establishes a valuation hierarchy for disclosure of the inputs to valuation used to measure fair value. This hierarchy prioritizes the inputs into three broad levels as follows:</w:t>
      </w:r>
    </w:p>
    <w:p>
      <w:pPr>
        <w:spacing w:after="0" w:line="45" w:lineRule="exact"/>
        <w:rPr>
          <w:sz w:val="20"/>
          <w:szCs w:val="20"/>
          <w:color w:val="auto"/>
        </w:rPr>
      </w:pPr>
    </w:p>
    <w:p>
      <w:pPr>
        <w:jc w:val="both"/>
        <w:ind w:left="1700" w:right="940" w:hanging="769"/>
        <w:spacing w:after="0" w:line="275" w:lineRule="auto"/>
        <w:rPr>
          <w:sz w:val="20"/>
          <w:szCs w:val="20"/>
          <w:color w:val="auto"/>
        </w:rPr>
      </w:pPr>
      <w:r>
        <w:rPr>
          <w:rFonts w:ascii="Arial" w:cs="Arial" w:eastAsia="Arial" w:hAnsi="Arial"/>
          <w:sz w:val="18"/>
          <w:szCs w:val="18"/>
          <w:b w:val="1"/>
          <w:bCs w:val="1"/>
          <w:color w:val="auto"/>
        </w:rPr>
        <w:t xml:space="preserve">Level 1 - </w:t>
      </w:r>
      <w:r>
        <w:rPr>
          <w:rFonts w:ascii="Arial" w:cs="Arial" w:eastAsia="Arial" w:hAnsi="Arial"/>
          <w:sz w:val="18"/>
          <w:szCs w:val="18"/>
          <w:color w:val="auto"/>
        </w:rPr>
        <w:t>Inputs are unadjusted quoted prices in active markets for identical assets or liabilities that the Company has the ability to</w:t>
      </w:r>
      <w:r>
        <w:rPr>
          <w:rFonts w:ascii="Arial" w:cs="Arial" w:eastAsia="Arial" w:hAnsi="Arial"/>
          <w:sz w:val="18"/>
          <w:szCs w:val="18"/>
          <w:b w:val="1"/>
          <w:bCs w:val="1"/>
          <w:color w:val="auto"/>
        </w:rPr>
        <w:t xml:space="preserve"> </w:t>
      </w:r>
      <w:r>
        <w:rPr>
          <w:rFonts w:ascii="Arial" w:cs="Arial" w:eastAsia="Arial" w:hAnsi="Arial"/>
          <w:sz w:val="18"/>
          <w:szCs w:val="18"/>
          <w:color w:val="auto"/>
        </w:rPr>
        <w:t>access at the measurement date.</w:t>
      </w:r>
    </w:p>
    <w:p>
      <w:pPr>
        <w:spacing w:after="0" w:line="66" w:lineRule="exact"/>
        <w:rPr>
          <w:sz w:val="20"/>
          <w:szCs w:val="20"/>
          <w:color w:val="auto"/>
        </w:rPr>
      </w:pPr>
    </w:p>
    <w:p>
      <w:pPr>
        <w:jc w:val="both"/>
        <w:ind w:left="1700" w:right="920" w:hanging="769"/>
        <w:spacing w:after="0" w:line="258" w:lineRule="auto"/>
        <w:rPr>
          <w:sz w:val="20"/>
          <w:szCs w:val="20"/>
          <w:color w:val="auto"/>
        </w:rPr>
      </w:pPr>
      <w:r>
        <w:rPr>
          <w:rFonts w:ascii="Arial" w:cs="Arial" w:eastAsia="Arial" w:hAnsi="Arial"/>
          <w:sz w:val="18"/>
          <w:szCs w:val="18"/>
          <w:b w:val="1"/>
          <w:bCs w:val="1"/>
          <w:color w:val="auto"/>
        </w:rPr>
        <w:t xml:space="preserve">Level 2 - </w:t>
      </w:r>
      <w:r>
        <w:rPr>
          <w:rFonts w:ascii="Arial" w:cs="Arial" w:eastAsia="Arial" w:hAnsi="Arial"/>
          <w:sz w:val="18"/>
          <w:szCs w:val="18"/>
          <w:color w:val="auto"/>
        </w:rPr>
        <w:t>Inputs include quoted prices for similar assets and liabilities in active markets, quoted prices for identical or similar assets or</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in markets that are not active, inputs other than quoted prices that are observable for the asset or liability, and inputs that are derived principally from or corroborated by observable market data by correlation or other means (market corroborated inputs).</w:t>
      </w:r>
    </w:p>
    <w:p>
      <w:pPr>
        <w:spacing w:after="0" w:line="82" w:lineRule="exact"/>
        <w:rPr>
          <w:sz w:val="20"/>
          <w:szCs w:val="20"/>
          <w:color w:val="auto"/>
        </w:rPr>
      </w:pPr>
    </w:p>
    <w:p>
      <w:pPr>
        <w:jc w:val="both"/>
        <w:ind w:left="1700" w:right="940" w:hanging="769"/>
        <w:spacing w:after="0" w:line="339" w:lineRule="auto"/>
        <w:rPr>
          <w:sz w:val="20"/>
          <w:szCs w:val="20"/>
          <w:color w:val="auto"/>
        </w:rPr>
      </w:pPr>
      <w:r>
        <w:rPr>
          <w:rFonts w:ascii="Arial" w:cs="Arial" w:eastAsia="Arial" w:hAnsi="Arial"/>
          <w:sz w:val="16"/>
          <w:szCs w:val="16"/>
          <w:b w:val="1"/>
          <w:bCs w:val="1"/>
          <w:color w:val="auto"/>
        </w:rPr>
        <w:t xml:space="preserve">Level 3 - </w:t>
      </w:r>
      <w:r>
        <w:rPr>
          <w:rFonts w:ascii="Arial" w:cs="Arial" w:eastAsia="Arial" w:hAnsi="Arial"/>
          <w:sz w:val="16"/>
          <w:szCs w:val="16"/>
          <w:color w:val="auto"/>
        </w:rPr>
        <w:t>Unobservable inputs that reflect the Company’s assumptions that market participants would use in pricing the asset or</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liability. The Company develops these inputs based on the best information available, including its own data.</w:t>
      </w:r>
    </w:p>
    <w:p>
      <w:pPr>
        <w:spacing w:after="0" w:line="8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A financial asset’s or liability’s classification within the hierarchy is determined based on the lowest level input that is significant to the fair value measurement.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the assets carried at fair value, measured as of December 31, 2008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Total</w:t>
            </w:r>
          </w:p>
        </w:tc>
        <w:tc>
          <w:tcPr>
            <w:tcW w:w="3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Quoted Prices in</w:t>
            </w:r>
          </w:p>
        </w:tc>
        <w:tc>
          <w:tcPr>
            <w:tcW w:w="74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Using Significant Other</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right="22"/>
              <w:spacing w:after="0"/>
              <w:rPr>
                <w:sz w:val="20"/>
                <w:szCs w:val="20"/>
                <w:color w:val="auto"/>
              </w:rPr>
            </w:pPr>
            <w:r>
              <w:rPr>
                <w:rFonts w:ascii="Arial" w:cs="Arial" w:eastAsia="Arial" w:hAnsi="Arial"/>
                <w:sz w:val="14"/>
                <w:szCs w:val="14"/>
                <w:b w:val="1"/>
                <w:bCs w:val="1"/>
                <w:color w:val="auto"/>
                <w:w w:val="85"/>
              </w:rPr>
              <w:t>Using Significant</w:t>
            </w:r>
          </w:p>
        </w:tc>
      </w:tr>
      <w:tr>
        <w:trPr>
          <w:trHeight w:val="149"/>
        </w:trPr>
        <w:tc>
          <w:tcPr>
            <w:tcW w:w="28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Carrying</w:t>
            </w:r>
          </w:p>
        </w:tc>
        <w:tc>
          <w:tcPr>
            <w:tcW w:w="3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Active Markets</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6"/>
              </w:rPr>
              <w:t>Observable Inputs</w:t>
            </w:r>
          </w:p>
        </w:tc>
        <w:tc>
          <w:tcPr>
            <w:tcW w:w="72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Unobservable Inputs</w:t>
            </w:r>
          </w:p>
        </w:tc>
      </w:tr>
      <w:tr>
        <w:trPr>
          <w:trHeight w:val="161"/>
        </w:trPr>
        <w:tc>
          <w:tcPr>
            <w:tcW w:w="2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Value</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1"/>
              </w:rPr>
              <w:t>(Level 1)</w:t>
            </w:r>
          </w:p>
        </w:tc>
        <w:tc>
          <w:tcPr>
            <w:tcW w:w="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7"/>
              </w:rPr>
              <w:t>(Level 2)</w:t>
            </w:r>
          </w:p>
        </w:tc>
        <w:tc>
          <w:tcPr>
            <w:tcW w:w="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7"/>
              </w:rPr>
              <w:t>(Level 3)</w:t>
            </w:r>
          </w:p>
        </w:tc>
      </w:tr>
      <w:tr>
        <w:trPr>
          <w:trHeight w:val="210"/>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$27,442</w:t>
            </w:r>
          </w:p>
        </w:tc>
        <w:tc>
          <w:tcPr>
            <w:tcW w:w="5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22"/>
        </w:trPr>
        <w:tc>
          <w:tcPr>
            <w:tcW w:w="2840" w:type="dxa"/>
            <w:vAlign w:val="bottom"/>
          </w:tcPr>
          <w:p>
            <w:pPr>
              <w:spacing w:after="0"/>
              <w:rPr>
                <w:sz w:val="20"/>
                <w:szCs w:val="20"/>
                <w:color w:val="auto"/>
              </w:rPr>
            </w:pPr>
            <w:r>
              <w:rPr>
                <w:rFonts w:ascii="Arial" w:cs="Arial" w:eastAsia="Arial" w:hAnsi="Arial"/>
                <w:sz w:val="18"/>
                <w:szCs w:val="18"/>
                <w:color w:val="auto"/>
              </w:rPr>
              <w:t>Marketable securities</w:t>
            </w:r>
          </w:p>
        </w:tc>
        <w:tc>
          <w:tcPr>
            <w:tcW w:w="2280" w:type="dxa"/>
            <w:vAlign w:val="bottom"/>
            <w:gridSpan w:val="3"/>
          </w:tcPr>
          <w:p>
            <w:pPr>
              <w:jc w:val="right"/>
              <w:ind w:right="380"/>
              <w:spacing w:after="0"/>
              <w:rPr>
                <w:sz w:val="20"/>
                <w:szCs w:val="20"/>
                <w:color w:val="auto"/>
              </w:rPr>
            </w:pPr>
            <w:r>
              <w:rPr>
                <w:rFonts w:ascii="Arial" w:cs="Arial" w:eastAsia="Arial" w:hAnsi="Arial"/>
                <w:sz w:val="18"/>
                <w:szCs w:val="18"/>
                <w:color w:val="auto"/>
              </w:rPr>
              <w:t>59,049</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59,049</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Techniques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Cash equivalents and marketable securities are measured using such inputs as quoted prices for identical or similar assets in markets that are not active, inputs other than quoted prices that are observable for the asset (for example, interest rates and yield curves observable at commonly quoted intervals), and inputs that are derived principally from or corroborated by observable market data by correlation or other means, and are classified within Level 2 of the valuation hierarchy.</w:t>
      </w:r>
    </w:p>
    <w:p>
      <w:pPr>
        <w:spacing w:after="0" w:line="259"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inventory are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3"/>
              </w:rPr>
              <w:t>December 31,</w:t>
            </w:r>
          </w:p>
        </w:tc>
        <w:tc>
          <w:tcPr>
            <w:tcW w:w="34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w w:val="92"/>
              </w:rPr>
              <w:t>March 31,</w:t>
            </w:r>
          </w:p>
        </w:tc>
      </w:tr>
      <w:tr>
        <w:trPr>
          <w:trHeight w:val="161"/>
        </w:trPr>
        <w:tc>
          <w:tcPr>
            <w:tcW w:w="56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4180" w:type="dxa"/>
            <w:vAlign w:val="bottom"/>
            <w:gridSpan w:val="2"/>
            <w:shd w:val="clear" w:color="auto" w:fill="CCEEFF"/>
          </w:tcPr>
          <w:p>
            <w:pPr>
              <w:ind w:left="40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9,671</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20" w:type="dxa"/>
            <w:vAlign w:val="bottom"/>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Work-in-progress</w:t>
            </w:r>
          </w:p>
        </w:tc>
        <w:tc>
          <w:tcPr>
            <w:tcW w:w="4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6,172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4,380</w:t>
            </w:r>
          </w:p>
        </w:tc>
        <w:tc>
          <w:tcPr>
            <w:tcW w:w="2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20" w:type="dxa"/>
            <w:vAlign w:val="bottom"/>
          </w:tcPr>
          <w:p>
            <w:pPr>
              <w:spacing w:after="0"/>
              <w:rPr>
                <w:sz w:val="18"/>
                <w:szCs w:val="18"/>
                <w:color w:val="auto"/>
              </w:rPr>
            </w:pPr>
          </w:p>
        </w:tc>
      </w:tr>
      <w:tr>
        <w:trPr>
          <w:trHeight w:val="223"/>
        </w:trPr>
        <w:tc>
          <w:tcPr>
            <w:tcW w:w="5680" w:type="dxa"/>
            <w:vAlign w:val="bottom"/>
          </w:tcPr>
          <w:p>
            <w:pPr>
              <w:spacing w:after="0"/>
              <w:rPr>
                <w:sz w:val="20"/>
                <w:szCs w:val="20"/>
                <w:color w:val="auto"/>
              </w:rPr>
            </w:pPr>
            <w:r>
              <w:rPr>
                <w:rFonts w:ascii="Arial" w:cs="Arial" w:eastAsia="Arial" w:hAnsi="Arial"/>
                <w:sz w:val="18"/>
                <w:szCs w:val="18"/>
                <w:color w:val="auto"/>
              </w:rPr>
              <w:t>Deferred program costs</w:t>
            </w:r>
          </w:p>
        </w:tc>
        <w:tc>
          <w:tcPr>
            <w:tcW w:w="40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20" w:type="dxa"/>
            <w:vAlign w:val="bottom"/>
          </w:tcPr>
          <w:p>
            <w:pPr>
              <w:spacing w:after="0"/>
              <w:rPr>
                <w:sz w:val="19"/>
                <w:szCs w:val="19"/>
                <w:color w:val="auto"/>
              </w:rPr>
            </w:pPr>
          </w:p>
        </w:tc>
      </w:tr>
      <w:tr>
        <w:trPr>
          <w:trHeight w:val="216"/>
        </w:trPr>
        <w:tc>
          <w:tcPr>
            <w:tcW w:w="5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inventory</w:t>
            </w:r>
          </w:p>
        </w:tc>
        <w:tc>
          <w:tcPr>
            <w:tcW w:w="4180" w:type="dxa"/>
            <w:vAlign w:val="bottom"/>
            <w:gridSpan w:val="2"/>
            <w:shd w:val="clear" w:color="auto" w:fill="CCEEFF"/>
          </w:tcPr>
          <w:p>
            <w:pPr>
              <w:ind w:left="40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22,333</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10,907</w:t>
            </w:r>
          </w:p>
        </w:tc>
        <w:tc>
          <w:tcPr>
            <w:tcW w:w="20" w:type="dxa"/>
            <w:vAlign w:val="bottom"/>
          </w:tcPr>
          <w:p>
            <w:pPr>
              <w:spacing w:after="0"/>
              <w:rPr>
                <w:sz w:val="18"/>
                <w:szCs w:val="18"/>
                <w:color w:val="auto"/>
              </w:rPr>
            </w:pPr>
          </w:p>
        </w:tc>
      </w:tr>
      <w:tr>
        <w:trPr>
          <w:trHeight w:val="20"/>
        </w:trPr>
        <w:tc>
          <w:tcPr>
            <w:tcW w:w="56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Finished goods inventory as of March 31, 2008 includes the cost of products shipped to customers on contracts for which revenue was deferred until final customer acceptance.</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Deferred program costs of $1.6 million as of December 31, 2008 and $0.8 million as of March 31, 2008 represent costs incurred primarily on wind turbine development programs where the Company needs to achieve certain milestones or complete the contracts on these programs before revenue and costs will be recognized.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14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Product Warranty</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generally provides a one to two year warranty on its products, commencing upon installation. A provision is recorded upon revenue recognition to “Costs of revenue” for estimated warranty expense based on historical experience.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Product warranty activity was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64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46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5"/>
              </w:rPr>
              <w:t>Nine months ended</w:t>
            </w:r>
          </w:p>
        </w:tc>
        <w:tc>
          <w:tcPr>
            <w:tcW w:w="0" w:type="dxa"/>
            <w:vAlign w:val="bottom"/>
          </w:tcPr>
          <w:p>
            <w:pPr>
              <w:spacing w:after="0"/>
              <w:rPr>
                <w:sz w:val="1"/>
                <w:szCs w:val="1"/>
                <w:color w:val="auto"/>
              </w:rPr>
            </w:pPr>
          </w:p>
        </w:tc>
      </w:tr>
      <w:tr>
        <w:trPr>
          <w:trHeight w:val="161"/>
        </w:trPr>
        <w:tc>
          <w:tcPr>
            <w:tcW w:w="8320" w:type="dxa"/>
            <w:vAlign w:val="bottom"/>
          </w:tcPr>
          <w:p>
            <w:pPr>
              <w:spacing w:after="0"/>
              <w:rPr>
                <w:sz w:val="14"/>
                <w:szCs w:val="14"/>
                <w:color w:val="auto"/>
              </w:rPr>
            </w:pPr>
          </w:p>
        </w:tc>
        <w:tc>
          <w:tcPr>
            <w:tcW w:w="16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146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3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$ 2,443</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$ 1,621</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$ 1,775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$ 1,582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Accruals for warranties during the period</w:t>
            </w:r>
          </w:p>
        </w:tc>
        <w:tc>
          <w:tcPr>
            <w:tcW w:w="540" w:type="dxa"/>
            <w:vAlign w:val="bottom"/>
          </w:tcPr>
          <w:p>
            <w:pPr>
              <w:jc w:val="right"/>
              <w:spacing w:after="0"/>
              <w:rPr>
                <w:sz w:val="20"/>
                <w:szCs w:val="20"/>
                <w:color w:val="auto"/>
              </w:rPr>
            </w:pPr>
            <w:r>
              <w:rPr>
                <w:rFonts w:ascii="Arial" w:cs="Arial" w:eastAsia="Arial" w:hAnsi="Arial"/>
                <w:sz w:val="18"/>
                <w:szCs w:val="18"/>
                <w:color w:val="auto"/>
              </w:rPr>
              <w:t>1,269</w:t>
            </w:r>
          </w:p>
        </w:tc>
        <w:tc>
          <w:tcPr>
            <w:tcW w:w="180" w:type="dxa"/>
            <w:vAlign w:val="bottom"/>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815</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3,706</w:t>
            </w:r>
          </w:p>
        </w:tc>
        <w:tc>
          <w:tcPr>
            <w:tcW w:w="560" w:type="dxa"/>
            <w:vAlign w:val="bottom"/>
          </w:tcPr>
          <w:p>
            <w:pPr>
              <w:jc w:val="right"/>
              <w:spacing w:after="0"/>
              <w:rPr>
                <w:sz w:val="20"/>
                <w:szCs w:val="20"/>
                <w:color w:val="auto"/>
              </w:rPr>
            </w:pPr>
            <w:r>
              <w:rPr>
                <w:rFonts w:ascii="Arial" w:cs="Arial" w:eastAsia="Arial" w:hAnsi="Arial"/>
                <w:sz w:val="18"/>
                <w:szCs w:val="18"/>
                <w:color w:val="auto"/>
              </w:rPr>
              <w:t>1,841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Settlements and adjustments during the period</w:t>
            </w:r>
          </w:p>
        </w:tc>
        <w:tc>
          <w:tcPr>
            <w:tcW w:w="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(1,069)</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(899)</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8"/>
                <w:szCs w:val="18"/>
                <w:color w:val="auto"/>
              </w:rPr>
              <w:t>Balance at end of period</w:t>
            </w: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2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$ 2,643</w:t>
            </w:r>
          </w:p>
        </w:tc>
        <w:tc>
          <w:tcPr>
            <w:tcW w:w="180" w:type="dxa"/>
            <w:vAlign w:val="bottom"/>
          </w:tcPr>
          <w:p>
            <w:pPr>
              <w:spacing w:after="0"/>
              <w:rPr>
                <w:sz w:val="19"/>
                <w:szCs w:val="19"/>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$ 1,537</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$ 2,643</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$ 1,537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Company recorded income tax expense of $2.3 and $5.6 million for the three and nine months ended December 31, 2008, respectively, and $1.1 and $1.9 million for the three and nine months ended December 31, 2007, respectively, related primarily to income generated in foreign jurisdictions. The Company has provided a valuation allowance against all deferred tax assets in the U.S. as it is more likely than not that its deferred tax assets are not currently realizable due to the net operating losses incurred by the Company since its inception.</w:t>
      </w:r>
    </w:p>
    <w:p>
      <w:pPr>
        <w:spacing w:after="0" w:line="228"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In April 2005, the Company issued to TM Capital (which subsequently assigned it to Provident Premier Master Fund, Ltd. (“Provident”)) a common stock purchase warrant for 200,000 shares of the Company’s common stock, exercisable for a five-year term, with an exercise price of $9.50 per share (the “Warrant”). The accrued warrant cost was classified as a current liability in accordance with Emerging Issues Task Force (EITF) Issue No. 00-19, “Accounting for Derivative Financial Instruments Indexed to, and Potentially Settled in, a Company’s Own Stock”, until such time as the Warrant was exercised or forfeited, and was marked-to-market based primarily on the then current price and expected volatility of the Company’s common stock as of the end of each reporting period. In August 2008, Provident utilized the cashless exercise provision and exercised the entire Warrant in exchange for 148,387 shares of the Company’s common stock. The Warrant was re-valued at $4.3 million at the time of exercise, resulting in a charge of $1.3 million for the nine months ended December 31, 2008 (reported in Other income (expense) in the Unaudited Condensed Consolidated Statements of Operations). Accordingly, the liability of $4.3 million was reclassified to equity upon exercise of the Warrant.</w:t>
      </w:r>
    </w:p>
    <w:p>
      <w:pPr>
        <w:spacing w:after="0" w:line="12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June 26, 2008, the Company entered into a performance bond for CNY 1.1 million (approximately $0.2 million) with a Chinese customer to guarantee supply of core components and software, which expires June 30, 2012. The performance bond was issued utilizing a Bank of China CNY 10.0 million (approximately $1.5 million) unsecured line of credit.</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From time to time, the Company enters into long-term construction contracts with customers that require the Company to obtain performance bonds. The Company is required to deposit an amount equivalent to some or all the face amount of the performance bonds into an escrow account until the termination of the bond. When the performance conditions are met, amounts deposited as collateral for the performance bonds are returned to the Company.</w:t>
      </w:r>
    </w:p>
    <w:p>
      <w:pPr>
        <w:spacing w:after="0" w:line="107"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As of December 31, 2008, the Company had outstanding performance bonds issued on behalf of the Company’s wholly-owned Austrian subsidiary, AMSC Windtec GmbH (“Windtec”), for €1.0 million (approximately $1.4 million) in connection with a contract to provide power electronics for one customer. A performance bond for €0.9 million (approximately $1.2 million) expired January 31, 2009 and the balance of the performance bonds will expire by February 2010. In the event that the payment is made in accordance with the requirements of these performance bonds, the Company would record the payment as an offset to revenue. The performance bonds are secured with restricted cash, included in current assets.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At December 31, 2008, the Company had $6.6 million of restricted cash included in current assets, which includes the restricted cash securing the Windtec bonds noted above, and $1.4 million of long-term restricted cash. Restricted cash as of March 31, 2008 was $13.2 million.</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also has several tariff guarantees for bonded material in China. When vendor conditions are met, amounts deposited as collateral for the tariff guarantees are returned to the Company.</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also has unused, unsecured lines of credit of €0.6 million (or approximately $0.8 million) that are available until June 30, 2010 and CNY 1.1 million (or approximately $0.2 million) that is available until June 5, 2009.</w:t>
      </w:r>
    </w:p>
    <w:p>
      <w:pPr>
        <w:spacing w:after="0" w:line="248"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Cost-Sharing Arrangements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has entered into several cost-sharing arrangements with various agencies of the United States government. Funds paid to the Company under these agreements are not reported as revenues but are used to directly offset the Company’s research and development (“R&amp;D”) and selling, general and administrative (“SG&amp;A”) expenses, and to purchase capital equipment.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Costs incurred and funding received under these agreements are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42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85"/>
              </w:rPr>
              <w:t>Three months ended</w:t>
            </w:r>
          </w:p>
        </w:tc>
        <w:tc>
          <w:tcPr>
            <w:tcW w:w="120" w:type="dxa"/>
            <w:vAlign w:val="bottom"/>
          </w:tcPr>
          <w:p>
            <w:pPr>
              <w:spacing w:after="0"/>
              <w:rPr>
                <w:sz w:val="14"/>
                <w:szCs w:val="14"/>
                <w:color w:val="auto"/>
              </w:rPr>
            </w:pPr>
          </w:p>
        </w:tc>
        <w:tc>
          <w:tcPr>
            <w:tcW w:w="12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6"/>
              </w:rPr>
              <w:t>Nine months ended</w:t>
            </w:r>
          </w:p>
        </w:tc>
      </w:tr>
      <w:tr>
        <w:trPr>
          <w:trHeight w:val="161"/>
        </w:trPr>
        <w:tc>
          <w:tcPr>
            <w:tcW w:w="49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5"/>
              </w:rPr>
              <w:t>December 31,</w:t>
            </w:r>
          </w:p>
        </w:tc>
        <w:tc>
          <w:tcPr>
            <w:tcW w:w="120" w:type="dxa"/>
            <w:vAlign w:val="bottom"/>
          </w:tcPr>
          <w:p>
            <w:pPr>
              <w:spacing w:after="0"/>
              <w:rPr>
                <w:sz w:val="14"/>
                <w:szCs w:val="14"/>
                <w:color w:val="auto"/>
              </w:rPr>
            </w:pPr>
          </w:p>
        </w:tc>
        <w:tc>
          <w:tcPr>
            <w:tcW w:w="12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5"/>
              </w:rPr>
              <w:t>December 31,</w:t>
            </w:r>
          </w:p>
        </w:tc>
      </w:tr>
      <w:tr>
        <w:trPr>
          <w:trHeight w:val="142"/>
        </w:trPr>
        <w:tc>
          <w:tcPr>
            <w:tcW w:w="49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w w:val="76"/>
              </w:rPr>
              <w:t>2008</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w w:val="96"/>
              </w:rPr>
              <w:t>2007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2008</w:t>
            </w:r>
          </w:p>
        </w:tc>
        <w:tc>
          <w:tcPr>
            <w:tcW w:w="22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2007</w:t>
            </w:r>
          </w:p>
        </w:tc>
        <w:tc>
          <w:tcPr>
            <w:tcW w:w="20" w:type="dxa"/>
            <w:vAlign w:val="bottom"/>
          </w:tcPr>
          <w:p>
            <w:pPr>
              <w:spacing w:after="0"/>
              <w:rPr>
                <w:sz w:val="12"/>
                <w:szCs w:val="12"/>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Costs incurred</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1,388</w:t>
            </w:r>
          </w:p>
        </w:tc>
        <w:tc>
          <w:tcPr>
            <w:tcW w:w="62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3"/>
              </w:rPr>
              <w:t>$ 3,392</w:t>
            </w:r>
          </w:p>
        </w:tc>
        <w:tc>
          <w:tcPr>
            <w:tcW w:w="76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$ 4,313</w:t>
            </w:r>
          </w:p>
        </w:tc>
        <w:tc>
          <w:tcPr>
            <w:tcW w:w="20" w:type="dxa"/>
            <w:vAlign w:val="bottom"/>
          </w:tcPr>
          <w:p>
            <w:pPr>
              <w:spacing w:after="0"/>
              <w:rPr>
                <w:sz w:val="18"/>
                <w:szCs w:val="18"/>
                <w:color w:val="auto"/>
              </w:rPr>
            </w:pP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Funding received</w:t>
            </w:r>
          </w:p>
        </w:tc>
        <w:tc>
          <w:tcPr>
            <w:tcW w:w="3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305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543</w:t>
            </w:r>
          </w:p>
        </w:tc>
        <w:tc>
          <w:tcPr>
            <w:tcW w:w="620" w:type="dxa"/>
            <w:vAlign w:val="bottom"/>
            <w:gridSpan w:val="2"/>
          </w:tcPr>
          <w:p>
            <w:pPr>
              <w:jc w:val="center"/>
              <w:ind w:left="32"/>
              <w:spacing w:after="0"/>
              <w:rPr>
                <w:sz w:val="20"/>
                <w:szCs w:val="20"/>
                <w:color w:val="auto"/>
              </w:rPr>
            </w:pPr>
            <w:r>
              <w:rPr>
                <w:rFonts w:ascii="Arial" w:cs="Arial" w:eastAsia="Arial" w:hAnsi="Arial"/>
                <w:sz w:val="18"/>
                <w:szCs w:val="18"/>
                <w:color w:val="auto"/>
                <w:w w:val="83"/>
              </w:rPr>
              <w:t>$ 1,571</w:t>
            </w:r>
          </w:p>
        </w:tc>
        <w:tc>
          <w:tcPr>
            <w:tcW w:w="76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$ 1,766</w:t>
            </w:r>
          </w:p>
        </w:tc>
        <w:tc>
          <w:tcPr>
            <w:tcW w:w="20" w:type="dxa"/>
            <w:vAlign w:val="bottom"/>
          </w:tcPr>
          <w:p>
            <w:pPr>
              <w:spacing w:after="0"/>
              <w:rPr>
                <w:sz w:val="19"/>
                <w:szCs w:val="19"/>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2008, total funding received to date under these agreements was $27.3 million.</w:t>
      </w:r>
    </w:p>
    <w:p>
      <w:pPr>
        <w:spacing w:after="0" w:line="287"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Power Quality Systems, Inc.</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On April 27, 2007, the Company acquired Power Quality Systems, Inc. (“PQS”), a Pennsylvania corporation, for $4.5 million in stock. PQS offers reactive compensation products known as Static VAR Compensators, or SVCs, based on its proprietary thyristor switch technology. These products enhance the reliability of power transmission and distribution grids and improve the quality of power for manufacturing operations.</w:t>
      </w:r>
    </w:p>
    <w:p>
      <w:pPr>
        <w:spacing w:after="0" w:line="107"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acquisition agreement included an earn-out provision for the issuance of up to an additional 0.5 million shares of common stock based on the achievement of certain order growth targets for existing PQS products for the fiscal years ending March 31, 2008 and 2009. During the fiscal year ended March 31, 2008, the Company recorded contingent consideration related to the acquisition of PQS of $1.7 million to Goodwill and Additional paid-in capital, representing 75,000 shares earned. These shares were issued during the first quarter of the fiscal year ending March 31, 2009. In addition, the Company recorded contingent consideration of $1.2 million to Goodwill and Additional paid-in capital during the three and nine months ended December 31, 2008, representing 75,000 shares earned. These shares will be issued in the first quarter of the fiscal year ending March 31, 2010.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Windtec Consulting GmbH</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On January 5, 2007, the Company acquired Windtec Consulting GmbH (“Windtec”), a corporation incorporated according to the laws of Austria. Windtec develops and sells electrical systems for wind turbines. Windtec also provides technology transfer for the manufacturing of wind turbines; documentation services; and training and support regarding the assembly, installation, commissioning, and service of wind turbines.</w:t>
      </w:r>
    </w:p>
    <w:p>
      <w:pPr>
        <w:spacing w:after="0" w:line="10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acquisition agreement included an earn-out provision for the issuance of up to an additional 1,400,000 shares of common stock upon Windtec’s achievement of specified revenue objectives during the first four fiscal years following closing of the acquisition. During the fiscal year ended March 31, 2008, the Company recorded contingent consideration of $8.1 million to Goodwill and Additional paid-in capital, representing 350,000 shares earned. These shares were issued during the first quarter of the fiscal year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15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ending March 31, 2009. In addition, the Company recorded contingent consideration of $9.8 million to Goodwill and Additional paid-in capital during the nine months ended December 31, 2008, representing 350,000 shares earned. The 350,000 shares earned are the maximum amount of contingent consideration that can be earned this fiscal year. These shares will be issued in the first quarter of the fiscal year ending March 31, 2010.</w:t>
      </w:r>
    </w:p>
    <w:p>
      <w:pPr>
        <w:spacing w:after="0" w:line="222"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Impairments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October 25, 2007, the Company’s Board of Directors approved a restructuring plan (the “Fiscal 2007 Plan”) to reduce operating costs by closing its last remaining facility in Westborough, Massachusetts and consolidating those operations into its Devens, Massachusetts facility. No headcount reductions were associated with this plan.</w:t>
      </w:r>
    </w:p>
    <w:p>
      <w:pPr>
        <w:spacing w:after="0" w:line="14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Aggregate restructuring charges associated with the Fiscal 2007 Plan were $7.1 million, of which $6.4 million was recorded in the third and fourth quarters of the fiscal year ended March 31, 2008 and $0.2 million and $0.7 million were recorded in the three and nine months ended December 31, 2008, respectively. The aggregate restructuring charges assumed the facility is not subleased. All restructuring charges associated with the Fiscal 2007 Plan are expected to result in cash disbursements and are expected to be completed by the end of the first quarter of the fiscal year ending March 31, 2010.</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presents the restructuring expense and cash disbursements for the Fiscal 2007 Plan for the three and nine months ended December 31, 2008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8"/>
              </w:rPr>
              <w:t>Decontamination</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0"/>
              </w:rPr>
              <w:t>Lease</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and Other</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Termination</w:t>
            </w:r>
          </w:p>
        </w:tc>
        <w:tc>
          <w:tcPr>
            <w:tcW w:w="260" w:type="dxa"/>
            <w:vAlign w:val="bottom"/>
          </w:tcPr>
          <w:p>
            <w:pPr>
              <w:spacing w:after="0"/>
              <w:rPr>
                <w:sz w:val="12"/>
                <w:szCs w:val="12"/>
                <w:color w:val="auto"/>
              </w:rPr>
            </w:pPr>
          </w:p>
        </w:tc>
        <w:tc>
          <w:tcPr>
            <w:tcW w:w="158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Facility Closing</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2"/>
              </w:rPr>
              <w:t>Costs</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2"/>
              </w:rPr>
              <w:t>Costs</w:t>
            </w:r>
          </w:p>
        </w:tc>
        <w:tc>
          <w:tcPr>
            <w:tcW w:w="580" w:type="dxa"/>
            <w:vAlign w:val="bottom"/>
          </w:tcPr>
          <w:p>
            <w:pPr>
              <w:spacing w:after="0"/>
              <w:rPr>
                <w:sz w:val="14"/>
                <w:szCs w:val="14"/>
                <w:color w:val="auto"/>
              </w:rPr>
            </w:pPr>
          </w:p>
        </w:tc>
        <w:tc>
          <w:tcPr>
            <w:tcW w:w="5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2008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1,909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$ 5,009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Charges to operations</w:t>
            </w:r>
          </w:p>
        </w:tc>
        <w:tc>
          <w:tcPr>
            <w:tcW w:w="14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500</w:t>
            </w:r>
          </w:p>
        </w:tc>
        <w:tc>
          <w:tcPr>
            <w:tcW w:w="560" w:type="dxa"/>
            <w:vAlign w:val="bottom"/>
          </w:tcPr>
          <w:p>
            <w:pPr>
              <w:jc w:val="right"/>
              <w:spacing w:after="0"/>
              <w:rPr>
                <w:sz w:val="20"/>
                <w:szCs w:val="20"/>
                <w:color w:val="auto"/>
              </w:rPr>
            </w:pPr>
            <w:r>
              <w:rPr>
                <w:rFonts w:ascii="Arial" w:cs="Arial" w:eastAsia="Arial" w:hAnsi="Arial"/>
                <w:sz w:val="18"/>
                <w:szCs w:val="18"/>
                <w:color w:val="auto"/>
              </w:rPr>
              <w:t>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Cash disbursements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(1,525)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(658)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(2,183)</w:t>
            </w:r>
          </w:p>
        </w:tc>
        <w:tc>
          <w:tcPr>
            <w:tcW w:w="0" w:type="dxa"/>
            <w:vAlign w:val="bottom"/>
          </w:tcPr>
          <w:p>
            <w:pPr>
              <w:spacing w:after="0"/>
              <w:rPr>
                <w:sz w:val="1"/>
                <w:szCs w:val="1"/>
                <w:color w:val="auto"/>
              </w:rPr>
            </w:pPr>
          </w:p>
        </w:tc>
      </w:tr>
      <w:tr>
        <w:trPr>
          <w:trHeight w:val="221"/>
        </w:trPr>
        <w:tc>
          <w:tcPr>
            <w:tcW w:w="7920" w:type="dxa"/>
            <w:vAlign w:val="bottom"/>
            <w:gridSpan w:val="2"/>
          </w:tcPr>
          <w:p>
            <w:pPr>
              <w:spacing w:after="0"/>
              <w:rPr>
                <w:sz w:val="20"/>
                <w:szCs w:val="20"/>
                <w:color w:val="auto"/>
              </w:rPr>
            </w:pPr>
            <w:r>
              <w:rPr>
                <w:rFonts w:ascii="Arial" w:cs="Arial" w:eastAsia="Arial" w:hAnsi="Arial"/>
                <w:sz w:val="18"/>
                <w:szCs w:val="18"/>
                <w:color w:val="auto"/>
              </w:rPr>
              <w:t>Balance September 30, 2008</w:t>
            </w: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1,751</w:t>
            </w:r>
          </w:p>
        </w:tc>
        <w:tc>
          <w:tcPr>
            <w:tcW w:w="5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Charges to operations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Cash disbursements</w:t>
            </w: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(667)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(260)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1,659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$ 2,567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 Information</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 reports its financial results in two reportable business segments: AMSC Power Systems and AMSC Superconductors.</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AMSC Power Systems supplies power electronic systems used in wind turbines; produces products to increase electrical grid capacity and reliability and to regulate wind farm voltage for the electrical grid; and, through the Company’s Windtec subsidiary, licenses proprietary wind turbine designs to manufacturers of such systems and provides consulting services to the wind industry.</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AMSC Superconductors focuses on the manufacturing of high temperature superconductor (“HTS”) wires and coils; the design and development of HTS products, such as power cables, fault current limiters and motors; and the management of large-scale HTS projects, such as HTS power cable system design, manufacturing and installation.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operating results for the two business segments are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38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w w:val="91"/>
              </w:rPr>
              <w:t>Three months ended</w:t>
            </w:r>
          </w:p>
        </w:tc>
        <w:tc>
          <w:tcPr>
            <w:tcW w:w="200" w:type="dxa"/>
            <w:vAlign w:val="bottom"/>
          </w:tcPr>
          <w:p>
            <w:pPr>
              <w:spacing w:after="0"/>
              <w:rPr>
                <w:sz w:val="14"/>
                <w:szCs w:val="14"/>
                <w:color w:val="auto"/>
              </w:rPr>
            </w:pPr>
          </w:p>
        </w:tc>
        <w:tc>
          <w:tcPr>
            <w:tcW w:w="154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380" w:type="dxa"/>
            <w:vAlign w:val="bottom"/>
            <w:gridSpan w:val="3"/>
          </w:tcPr>
          <w:p>
            <w:pPr>
              <w:jc w:val="right"/>
              <w:ind w:right="212"/>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5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580" w:type="dxa"/>
            <w:vAlign w:val="bottom"/>
            <w:tcBorders>
              <w:top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2008</w:t>
            </w:r>
          </w:p>
        </w:tc>
        <w:tc>
          <w:tcPr>
            <w:tcW w:w="80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700" w:type="dxa"/>
            <w:vAlign w:val="bottom"/>
            <w:tcBorders>
              <w:top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6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Revenues</w:t>
            </w:r>
            <w:r>
              <w:rPr>
                <w:rFonts w:ascii="Arial" w:cs="Arial" w:eastAsia="Arial" w:hAnsi="Arial"/>
                <w:sz w:val="18"/>
                <w:szCs w:val="18"/>
                <w:color w:val="auto"/>
              </w:rPr>
              <w:t>:</w:t>
            </w:r>
          </w:p>
        </w:tc>
        <w:tc>
          <w:tcPr>
            <w:tcW w:w="4640" w:type="dxa"/>
            <w:vAlign w:val="bottom"/>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46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AMSC Power Systems</w:t>
            </w:r>
          </w:p>
        </w:tc>
        <w:tc>
          <w:tcPr>
            <w:tcW w:w="5220" w:type="dxa"/>
            <w:vAlign w:val="bottom"/>
            <w:gridSpan w:val="2"/>
          </w:tcPr>
          <w:p>
            <w:pPr>
              <w:jc w:val="right"/>
              <w:spacing w:after="0"/>
              <w:rPr>
                <w:sz w:val="20"/>
                <w:szCs w:val="20"/>
                <w:color w:val="auto"/>
              </w:rPr>
            </w:pPr>
            <w:r>
              <w:rPr>
                <w:rFonts w:ascii="Arial" w:cs="Arial" w:eastAsia="Arial" w:hAnsi="Arial"/>
                <w:sz w:val="18"/>
                <w:szCs w:val="18"/>
                <w:color w:val="auto"/>
              </w:rPr>
              <w:t>$38,277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$28,936</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$ 109,783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9"/>
              </w:rPr>
              <w:t>$ 62,490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AMSC Superconductors</w:t>
            </w:r>
          </w:p>
        </w:tc>
        <w:tc>
          <w:tcPr>
            <w:tcW w:w="46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w:t>
            </w:r>
          </w:p>
        </w:tc>
        <w:tc>
          <w:tcPr>
            <w:tcW w:w="2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2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6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5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41,334</w:t>
            </w: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32,624</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$ 121,526</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$ 74,016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640" w:type="dxa"/>
            <w:vAlign w:val="bottom"/>
            <w:vMerge w:val="restart"/>
          </w:tcPr>
          <w:p>
            <w:pPr>
              <w:jc w:val="right"/>
              <w:ind w:right="2432"/>
              <w:spacing w:after="0"/>
              <w:rPr>
                <w:sz w:val="20"/>
                <w:szCs w:val="20"/>
                <w:color w:val="auto"/>
              </w:rPr>
            </w:pPr>
            <w:r>
              <w:rPr>
                <w:rFonts w:ascii="Arial" w:cs="Arial" w:eastAsia="Arial" w:hAnsi="Arial"/>
                <w:sz w:val="18"/>
                <w:szCs w:val="18"/>
                <w:color w:val="auto"/>
              </w:rPr>
              <w:t>11</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6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1"/>
              </w:rPr>
              <w:t>Three months ended</w:t>
            </w:r>
          </w:p>
        </w:tc>
        <w:tc>
          <w:tcPr>
            <w:tcW w:w="16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6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16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r>
      <w:tr>
        <w:trPr>
          <w:trHeight w:val="190"/>
        </w:trPr>
        <w:tc>
          <w:tcPr>
            <w:tcW w:w="20" w:type="dxa"/>
            <w:vAlign w:val="bottom"/>
          </w:tcPr>
          <w:p>
            <w:pPr>
              <w:spacing w:after="0"/>
              <w:rPr>
                <w:sz w:val="16"/>
                <w:szCs w:val="16"/>
                <w:color w:val="auto"/>
              </w:rPr>
            </w:pPr>
          </w:p>
        </w:tc>
        <w:tc>
          <w:tcPr>
            <w:tcW w:w="810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Operating income (loss):</w:t>
            </w:r>
          </w:p>
        </w:tc>
        <w:tc>
          <w:tcPr>
            <w:tcW w:w="5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7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6"/>
              </w:rPr>
              <w:t>AMSC Power Systems</w:t>
            </w:r>
          </w:p>
        </w:tc>
        <w:tc>
          <w:tcPr>
            <w:tcW w:w="63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6"/>
              </w:rPr>
              <w:t>$ 3,208</w:t>
            </w:r>
          </w:p>
        </w:tc>
        <w:tc>
          <w:tcPr>
            <w:tcW w:w="2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8"/>
                <w:szCs w:val="18"/>
                <w:color w:val="auto"/>
                <w:w w:val="86"/>
              </w:rPr>
              <w:t>$ 4,101</w:t>
            </w:r>
          </w:p>
        </w:tc>
        <w:tc>
          <w:tcPr>
            <w:tcW w:w="92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w w:val="88"/>
              </w:rPr>
              <w:t>$ 13,587</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4,304</w:t>
            </w:r>
          </w:p>
        </w:tc>
        <w:tc>
          <w:tcPr>
            <w:tcW w:w="6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AMSC Superconductors</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(6,264)</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(5,595)</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(17,265)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(17,473)</w:t>
            </w: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Unallocated corporate expenses</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(2,680)</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(4,656)</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(8,559)</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(8,900)</w:t>
            </w:r>
          </w:p>
        </w:tc>
      </w:tr>
      <w:tr>
        <w:trPr>
          <w:trHeight w:val="27"/>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(5,736)</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(6,150)</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(12,237)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(22,069)</w:t>
            </w: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The accounting policies of the business segments are the same as those for the consolidated Company, except that certain corporate expenses which the Company does not believe are specifically attributable or allocable to either of the two business segments have been excluded from the segment operating income (loss). Unallocated corporate expenses include stock-based compensation expense of $2.4 million and $1.3 million for the three months ended December 31, 2008 and 2007, respectively, and $7.6 million and $4.4 million for the nine months ended December 31, 2008 and 2007, respectively. Unallocated corporate expenses for the three and nine months ended December 31, 2008 included $0.2 and $0.7 million, respectively, of restructuring charges related primarily to the closure of the Company’s facility in Westborough, Massachusetts. For the three and nine months ended December 31, 2007, unallocated corporate expenses also include rent and occupancy costs associated with the unoccupied portion of the Company’s former corporate headquarters facility located in Westborough, Massachusetts.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 substantial portion of the Company’s revenues are derived from one customer, Sinovel Wind Co., Ltd., a manufacturer of wind energy systems based in China. Sales to Sinovel represented 70% and 53% of total revenues for the three months ended December 31, 2008 and 2007, respectively, and 67% and 52% of total revenues for the nine months ended December 31, 2008 and 2007, respectively.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assets for the two business segments are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3"/>
              </w:rPr>
              <w:t>December 31,</w:t>
            </w:r>
          </w:p>
        </w:tc>
        <w:tc>
          <w:tcPr>
            <w:tcW w:w="340" w:type="dxa"/>
            <w:vAlign w:val="bottom"/>
          </w:tcPr>
          <w:p>
            <w:pPr>
              <w:spacing w:after="0"/>
              <w:rPr>
                <w:sz w:val="14"/>
                <w:szCs w:val="14"/>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61"/>
        </w:trPr>
        <w:tc>
          <w:tcPr>
            <w:tcW w:w="446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AMSC Power Systems</w:t>
            </w:r>
          </w:p>
        </w:tc>
        <w:tc>
          <w:tcPr>
            <w:tcW w:w="5300" w:type="dxa"/>
            <w:vAlign w:val="bottom"/>
            <w:gridSpan w:val="2"/>
            <w:shd w:val="clear" w:color="auto" w:fill="CCEEFF"/>
          </w:tcPr>
          <w:p>
            <w:pPr>
              <w:ind w:left="5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107,565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AMSC Superconductors</w:t>
            </w:r>
          </w:p>
        </w:tc>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56,209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60,986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Cash, marketable securities and restricted cash</w:t>
            </w:r>
          </w:p>
        </w:tc>
        <w:tc>
          <w:tcPr>
            <w:tcW w:w="5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122,650</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119,404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460" w:type="dxa"/>
            <w:vAlign w:val="bottom"/>
          </w:tcPr>
          <w:p>
            <w:pPr>
              <w:ind w:left="440"/>
              <w:spacing w:after="0"/>
              <w:rPr>
                <w:sz w:val="20"/>
                <w:szCs w:val="20"/>
                <w:color w:val="auto"/>
              </w:rPr>
            </w:pPr>
            <w:r>
              <w:rPr>
                <w:rFonts w:ascii="Arial" w:cs="Arial" w:eastAsia="Arial" w:hAnsi="Arial"/>
                <w:sz w:val="18"/>
                <w:szCs w:val="18"/>
                <w:color w:val="auto"/>
              </w:rPr>
              <w:t>Total</w:t>
            </w:r>
          </w:p>
        </w:tc>
        <w:tc>
          <w:tcPr>
            <w:tcW w:w="5300" w:type="dxa"/>
            <w:vAlign w:val="bottom"/>
            <w:gridSpan w:val="2"/>
          </w:tcPr>
          <w:p>
            <w:pPr>
              <w:ind w:left="5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286,424</w:t>
            </w:r>
          </w:p>
        </w:tc>
        <w:tc>
          <w:tcPr>
            <w:tcW w:w="4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261,234</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5160" w:type="dxa"/>
            <w:vAlign w:val="bottom"/>
            <w:vMerge w:val="restart"/>
          </w:tcPr>
          <w:p>
            <w:pPr>
              <w:jc w:val="right"/>
              <w:ind w:right="3732"/>
              <w:spacing w:after="0"/>
              <w:rPr>
                <w:sz w:val="20"/>
                <w:szCs w:val="20"/>
                <w:color w:val="auto"/>
              </w:rPr>
            </w:pPr>
            <w:r>
              <w:rPr>
                <w:rFonts w:ascii="Arial" w:cs="Arial" w:eastAsia="Arial" w:hAnsi="Arial"/>
                <w:sz w:val="18"/>
                <w:szCs w:val="18"/>
                <w:color w:val="auto"/>
              </w:rPr>
              <w:t>12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60" w:type="dxa"/>
            <w:vAlign w:val="bottom"/>
          </w:tcPr>
          <w:p>
            <w:pPr>
              <w:spacing w:after="0"/>
              <w:rPr>
                <w:sz w:val="24"/>
                <w:szCs w:val="24"/>
                <w:color w:val="auto"/>
              </w:rPr>
            </w:pPr>
          </w:p>
        </w:tc>
        <w:tc>
          <w:tcPr>
            <w:tcW w:w="51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9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21E of the Securities Exchange Act of 1934, as amended. For this purpose, any statements contained herein that relate to future events or conditions, including without limitation, the statements under “Item 2. Management’s Discussion and Analysis of Financial Condition and Results of Operations” and in Part II, “Item 1A. Risk Factors” and located elsewhere herein regarding industry prospects or our prospective results of operations or financial position, may be deemed to be forward-looking statements. Without limiting the foregoing, the words “believes,” “anticipates,” “plans,” “expects,” and similar expressions are intended to identify forward-looking statements. Such forward-looking statements represent management’s current expectations and are inherently uncertain. The important factors discussed below under the caption “Risk Factors” in Item 1A, among others, could cause actual results to differ materially from those indicated by forward-looking statements made herein and presented elsewhere by management from time to time. Any such forward-looking statements represent management’s estimates as of the date of this Quarterly Report on Form 10-Q.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Quarterly Report on Form 10-Q.</w:t>
      </w:r>
    </w:p>
    <w:p>
      <w:pPr>
        <w:spacing w:after="0" w:line="12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American Superconductor and design, Revolutionizing the Way the World Uses Electricity, AMSC, Powered by AMSC, D-VAR, dSVC, PowerModule, PQ-IVR, Secure Super Grids, Windtec and SuperGEAR are trademarks or registered trademarks of American Superconductor Corporation or its subsidiaries. All other brand names, product names or trademarks belong to their respective holders. The Windtec logo and design is a registered European Union Community Trademark. Other trademarks or service marks appearing in this Quarterly Report on Form 10-Q are the property of their respective 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American Superconductor Corporation was founded in 1987. We offer an array of proprietary technologies and solutions spanning the electric power infrastructure – from generation to delivery to end use. Our company is a leader in alternative energy, providing proven, megawatt-scale wind turbine designs and electrical control systems. We also offer a host of Smart Grid technologies for power grid operators that enhance the reliability, efficiency and capacity of the grid, and seamlessly integrate renewable energy sources into the power infrastructure. These technologies include superconductor power cable systems, grid-level surge protectors and power electronics-based voltage stabilization systems. Our technologies are protected by a broad and deep intellectual property portfolio consisting of hundreds of patents and licenses worldwide.</w:t>
      </w:r>
    </w:p>
    <w:p>
      <w:pPr>
        <w:spacing w:after="0" w:line="12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Our High Temperature Superconductor (HTS) wire addresses constraints on the power grid by increasing the electric current carrying capacity of the transmission cables comprising these power grids and by providing current limiting functionality in cables and stand-alone devices. In addition, our HTS wire, when incorporated into primary electrical equipment such as motors and generators, can provide increased manufacturing and operating savings due to a significant reduction in the size and weight of this equipment. Also, our power electronic converters increase the quantity, quality and reliability of electric power that is transmitted by electric utilities or consumed by large industrial entities.</w:t>
      </w:r>
    </w:p>
    <w:p>
      <w:pPr>
        <w:spacing w:after="0" w:line="116"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Our products are in varying stages of commercialization. Our power electronic converters have been sold commercially, as part of integrated systems, to electric utilities, manufacturers and wind farm developers, owners and operators since 1999. We began production of our first generation, or “1G,” HTS wire in 2003, and ceased 1G production in 2007 in favor of 2G HTS wire, as discussed below. We started initial production of 344 superconductors, our brand name for what is generically known as second generation or “2G” HTS wire, in November 2007. Our gross production capacity is approximately 720,000 meters of 344 superconductors per year. The principal applications for HTS wire (power cables, fault current limiters, rotating machines and specialty magnets) are currently in the prototype stage. Some of these prototypes are funded by U.S. government contracts, primarily with the Department of Defense (“DOD”) and Department of Energy (“DOE”).</w:t>
      </w:r>
    </w:p>
    <w:p>
      <w:pPr>
        <w:spacing w:after="0" w:line="147"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Our fiscal year begins on April 1 and ends on March 31. This document refers to fiscal 2008, which is defined as the period beginning on April 1, 2008 and concluding on March 31, 2009. The third quarter of fiscal 2008 began on October 1, 2008 and concluded on December 31, 2008.</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AMERICAN SUPERCONDUCTOR CORPORATION MANAGEMENT’S DISCUSSION AND ANALYSIS OF FINANCIAL CONDITION AND RESULTS OF OPERATIONS—Continued</w:t>
      </w:r>
    </w:p>
    <w:p>
      <w:pPr>
        <w:spacing w:after="0" w:line="12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Our cash requirements depend on numerous factors, including successful completion of our product development activities, ability to commercialize our product prototypes, rate of customer and market adoption of our products and the continued availability of U.S. government funding during the product development phase. Significant deviations to our business plan with regard to these factors, which are important drivers to our business, could have a material adverse effect on our operating performance, financial condition, and future business prospects. We expect to pursue the expansion of our operations through internal growth and potential strategic alliances and acquisitions.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preparation of consolidated financial statements requires that we make estimates and judgments that affect the reported amounts of assets, liabilities, revenue and expenses, and related disclosure of contingent assets and liabilities.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under different assumptions or conditions. There were no significant changes in the third quarter of fiscal 2008 in our critical accounting policies as disclosed in our Form 10-K for fiscal 2007, which ended on March 31, 2008.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nine months ended December 31, 2008 compared to the three and nine months ended December 31, 2007</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We operate and report our financial results to the Chief Executive Officer in two reportable business segments: AMSC Power Systems and AMSC Superconductors.</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AMSC Power Systems supplies power electronic systems used in wind turbines; produces products to increase electrical grid capacity and reliability and to regulate wind farm voltage for the electrical grid; licenses proprietary wind turbine designs to manufacturers of such systems and provides consulting services to the wind industry.</w:t>
      </w:r>
    </w:p>
    <w:p>
      <w:pPr>
        <w:spacing w:after="0" w:line="14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AMSC Superconductors focuses on the manufacturing of HTS wire and coils; the design and development of HTS products, such as power cables, fault current limiters and motors; and the management of large-scale HTS projects, such as HTS power cable system design, manufacturing and installation.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Total revenues increased by 27% and 64% to $41.3 million and $121.5 million for the three months and nine months ended December 31, 2008, respectively, from $32.6 million and $74.0 million for the three months and nine months ended December 31, 2007, respectively. Our revenues are summarized as follows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38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w w:val="91"/>
              </w:rPr>
              <w:t>Three months ended</w:t>
            </w:r>
          </w:p>
        </w:tc>
        <w:tc>
          <w:tcPr>
            <w:tcW w:w="200" w:type="dxa"/>
            <w:vAlign w:val="bottom"/>
          </w:tcPr>
          <w:p>
            <w:pPr>
              <w:spacing w:after="0"/>
              <w:rPr>
                <w:sz w:val="14"/>
                <w:szCs w:val="14"/>
                <w:color w:val="auto"/>
              </w:rPr>
            </w:pPr>
          </w:p>
        </w:tc>
        <w:tc>
          <w:tcPr>
            <w:tcW w:w="154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380" w:type="dxa"/>
            <w:vAlign w:val="bottom"/>
            <w:gridSpan w:val="3"/>
          </w:tcPr>
          <w:p>
            <w:pPr>
              <w:jc w:val="right"/>
              <w:ind w:right="212"/>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5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58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2008</w:t>
            </w:r>
          </w:p>
        </w:tc>
        <w:tc>
          <w:tcPr>
            <w:tcW w:w="80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700" w:type="dxa"/>
            <w:vAlign w:val="bottom"/>
            <w:tcBorders>
              <w:top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30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Revenues</w:t>
            </w: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76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AMSC Power Systems</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$38,277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$28,936</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$ 109,783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9"/>
              </w:rPr>
              <w:t>$ 62,490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AMSC Superconductors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w:t>
            </w:r>
          </w:p>
        </w:tc>
        <w:tc>
          <w:tcPr>
            <w:tcW w:w="2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2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0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41,334</w:t>
            </w: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32,624</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$ 121,526</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$ 74,016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Revenues in our AMSC Power Systems business unit consist of revenues from wind turbine electrical systems, wind turbine license and development</w:t>
      </w:r>
    </w:p>
    <w:p>
      <w:pPr>
        <w:spacing w:after="0" w:line="4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contracts as well as D-VAR</w:t>
      </w:r>
      <w:r>
        <w:rPr>
          <w:rFonts w:ascii="Arial" w:cs="Arial" w:eastAsia="Arial" w:hAnsi="Arial"/>
          <w:sz w:val="20"/>
          <w:szCs w:val="20"/>
          <w:color w:val="auto"/>
          <w:vertAlign w:val="superscript"/>
        </w:rPr>
        <w:t>®</w:t>
      </w:r>
      <w:r>
        <w:rPr>
          <w:rFonts w:ascii="Arial" w:cs="Arial" w:eastAsia="Arial" w:hAnsi="Arial"/>
          <w:sz w:val="16"/>
          <w:szCs w:val="16"/>
          <w:color w:val="auto"/>
        </w:rPr>
        <w:t>, PQ-IVR</w:t>
      </w:r>
      <w:r>
        <w:rPr>
          <w:rFonts w:ascii="Arial" w:cs="Arial" w:eastAsia="Arial" w:hAnsi="Arial"/>
          <w:sz w:val="20"/>
          <w:szCs w:val="20"/>
          <w:color w:val="auto"/>
          <w:vertAlign w:val="superscript"/>
        </w:rPr>
        <w:t>®</w:t>
      </w:r>
      <w:r>
        <w:rPr>
          <w:rFonts w:ascii="Arial" w:cs="Arial" w:eastAsia="Arial" w:hAnsi="Arial"/>
          <w:sz w:val="16"/>
          <w:szCs w:val="16"/>
          <w:color w:val="auto"/>
        </w:rPr>
        <w:t>, SVC, and PowerModule™ product sales, service contracts, and consulting arrangements. We also offer to engineer, install and commission our products on a turnkey basis for our customers. Our Power Systems business unit accounted for 93% and 90% of total revenues for the three months and nine months ended December 31, 2008, respectively, compared to 89% and 84% of total revenues for the same periods of fiscal 2007. Revenues in our AMSC Power Systems business unit increased by 32% and 76% to $38.3 million and $109.8 million in the third quarter and first nine months of fiscal 2008 from $28.9 million and $62.5 million for the same periods in fiscal 2007, respectively. The increases in AMSC Power</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AMERICAN SUPERCONDUCTOR CORPORATION MANAGEMENT’S DISCUSSION AND ANALYSIS OF FINANCIAL CONDITION AND RESULTS OF OPERATIONS—Continued</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Systems revenues were primarily due to higher sales of wind electrical systems and core components, including our PowerModule product, primarily in the Asia-Pacific region, partially offset by lower D-VAR product sales and higher estimates-to-complete certain Windtec license contracts. Based on the average euro exchange rates for the three and nine months ended December 31, 2008, euro-denominated revenue translated into U.S. dollars was $3.0 million lower and $4.4 million higher in these periods, respectively, compared to the translation of these revenues using the average euro exchange rates for the comparable periods of fiscal 2007.</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 substantial portion of our revenues are derived from one customer, Sinovel Wind Co., Ltd., a manufacturer of wind energy systems based in China. Sales to Sinovel represented 70% and 53% of our total revenues for the third quarter of fiscal 2008 and 2007, respectively, and 67% and 52% of our total revenues for the first nine months of fiscal 2008 and 2007, respectively.</w:t>
      </w:r>
    </w:p>
    <w:p>
      <w:pPr>
        <w:spacing w:after="0" w:line="14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Revenues in our AMSC Superconductors business unit consist of contract revenues, HTS wire sales, revenues under government-sponsored electric utility projects, and other prototype development contracts. AMSC Superconductors revenue is primarily recorded using the percentage-of-completion method. Our AMSC Superconductors unit accounted for 7% and 10% of total revenues for the three and nine months ended December 31, 2008, respectively, compared to 11% and 16% of total revenues for the same periods of fiscal 2007. AMSC Superconductors revenue decreased by 17% and increased by 2% to $3.1 million and $11.7 million in the third quarter and first nine months of fiscal 2008, respectively, from $3.7 million and $11.5 million in the same periods of fiscal 2007, respectively. Revenues from significant AMSC Superconductors government funded contract revenues are summarized as follows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Revenue Earned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87"/>
              </w:rPr>
              <w:t>Revenue Earned for three months</w:t>
            </w:r>
          </w:p>
        </w:tc>
        <w:tc>
          <w:tcPr>
            <w:tcW w:w="100" w:type="dxa"/>
            <w:vAlign w:val="bottom"/>
          </w:tcPr>
          <w:p>
            <w:pPr>
              <w:spacing w:after="0"/>
              <w:rPr>
                <w:sz w:val="14"/>
                <w:szCs w:val="14"/>
                <w:color w:val="auto"/>
              </w:rPr>
            </w:pPr>
          </w:p>
        </w:tc>
        <w:tc>
          <w:tcPr>
            <w:tcW w:w="20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6"/>
              </w:rPr>
              <w:t>Revenue Earned for nine months</w:t>
            </w:r>
          </w:p>
        </w:tc>
      </w:tr>
      <w:tr>
        <w:trPr>
          <w:trHeight w:val="161"/>
        </w:trPr>
        <w:tc>
          <w:tcPr>
            <w:tcW w:w="2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86"/>
              </w:rPr>
              <w:t>Expected Total</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center"/>
              <w:ind w:right="135"/>
              <w:spacing w:after="0"/>
              <w:rPr>
                <w:sz w:val="20"/>
                <w:szCs w:val="20"/>
                <w:color w:val="auto"/>
              </w:rPr>
            </w:pPr>
            <w:r>
              <w:rPr>
                <w:rFonts w:ascii="Arial" w:cs="Arial" w:eastAsia="Arial" w:hAnsi="Arial"/>
                <w:sz w:val="14"/>
                <w:szCs w:val="14"/>
                <w:b w:val="1"/>
                <w:bCs w:val="1"/>
                <w:color w:val="auto"/>
                <w:w w:val="86"/>
              </w:rPr>
              <w:t>through</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ended December 31,</w:t>
            </w:r>
          </w:p>
        </w:tc>
        <w:tc>
          <w:tcPr>
            <w:tcW w:w="100" w:type="dxa"/>
            <w:vAlign w:val="bottom"/>
          </w:tcPr>
          <w:p>
            <w:pPr>
              <w:spacing w:after="0"/>
              <w:rPr>
                <w:sz w:val="14"/>
                <w:szCs w:val="14"/>
                <w:color w:val="auto"/>
              </w:rPr>
            </w:pPr>
          </w:p>
        </w:tc>
        <w:tc>
          <w:tcPr>
            <w:tcW w:w="20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5"/>
              </w:rPr>
              <w:t>ended December 31,</w:t>
            </w:r>
          </w:p>
        </w:tc>
      </w:tr>
      <w:tr>
        <w:trPr>
          <w:trHeight w:val="142"/>
        </w:trPr>
        <w:tc>
          <w:tcPr>
            <w:tcW w:w="2880" w:type="dxa"/>
            <w:vAlign w:val="bottom"/>
          </w:tcPr>
          <w:p>
            <w:pPr>
              <w:spacing w:after="0" w:line="142" w:lineRule="exact"/>
              <w:rPr>
                <w:sz w:val="20"/>
                <w:szCs w:val="20"/>
                <w:color w:val="auto"/>
              </w:rPr>
            </w:pPr>
            <w:r>
              <w:rPr>
                <w:rFonts w:ascii="Arial" w:cs="Arial" w:eastAsia="Arial" w:hAnsi="Arial"/>
                <w:sz w:val="14"/>
                <w:szCs w:val="14"/>
                <w:b w:val="1"/>
                <w:bCs w:val="1"/>
                <w:color w:val="auto"/>
              </w:rPr>
              <w:t>Project Name</w:t>
            </w:r>
          </w:p>
        </w:tc>
        <w:tc>
          <w:tcPr>
            <w:tcW w:w="1240" w:type="dxa"/>
            <w:vAlign w:val="bottom"/>
          </w:tcPr>
          <w:p>
            <w:pPr>
              <w:spacing w:after="0"/>
              <w:rPr>
                <w:sz w:val="12"/>
                <w:szCs w:val="12"/>
                <w:color w:val="auto"/>
              </w:rPr>
            </w:pPr>
          </w:p>
        </w:tc>
        <w:tc>
          <w:tcPr>
            <w:tcW w:w="8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Contract Value</w:t>
            </w:r>
          </w:p>
        </w:tc>
        <w:tc>
          <w:tcPr>
            <w:tcW w:w="320" w:type="dxa"/>
            <w:vAlign w:val="bottom"/>
          </w:tcPr>
          <w:p>
            <w:pPr>
              <w:spacing w:after="0"/>
              <w:rPr>
                <w:sz w:val="12"/>
                <w:szCs w:val="12"/>
                <w:color w:val="auto"/>
              </w:rPr>
            </w:pPr>
          </w:p>
        </w:tc>
        <w:tc>
          <w:tcPr>
            <w:tcW w:w="110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5"/>
              </w:rPr>
              <w:t>December 31, 2008</w:t>
            </w:r>
          </w:p>
        </w:tc>
        <w:tc>
          <w:tcPr>
            <w:tcW w:w="3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r>
      <w:tr>
        <w:trPr>
          <w:trHeight w:val="210"/>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HYDRA</w:t>
            </w:r>
          </w:p>
        </w:tc>
        <w:tc>
          <w:tcPr>
            <w:tcW w:w="148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24,908</w:t>
            </w:r>
          </w:p>
        </w:tc>
        <w:tc>
          <w:tcPr>
            <w:tcW w:w="5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7,088</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1,023</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3,443</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20" w:type="dxa"/>
            <w:vAlign w:val="bottom"/>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LIPA I</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27,458</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27,409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3,566</w:t>
            </w:r>
          </w:p>
        </w:tc>
        <w:tc>
          <w:tcPr>
            <w:tcW w:w="20" w:type="dxa"/>
            <w:vAlign w:val="bottom"/>
          </w:tcPr>
          <w:p>
            <w:pPr>
              <w:spacing w:after="0"/>
              <w:rPr>
                <w:sz w:val="18"/>
                <w:szCs w:val="18"/>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LIPA II</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9,148</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1,803</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DOE-FCL</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3,065</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2,663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489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1,741</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299</w:t>
            </w:r>
          </w:p>
        </w:tc>
        <w:tc>
          <w:tcPr>
            <w:tcW w:w="20" w:type="dxa"/>
            <w:vAlign w:val="bottom"/>
          </w:tcPr>
          <w:p>
            <w:pPr>
              <w:spacing w:after="0"/>
              <w:rPr>
                <w:sz w:val="18"/>
                <w:szCs w:val="18"/>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36.5 MW Motor</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90,150</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90,150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20" w:type="dxa"/>
            <w:vAlign w:val="bottom"/>
          </w:tcPr>
          <w:p>
            <w:pPr>
              <w:spacing w:after="0"/>
              <w:rPr>
                <w:sz w:val="18"/>
                <w:szCs w:val="18"/>
                <w:color w:val="auto"/>
              </w:rPr>
            </w:pPr>
          </w:p>
        </w:tc>
      </w:tr>
      <w:tr>
        <w:trPr>
          <w:trHeight w:val="222"/>
        </w:trPr>
        <w:tc>
          <w:tcPr>
            <w:tcW w:w="2880" w:type="dxa"/>
            <w:vAlign w:val="bottom"/>
          </w:tcPr>
          <w:p>
            <w:pPr>
              <w:spacing w:after="0"/>
              <w:rPr>
                <w:sz w:val="20"/>
                <w:szCs w:val="20"/>
                <w:color w:val="auto"/>
              </w:rPr>
            </w:pPr>
            <w:r>
              <w:rPr>
                <w:rFonts w:ascii="Arial" w:cs="Arial" w:eastAsia="Arial" w:hAnsi="Arial"/>
                <w:sz w:val="18"/>
                <w:szCs w:val="18"/>
                <w:color w:val="auto"/>
              </w:rPr>
              <w:t>NAVSEA Motor Study</w:t>
            </w: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5,885</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5,688</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336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2,748</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1,622</w:t>
            </w:r>
          </w:p>
        </w:tc>
        <w:tc>
          <w:tcPr>
            <w:tcW w:w="20" w:type="dxa"/>
            <w:vAlign w:val="bottom"/>
          </w:tcPr>
          <w:p>
            <w:pPr>
              <w:spacing w:after="0"/>
              <w:rPr>
                <w:sz w:val="19"/>
                <w:szCs w:val="19"/>
                <w:color w:val="auto"/>
              </w:rPr>
            </w:pPr>
          </w:p>
        </w:tc>
      </w:tr>
    </w:tbl>
    <w:p>
      <w:pPr>
        <w:spacing w:after="0" w:line="147"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These significant projects represented 80% and 81% of AMSC Superconductors revenue for the three months ended December 31, 2008 and 2007, respectively, and 84% and 80% of AMSC Superconductors revenue for the nine months ended December 31, 2008 and 2007, respectively.</w:t>
      </w:r>
    </w:p>
    <w:p>
      <w:pPr>
        <w:spacing w:after="0" w:line="85"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HYDRA project is discussed further below. LIPA I is a project to install an HTS power cable system at transmission voltage using our first generation HTS wire for the Long Island Power Authority. LIPA II is an installation of an HTS power cable utilizing our second generation HTS wire for the Long Island Power Authority. DOE-FCL is a development and in-grid demonstration of a transmission voltage SuperLimiter FCL. The 36.5 MW Motor project is an HTS motor developed for the U.S. Navy. The NAVSEA Motor Study is a project designed to test the HTS motor.</w:t>
      </w:r>
    </w:p>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decrease in AMSC Superconductors revenue for the third quarter of fiscal 2008 was driven primarily by lower HYDRA project revenues due to the completion of Phase 1, in which we delivered a 3-meter cable prototype, and the successful completion of NAVSEA motor testing. This was partially offset by higher revenues from our LIPA II and DOE-FCL projects.</w:t>
      </w:r>
    </w:p>
    <w:p>
      <w:pPr>
        <w:spacing w:after="0" w:line="140"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We are recognizing HTS cable project revenues in fiscal 2008 from the Project HYDRA contract with Consolidated Edison, Inc., which is being funded by the U.S. Department of Homeland Security (“DHS”) and was announced on May 21, 2007. DHS is expected to invest up to a total of $24.9 million in the development of a new high temperature superconductor power grid technology to enable Secure Super Grids™. Secure Super Grids utilize customized HTS wires, HTS power cables and ancillary controls to deliver more power through the grid while also being able to suppress power surges that can disrupt service. While the final contract was being negotiated, we worked under letter contracts with DHS. On January 22, 2008, we executed the final contract with DHS. Of the total $24.9 million in funding expected from DHS, it has committed funding of $16.3 million to us through December 31, 2008. We recognized $1.0 million in revenue related to the Project HYDRA during the third quarter of fiscal 2008. Consolidated Edison and Southwire Company are subcontractors to us on this project.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AMERICAN SUPERCONDUCTOR CORPORATION MANAGEMENT’S DISCUSSION AND ANALYSIS OF FINANCIAL CONDITION AND RESULTS OF OPERATIONS—Continued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Cost-sharing funding</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addition to reported revenues, we also received funding of $0.3 million and $1.6 million for the three and nine months ended December 31, 2008, respectively, under U.S. government cost-sharing agreements with the U.S. Air Force and the DOE, compared to $0.5 million and $1.8 million for the same periods of fiscal 2007. All of our cost-sharing agreements provide funding in support of development work on 344 superconductors being done in our AMSC Superconductors business unit. We anticipate that a portion of our funding in the future will continue to come from cost-sharing agreements as we execute joint programs with government agencies. Funding from government cost-sharing agreements is recorded as an offset to research and development (“R&amp;D”) and selling, general and administrative (“SG&amp;A”) expenses, rather than as revenue. As of December 31, 2008, we anticipate recognizing an additional $2.3 million offset to R&amp;D and SG&amp;A expenses related to these cost-sharing agreements over the next two years.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of Revenue and Gross Margin</w:t>
      </w:r>
    </w:p>
    <w:p>
      <w:pPr>
        <w:spacing w:after="0" w:line="90" w:lineRule="exact"/>
        <w:rPr>
          <w:sz w:val="20"/>
          <w:szCs w:val="20"/>
          <w:color w:val="auto"/>
        </w:rPr>
      </w:pPr>
    </w:p>
    <w:p>
      <w:pPr>
        <w:jc w:val="both"/>
        <w:ind w:firstLine="456"/>
        <w:spacing w:after="0" w:line="269" w:lineRule="auto"/>
        <w:rPr>
          <w:sz w:val="20"/>
          <w:szCs w:val="20"/>
          <w:color w:val="auto"/>
        </w:rPr>
      </w:pPr>
      <w:r>
        <w:rPr>
          <w:rFonts w:ascii="Arial" w:cs="Arial" w:eastAsia="Arial" w:hAnsi="Arial"/>
          <w:sz w:val="16"/>
          <w:szCs w:val="16"/>
          <w:color w:val="auto"/>
        </w:rPr>
        <w:t>Costs of revenue increased by 41% and 64% to $31.8 million and $89.6 million for the three and nine months ended December 31, 2008, respectively, compared to $22.5 million and $54.7 million for the same periods of fiscal 2007. Gross margin was 23.2% and 26.2% for the three and nine months ended December 31, 2008, respectively, compared to 30.9% and 26.1%, respectively, for the same periods of fiscal 2007. The decrease in gross margin for the three months ended December 31, 2008 was primarily due to a stronger U.S. dollar versus the euro, which decreased gross margin by approximately 240 basis points (2.4 percentage points). In addition, gross margin was impacted by a loss of $1.1 million on a turnkey SVC project, higher than expected costs-to-complete on certain Windtec license contracts and a charge for potential excess inventory. In the aggregate, these items reduced gross margin by approximately 520 basis points (5.2 percentage points) compared to the same period of the prior year. For the nine months ended December 31, 2008, the slight increase in gross margin</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was due primarily to favorable foreign exchange effects and the write-off for a SuperVAR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synchronous condenser, which was recorded in the nine months ended December 31, 2007, partially offset by higher depreciation related to the Company’s 2G production equipment and the aforementioned items above.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A portion of our R&amp;D expenditures related to externally funded development contracts has been classified as costs of revenue (rather than as R&amp;D expenses). Additionally, a portion of R&amp;D expenses was offset by cost-sharing funding. Our R&amp;D expenditures are summarized as follows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46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0"/>
              </w:rPr>
              <w:t>Three months ended</w:t>
            </w:r>
          </w:p>
        </w:tc>
        <w:tc>
          <w:tcPr>
            <w:tcW w:w="100" w:type="dxa"/>
            <w:vAlign w:val="bottom"/>
          </w:tcPr>
          <w:p>
            <w:pPr>
              <w:spacing w:after="0"/>
              <w:rPr>
                <w:sz w:val="14"/>
                <w:szCs w:val="14"/>
                <w:color w:val="auto"/>
              </w:rPr>
            </w:pPr>
          </w:p>
        </w:tc>
        <w:tc>
          <w:tcPr>
            <w:tcW w:w="140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61"/>
        </w:trPr>
        <w:tc>
          <w:tcPr>
            <w:tcW w:w="8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4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4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R&amp;D expenses per Consolidated Statements of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5,305</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$ 3,956</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$14,906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R&amp;D expenditures reclassified as costs of revenue</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4,710</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2,608</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14,765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R&amp;D expenditures offset by cost-sharing funding</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840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80" w:type="dxa"/>
            <w:vAlign w:val="bottom"/>
            <w:vMerge w:val="restart"/>
          </w:tcPr>
          <w:p>
            <w:pPr>
              <w:ind w:left="440"/>
              <w:spacing w:after="0"/>
              <w:rPr>
                <w:sz w:val="20"/>
                <w:szCs w:val="20"/>
                <w:color w:val="auto"/>
              </w:rPr>
            </w:pPr>
            <w:r>
              <w:rPr>
                <w:rFonts w:ascii="Arial" w:cs="Arial" w:eastAsia="Arial" w:hAnsi="Arial"/>
                <w:sz w:val="18"/>
                <w:szCs w:val="18"/>
                <w:color w:val="auto"/>
              </w:rPr>
              <w:t>Aggregated R&amp;D expenses</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10,178</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$ 6,844</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30,511</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25,205</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R&amp;D expenses (exclusive of amounts classified as costs of revenue and amounts offset by cost-sharing funding) increased by 34% and 25% to $5.3 million and $14.9 million, or 13% and 12% of revenue, for the three and nine months ended December 31, 2008, respectively, from $4.0 million and $12.0 million, or 12% and 16% of revenue, for the same periods of the prior fiscal year, respectively. The increase in R&amp;D expenses was driven by internal product development costs in our AMSC Power Systems business unit to support future growth opportunities and our next-generation product offerings. The increases in R&amp;D expenditures reclassified to costs of revenue were a result of increased support of government-funded programs, primarily HYDRA, FCL and LIPA II. Aggregated R&amp;D expenses, which include amounts classified as costs of revenue and amounts offset by cost-sharing funding, increased 49% and 21% to $10.2 million and $30.5 million, or 25% of revenue, for the three and nine months ended December 31, 2008, respectively, from $6.8 million and $25.2 million, or 21% and 34% of revenue, for the same periods of the prior fiscal year, respectively. The increases in the third quarter and first nine months of fiscal 2008 were driven primarily by the factors described above.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AMERICAN SUPERCONDUCTOR CORPORATION MANAGEMENT’S DISCUSSION AND ANALYSIS OF FINANCIAL CONDITION AND RESULTS OF OPERATIONS—Continued</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Selling, general, and administrative</w:t>
      </w:r>
    </w:p>
    <w:p>
      <w:pPr>
        <w:spacing w:after="0" w:line="9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A portion of the SG&amp;A expenditures related to externally funded development contracts has been classified as costs of revenue (rather than as SG&amp;A expenses). Additionally, a portion of SG&amp;A expenses was offset by cost-sharing funding. Our SG&amp;A expenditures are summarized as follows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46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0"/>
              </w:rPr>
              <w:t>Three months ended</w:t>
            </w:r>
          </w:p>
        </w:tc>
        <w:tc>
          <w:tcPr>
            <w:tcW w:w="100" w:type="dxa"/>
            <w:vAlign w:val="bottom"/>
          </w:tcPr>
          <w:p>
            <w:pPr>
              <w:spacing w:after="0"/>
              <w:rPr>
                <w:sz w:val="14"/>
                <w:szCs w:val="14"/>
                <w:color w:val="auto"/>
              </w:rPr>
            </w:pPr>
          </w:p>
        </w:tc>
        <w:tc>
          <w:tcPr>
            <w:tcW w:w="140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61"/>
        </w:trPr>
        <w:tc>
          <w:tcPr>
            <w:tcW w:w="8480" w:type="dxa"/>
            <w:vAlign w:val="bottom"/>
          </w:tcPr>
          <w:p>
            <w:pPr>
              <w:spacing w:after="0"/>
              <w:rPr>
                <w:sz w:val="14"/>
                <w:szCs w:val="14"/>
                <w:color w:val="auto"/>
              </w:rPr>
            </w:pPr>
          </w:p>
        </w:tc>
        <w:tc>
          <w:tcPr>
            <w:tcW w:w="14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4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48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2007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SG&amp;A expenses per Consolidated Statements of Operations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$ 9,400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7,737</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$27,142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SG&amp;A expenditures reclassified as costs of revenue</w:t>
            </w:r>
          </w:p>
        </w:tc>
        <w:tc>
          <w:tcPr>
            <w:tcW w:w="540" w:type="dxa"/>
            <w:vAlign w:val="bottom"/>
          </w:tcPr>
          <w:p>
            <w:pPr>
              <w:jc w:val="right"/>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172</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551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SG&amp;A expenditures offset by cost sharing funding</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263</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731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80" w:type="dxa"/>
            <w:vAlign w:val="bottom"/>
            <w:vMerge w:val="restart"/>
          </w:tcPr>
          <w:p>
            <w:pPr>
              <w:ind w:left="440"/>
              <w:spacing w:after="0"/>
              <w:rPr>
                <w:sz w:val="20"/>
                <w:szCs w:val="20"/>
                <w:color w:val="auto"/>
              </w:rPr>
            </w:pPr>
            <w:r>
              <w:rPr>
                <w:rFonts w:ascii="Arial" w:cs="Arial" w:eastAsia="Arial" w:hAnsi="Arial"/>
                <w:sz w:val="18"/>
                <w:szCs w:val="18"/>
                <w:color w:val="auto"/>
              </w:rPr>
              <w:t>Aggregated SG&amp;A expenses</w:t>
            </w: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8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$ 9,632</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8,172</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28,424</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22,613</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SG&amp;A expenses (exclusive of amounts classified as costs of revenue and amounts offset by cost-sharing funding) increased by 21% and 29% to $9.4 million and $27.1 million, or 23% and 22% of revenue, for the three and nine months ended December 31, 2008, respectively, from $7.7 million and $21.0 million, or 24% and 28% of revenue, for the same periods of the prior fiscal year, respectively. For the three and nine months ended December 31, 2008, the increases in SG&amp;A expenses were due primarily to higher bad debt expense of $0.7 million and $1.4 million, respectively, and higher stock-based compensation expense of $1.1 million and $3.2 million, respectively. The balance of the SG&amp;A increase, particularly in the nine months ended December 31, 2008, was due primarily to higher labor and related costs driven by headcount growth. For these same reasons, Aggregated SG&amp;A expenses, which include amounts classified as costs of revenue and amounts offset by cost sharing funding, increased 18% and 26% to $9.6 million and $28.4 million, or 23% of revenue, for the three and nine months ended December 31, 2008, respectively, from $8.2 million and $22.6 million, or 25% and 31% of revenue, for the same periods of the prior fiscal year, respectively.</w:t>
      </w:r>
    </w:p>
    <w:p>
      <w:pPr>
        <w:spacing w:after="0" w:line="12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We present Aggregated R&amp;D and Aggregated SG&amp;A expenses, which are non-GAAP measures, because we believe this presentation provides useful information on our aggregate R&amp;D and SG&amp;A spending and because R&amp;D and SG&amp;A expenses as reported on the Consolidated Statements of Operations have been, and may in the future be, subject to significant fluctuations solely as a result of changes in the level of externally funded contract development work, resulting in significant changes in the amount of the costs recorded as costs of revenue rather than as R&amp;D and SG&amp;A expenses, as discussed above.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acquisition related intangibles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Amortization of acquisition related intangibles was $0.4 million and $1.4 million in the three and nine months ended December 31, 2008, respectively, compared to $1.6 million and $4.6 million in the same periods of the prior fiscal year. The decreases were primarily driven by lower amortization related to Windtec’s contractual relationships/backlog intangible asset, which was nearly fully amortized as of December 31,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impairments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October 25, 2007, our Board of Directors approved a restructuring plan (the “Fiscal 2007 Plan”) to reduce operating costs through the closure of our last remaining facility in Westborough, Massachusetts and the consolidation of operations there, including our corporate headquarters, into our Devens, Massachusetts facility. No headcount reductions were associated with this plan.</w:t>
      </w:r>
    </w:p>
    <w:p>
      <w:pPr>
        <w:spacing w:after="0" w:line="14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Restructuring charges associated with the Fiscal 2007 Plan in the three and nine months ended December 31, 2008 were $0.2 million and $0.7 million, respectively, as additional costs were recorded to complete the closure of our Westborough, Massachusetts facility. Restructuring charges associated with the Fiscal 2007 Plan in the three and nine months ended December 31, 2007 were $2.8 million. Aggregate charges under this plan are $7.1 million as of December 31, 2008. This aggregate charge includes an assumption that the Westborough facility will not be subleased. All restructuring charges associated with the Fiscal 2007 Plan are expected to result in the disbursement of cash. Cash payments under this plan in the three and nine months ended December 31, 2008 were $0.9 million and $3.1 million, respectively.</w:t>
      </w:r>
    </w:p>
    <w:p>
      <w:pPr>
        <w:spacing w:after="0" w:line="12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Excluding continuing restructuring charges associated with our Westborough, Massachusetts lease through May 2009, we began to realize annual cost savings from the Fiscal 2007 Plan at a rate of approximately $2.5 million per year beginning in the fourth quarter of fiscal 2007.</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AMERICAN SUPERCONDUCTOR CORPORATION MANAGEMENT’S DISCUSSION AND ANALYSIS OF FINANCIAL CONDITION AND RESULTS OF OPERATIONS—Continued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(loss)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operating income (loss) is summarized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6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1"/>
              </w:rPr>
              <w:t>Three months ended</w:t>
            </w:r>
          </w:p>
        </w:tc>
        <w:tc>
          <w:tcPr>
            <w:tcW w:w="16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8120" w:type="dxa"/>
            <w:vAlign w:val="bottom"/>
          </w:tcPr>
          <w:p>
            <w:pPr>
              <w:spacing w:after="0"/>
              <w:rPr>
                <w:sz w:val="14"/>
                <w:szCs w:val="14"/>
                <w:color w:val="auto"/>
              </w:rPr>
            </w:pPr>
          </w:p>
        </w:tc>
        <w:tc>
          <w:tcPr>
            <w:tcW w:w="16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16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1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AMSC Power Systems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$ 3,208</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$ 4,101</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$ 13,587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AMSC Superconductors</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(6,264)</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(5,595)</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(17,265)</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(17,473)</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Unallocated corporate expenses</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(2,680)</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(4,656)</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(8,559)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(8,900)</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20" w:type="dxa"/>
            <w:vAlign w:val="bottom"/>
            <w:vMerge w:val="continue"/>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(5,736)</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(6,150)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(12,237)</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(22,069)</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AMSC Power Systems operating income decreased to $3.2 million and increased to $13.6 million in the three and nine months ended December 31, 2008, respectively, from $4.1 million and $4.3 million for the same periods of fiscal 2007, respectively. The decrease in the three months ended December 31, 2008 was primarily the result of factors negatively impacting gross margin, as described above, and higher operating expenses, primarily resulting from higher bad debt costs of $0.7 million and costs from increased headcount to support our growth. These amounts were partially offset by increased revenues from wind electrical systems and lower amortization of acquisition related intangibles due to an intangible asset related to backlog becoming nearly fully amortized in the fourth quarter of fiscal 2007. The increase in the nine months ended December 31, 2008 was the result of higher revenues from wind electrical systems, partially offset by the impact of the aforementioned items.</w:t>
      </w:r>
    </w:p>
    <w:p>
      <w:pPr>
        <w:spacing w:after="0" w:line="118"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AMSC Superconductors operating loss increased to $6.3 million in the three months ended December 31, 2008 from $5.6 million for the same period of fiscal 2007 and decreased slightly to $17.3 million in the nine months ended December 31, 2008 from $17.5 million for the same period of fiscal 2007. The increase in operating loss for the three months ended December 31, 2008 is primarily due to the reduction in Navy motor revenue due to winding down of full load testing efforts, partially offset by an impairment charge for 1G assets in the three months ended December 31, 2007. The decrease in the nine months ended December 31, 2008 operating loss was primarily a result of costs incurred in fiscal 2007, including a write-off of $0.9 million for a SuperVAR synchronous condenser and an asset impairment charge of $0.6 million related to 1G assets held for sale, and lower corporate expense allocations in fiscal 2008.</w:t>
      </w:r>
    </w:p>
    <w:p>
      <w:pPr>
        <w:spacing w:after="0" w:line="12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Unallocated corporate expenses include stock-based compensation expense of $2.4 million and $7.6 million for the three and nine months ended December 31, 2008, respectively, and $1.3 million and $4.4 million for the three and nine months ended December 31, 2007, respectively. Unallocated corporate expenses for the three and nine months ended December 31, 2007 included rent and occupancy costs associated with the unoccupied portion of the Company’s Westborough, Massachusetts headquarters facility of $0.4 million and $1.1 million, respectively. For the three and nine months ended December 31, 2008, unallocated corporate expenses also include $0.2 and $0.7 million, respectively, of restructuring charges related primarily to the closure of our facility in Westborough, Massachusetts.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expenses/Interest income</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Interest income decreased to $0.7 million and $2.3 million in the three and nine months ended December 31, 2008, respectively, from $1.3 million and $2.9 million in the three and nine months ended December 31, 2007, respectively. The decrease in interest income for the three months ended December 31, 2008 is due to lower interest rates. The decrease in interest income for the nine months ended December 31, 2008 is due to lower interest rates, partially offset by higher combined cash, cash equivalents and marketable securities available for the full nine months of the current fiscal year due to the net proceeds of $93.6 million we received in the public offering of 4.7 million shares in July 2007.</w:t>
      </w:r>
    </w:p>
    <w:p>
      <w:pPr>
        <w:spacing w:after="0" w:line="11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Other expense, net, decreased to $0.4 million and $2.4 million for the three and nine months ended December 31, 2008, respectively, from $1.4 million and $2.6 million for the same periods of fiscal 2007. Other expense, net, in the nine months ended December 31, 2008 and the three and nine months ended December 31, 2007 includes mark-to-market adjustments on the revaluation of a warrant issued in April 2005 related to a litigation settlement, which was held by Provident Premier Master Fund (“Provident”).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AMERICAN SUPERCONDUCTOR CORPORATION MANAGEMENT’S DISCUSSION AND ANALYSIS OF FINANCIAL CONDITION AND RESULTS OF OPERATIONS—Continued</w:t>
      </w:r>
    </w:p>
    <w:p>
      <w:pPr>
        <w:spacing w:after="0" w:line="1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August 2008, Provident exercised the entire warrant in exchange for 148,387 shares of our common stock. Amounts charged to expense from mark-to-market adjustments on the warrant were $1.3 million for the nine months ended December 31, 2008, and $1.2 million and $2.5 million for the three and nine months ended December 31, 2007, respectively. The remaining amounts charged to other expense, net, primarily relate to foreign currency transaction gains and losses, and hedging impacts, particularly in the three months ended December 31, 2008.</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During the three and nine months ended December 31, 2008, we recorded income tax expense of $2.3 million and $5.6 million, respectively, compared to $1.1 million and $1.9 million for the same periods of fiscal 2007. Income tax expense in all periods was driven by income generated in foreign jurisdictions. We have provided a valuation allowance against all deferred tax assets in the U.S. as it is more likely than not that these deferred tax assets are not currently realizable due to the net operating losses incurred by our Company since inception.</w:t>
      </w:r>
    </w:p>
    <w:p>
      <w:pPr>
        <w:spacing w:after="0" w:line="14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Please refer to the “Risk Factors” section in Item 1A for a discussion of certain factors that may affect our future results of operations and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At December 31, 2008, we had cash, cash equivalents, marketable securities and restricted cash of $122.6 million compared to $119.4 million at March 31, 2008, an increase of $3.2 million. Our cash and cash equivalents, marketable securities and restricted cash are summarized as follows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2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31,</w:t>
            </w:r>
          </w:p>
        </w:tc>
        <w:tc>
          <w:tcPr>
            <w:tcW w:w="340" w:type="dxa"/>
            <w:vAlign w:val="bottom"/>
          </w:tcPr>
          <w:p>
            <w:pPr>
              <w:spacing w:after="0"/>
              <w:rPr>
                <w:sz w:val="14"/>
                <w:szCs w:val="14"/>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2"/>
              </w:rPr>
              <w:t>March 31,</w:t>
            </w:r>
          </w:p>
        </w:tc>
      </w:tr>
      <w:tr>
        <w:trPr>
          <w:trHeight w:val="161"/>
        </w:trPr>
        <w:tc>
          <w:tcPr>
            <w:tcW w:w="9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r>
      <w:tr>
        <w:trPr>
          <w:trHeight w:val="210"/>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55,588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67,834</w:t>
            </w:r>
          </w:p>
        </w:tc>
        <w:tc>
          <w:tcPr>
            <w:tcW w:w="20" w:type="dxa"/>
            <w:vAlign w:val="bottom"/>
          </w:tcPr>
          <w:p>
            <w:pPr>
              <w:spacing w:after="0"/>
              <w:rPr>
                <w:sz w:val="18"/>
                <w:szCs w:val="18"/>
                <w:color w:val="auto"/>
              </w:rPr>
            </w:pP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59,049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38,398</w:t>
            </w:r>
          </w:p>
        </w:tc>
        <w:tc>
          <w:tcPr>
            <w:tcW w:w="20" w:type="dxa"/>
            <w:vAlign w:val="bottom"/>
          </w:tcPr>
          <w:p>
            <w:pPr>
              <w:spacing w:after="0"/>
              <w:rPr>
                <w:sz w:val="18"/>
                <w:szCs w:val="18"/>
                <w:color w:val="auto"/>
              </w:rPr>
            </w:pPr>
          </w:p>
        </w:tc>
      </w:tr>
      <w:tr>
        <w:trPr>
          <w:trHeight w:val="216"/>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8,013</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13,172</w:t>
            </w:r>
          </w:p>
        </w:tc>
        <w:tc>
          <w:tcPr>
            <w:tcW w:w="20" w:type="dxa"/>
            <w:vAlign w:val="bottom"/>
          </w:tcPr>
          <w:p>
            <w:pPr>
              <w:spacing w:after="0"/>
              <w:rPr>
                <w:sz w:val="18"/>
                <w:szCs w:val="18"/>
                <w:color w:val="auto"/>
              </w:rPr>
            </w:pPr>
          </w:p>
        </w:tc>
      </w:tr>
      <w:tr>
        <w:trPr>
          <w:trHeight w:val="222"/>
        </w:trPr>
        <w:tc>
          <w:tcPr>
            <w:tcW w:w="9620" w:type="dxa"/>
            <w:vAlign w:val="bottom"/>
          </w:tcPr>
          <w:p>
            <w:pPr>
              <w:ind w:left="440"/>
              <w:spacing w:after="0"/>
              <w:rPr>
                <w:sz w:val="20"/>
                <w:szCs w:val="20"/>
                <w:color w:val="auto"/>
              </w:rPr>
            </w:pPr>
            <w:r>
              <w:rPr>
                <w:rFonts w:ascii="Arial" w:cs="Arial" w:eastAsia="Arial" w:hAnsi="Arial"/>
                <w:sz w:val="18"/>
                <w:szCs w:val="18"/>
                <w:color w:val="auto"/>
              </w:rPr>
              <w:t>Total cash, cash equivalents, marketable securities and restricted cash</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122,650</w:t>
            </w:r>
          </w:p>
        </w:tc>
        <w:tc>
          <w:tcPr>
            <w:tcW w:w="4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82"/>
              </w:rPr>
              <w:t>119,404</w:t>
            </w:r>
          </w:p>
        </w:tc>
      </w:tr>
      <w:tr>
        <w:trPr>
          <w:trHeight w:val="20"/>
        </w:trPr>
        <w:tc>
          <w:tcPr>
            <w:tcW w:w="9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increase in cash and cash equivalents, marketable securities and restricted cash was primarily the result of proceeds from the exercise of stock options in the nine months ended December 31, 2008, partially offset by foreign currency translation effects on euro-denominated cash balances.</w:t>
      </w:r>
    </w:p>
    <w:p>
      <w:pPr>
        <w:spacing w:after="0" w:line="85"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For the nine months ended December 31, 2008, net cash used by operating activities was $0.8 million compared to a use of $17.5 million for the same period of fiscal 2007. The decrease in cash used by operations is due to a lower net loss and lower cash used for working capital, primarily related to a decrease in days sales outstanding as a result of improved collections and an increase in accounts payable and accrued expenses, partially offset by an increase in inventory as we prepared to meet customer deliveries scheduled for the fourth quarter of fiscal 2008 and fiscal 2009.</w:t>
      </w:r>
    </w:p>
    <w:p>
      <w:pPr>
        <w:spacing w:after="0" w:line="113"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For the nine months ended December 31, 2008, net cash used in investing activities was $21.7 million compared to $35.4 million for the same period of fiscal 2007. The decrease in cash used in investing activities was driven primarily by the reduction in restricted cash.</w:t>
      </w:r>
    </w:p>
    <w:p>
      <w:pPr>
        <w:spacing w:after="0" w:line="13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As of December 31, 2008, we have invested in total approximately $14.7 million in our 344 superconductors production line. These expenditures were made to enable us to achieve a gross production capacity of approximately 720,000 meters annually of 344 superconductors on our 4 cm manufacturing technology and to prepare to migrate to our 10 cm manufacturing technology. We estimate that an additional $28.0 million to $35.0 million of capital expenditures would be needed for a full commercial manufacturing operation with a gross capacity of approximately 9 million meters of wire per year.</w:t>
      </w:r>
    </w:p>
    <w:p>
      <w:pPr>
        <w:spacing w:after="0" w:line="11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For the nine months ended December 31, 2008, cash provided by financing activities was $12.2 million compared to $107.6 million in the same period of fiscal 2007. The decrease was due to proceeds received from our public stock offering during the second quarter of fiscal 2007, offset in part by an increase in proceeds from the exercise of employee stock options.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AMERICAN SUPERCONDUCTOR CORPORATION MANAGEMENT’S DISCUSSION AND ANALYSIS OF FINANCIAL CONDITION AND RESULTS OF OPERATIONS—Continued</w:t>
      </w:r>
    </w:p>
    <w:p>
      <w:pPr>
        <w:spacing w:after="0" w:line="12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Although our cash requirements fluctuate based on a variety of factors, including customer adoption of our products and our research and development efforts to commercialize our products, we believe that our available cash will be sufficient to fund our working capital, capital expenditures, and other cash requirements for the next several years and will enable us to withstand the current restrictive credit environment.</w:t>
      </w:r>
    </w:p>
    <w:p>
      <w:pPr>
        <w:spacing w:after="0" w:line="14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We also have unused lines of credit of €0.6 million (or approximately $0.8 million), which is available until June 30, 2010 and CNY 1.1 million (or approximately $0.2 million) which is available until June 5, 2009.</w:t>
      </w:r>
    </w:p>
    <w:p>
      <w:pPr>
        <w:spacing w:after="0" w:line="13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possibility exists that we may pursue additional acquisition and joint venture opportunities in the future that may affect liquidity and capital resource requirements.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do not have any off-balance sheet arrangements, as defined under SEC rules, such as relationships with unconsolidated entities or financial partnerships, which are often referred to as structured finance or special purpose entities, established for the purpose of facilitating transactions that are not required to be reflected on our balance sheet except as discussed below.</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occasionally enter into construction contracts that include a performance bond. As these contracts progress, we continually assess the probability of a payout from the performance bond. Should we determine that such a payout is likely, we would record a liability. As of December 31, 2008, there were no recorded performance-based liabilities.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90"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In April 2008, the FASB issued FASB staff position (“FSP FAS 142-3”) “Determination of the Useful Life of Intangible Assets.” FSP FAS 142-3 amends the factors that should be considered in developing renewal or extension assumptions used to determine the useful life of a recognized intangible asset under SFAS No. 142, “Goodwill and Other Intangible Assets.” The objective of this FSP is to improve the consistency between the useful life of a recognized intangible asset under SFAS No. 142 and the period of expected cash flows used to measure the fair value of the asset under SFAS No. 141(R), and other U.S. GAAP. This FSP applies to all intangible assets, whether acquired in a business combination or otherwise, and shall be effective for financial statements issued for fiscal years beginning after December 15, 2008, and interim periods within those fiscal years and applied prospectively to intangible assets acquired after the effective date. Early adoption is prohibited. We are in the process of evaluating whether the adoption of this standard will have a material effect on our financial position, results of operations or cash flows.</w:t>
      </w:r>
    </w:p>
    <w:p>
      <w:pPr>
        <w:spacing w:after="0" w:line="118"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In March 2008, the FASB issued SFAS No. 161, “Disclosures about Derivative Instruments and Hedging Activities.” This statement is intended to help investors better understand how derivative instruments and hedging activities affect an entity’s financial position, financial performance and cash flows through enhanced disclosure requirements. This statement is effective for financial statements issued for fiscal years and interim periods beginning after November 15, 2008. We began hedging activities in October 2008 and will begin disclosing under the provisions of SFAS No. 161 in our next Annual Report on Form 10-K filing.</w:t>
      </w:r>
    </w:p>
    <w:p>
      <w:pPr>
        <w:spacing w:after="0" w:line="143"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In December 2007, the FASB issued SFAS No. 141(R), “Business Combinations”, which replaces SFAS No. 141. This revised standard requires assets, liabilities and non-controlling interests acquired to be measured at fair value and requires that costs incurred to effect the acquisition be recognized separately from the business combination. In addition, this statement expands the scope to include all transactions and other events in which one entity obtains control over one or more businesses. This statement is effective for all business combinations for which the acquisition date is on or after the beginning of the first annual reporting period beginning on or after December 15, 2008. Although there are not any current plans for an acquisition, should there be an acquisition in the future, we will adopt this statement for acquisitions consummated after its effective date.</w:t>
      </w:r>
    </w:p>
    <w:p>
      <w:pPr>
        <w:spacing w:after="0" w:line="12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December 2007, the FASB issued SFAS No. 160, “Non-controlling Interests in Consolidated Financial Statements, and an Amendment of ARB No. 51.” This statement establishes accounting and reporting standards for the non-controlling interest in a subsidiary and for the deconsolidation of a subsidiary. This statement is effective for fiscal years beginning on or after December 15, 2008. Although there are not any current plans for an acquisition of a non-controlling interest, should there be such an acquisition in the future, we will adopt this statement for acquisitions consummated after its effective date.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AMERICAN SUPERCONDUCTOR CORPORATION MANAGEMENT’S DISCUSSION AND ANALYSIS OF FINANCIAL CONDITION AND RESULTS OF OPERATIONS—Continued</w:t>
      </w:r>
    </w:p>
    <w:p>
      <w:pPr>
        <w:spacing w:after="0" w:line="125"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In September 2006, the FASB issued SFAS No. 157, “Fair Value Measurements.” SFAS No. 157 defines fair value, establishes a framework for measuring fair value in GAAP and establishes a hierarchy that categorizes and prioritizes the sources to be used to estimate fair value. SFAS No. 157 also expands financial statement disclosures about fair value measurements. On February 12, 2008, the FASB issued FSP FAS 157-2 which delays the effective date of SFAS No. 157 for one year for all nonfinancial assets and nonfinancial liabilities, except those that are recognized or disclosed at fair value in the financial statements on a recurring basis (at least annually). SFAS No. 157 and FSP 157-2 are effective for financial statements issued for fiscal years beginning after November 15, 2007. We elected a partial deferral of SFAS No. 157 under the provisions of FSP 157-2 related to the measurement of fair value used when evaluating goodwill, other intangible assets and other long-lived assets for impairment and valuing asset retirement obligations and liabilities for exit or disposal activities. The partial adoption of SFAS No. 157 on April 1, 2008 did not have a material impact on our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Our exposure to market risk through financial instruments, such as investments in marketable securities, is limited to interest rate risk and is not material. Our investments in marketable securities consist primarily of corporate debt instruments and are designed, in order of priority, to preserve principal, provide liquidity, and maximize income. Investments are monitored to limit exposure to mortgage-backed securities and similar instruments responsible for the recent turmoil in the credit markets. Interest rates are variable and fluctuate with current market conditions. We do not believe that a 10% change in interest rates would have a material impact on our financial position or results of operation.</w:t>
      </w:r>
    </w:p>
    <w:p>
      <w:pPr>
        <w:spacing w:after="0" w:line="14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functional currency of all our foreign entities is the U.S. dollar, except for our wholly-owned Austrian subsidiary, AMSC Windtec GmbH, for which the local currency (Euro) is the functional currency. We monitor foreign currency exposures and hedge currency risk when deemed appropriate. Cumulative translation adjustments are excluded from net loss and reported as a separate component of stockholders’ equity. Foreign currency transaction and translation losses were $0.7 million for the nine months ended December 31, 2008. Future operating results could be impacted by material foreign currency fluctuations. In the future, should foreign currency fluctuations become material, management will review options to limit the financial impact to our operations.</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December 31, 2008. The term “disclosure controls and procedures,” as defined in Rules 13a-15(e) and 15d-15(e) under the Securities Exchange Act of 1934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2008, our chief executive officer and chief financial officer concluded that, as of such date, our disclosure controls and procedures were effective at the reasonable assurance level.</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quarter ended December 31, 2008 that has materially affected, or is reasonably likely to materially affect, internal control over financial reporting.</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While the following risk factors have been updated to reflect developments subsequent to the filing of our Annual Report on Form 10-K for the fiscal year ended March 31, 2008, there have been no material changes to the risk factors included in that report, other than updates to reflect the risks associated with the increasing uncertainty of both the domestic and global economies and the addition of a new risk factor on the effects of changes in exchange rates.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operating losses, and we may incur losses in the future.</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We have incurred net losses in each year since our inception, driven primarily by the research and development activities in our AMSC Superconductors business unit. Our net losses were $17.9 million for the nine months ended December 31, 2008, $25.4 million for fiscal 2007, $34.7 million for fiscal 2006 and $30.9 million for fiscal 2005. Our accumulated deficit at the end of the third quarter of fiscal 2008 was $428.4 million. While we expect to achieve profitable results in the quarter ending March 31, 2009 and the fiscal year ending March 31, 2010, we cannot be certain that we will achieve or sustain profitability.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64"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had cash and cash equivalents, marketable securities and restricted cash totaling $122.6 million at the end of the third quarter of fiscal 2008. We believe our available cash, cash equivalents, marketable securities and restricted cash will be sufficient to fund our working capital, capital expenditures and other cash requirements for the next several years. However, we may need additional funds if our performance deviates significantly from our current business plan, if there are significant changes in competitive or other market factors, or if unforeseen circumstances arise. Such funds may not be available, or may not be available under terms acceptable to 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significant portion of our revenues are derived from a single customer.</w:t>
      </w:r>
    </w:p>
    <w:p>
      <w:pPr>
        <w:spacing w:after="0" w:line="96"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Revenue growth in fiscal 2007 and the first three quarters of fiscal 2008 were driven largely by our AMSC Power Systems business unit, particularly our AMSC Windtec subsidiary. Our largest customer is Sinovel in China. Sinovel accounted for approximately 52% of our total revenues for the full year fiscal 2007 and 67% of our total revenues for the nine months ended December 31, 2008. Revenues from Sinovel are supported by purchase orders for electrical system components as well as development contracts for the design of wind turbines. If Sinovel cancelled purchase orders or development contracts, or discontinued future purchases from us, we might be unable to replace the related revenues. This would have a serious negative impact on our operating results and financial position.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Adverse changes in domestic and global economic conditions could adversely affect our operating results.</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As our business has grown, we have become increasingly subject to the risks arising from adverse changes in domestic and global economic conditions. The state of both the domestic and global economies has recently become increasingly uncertain due to a significant reduction in the availability of credit, rising interest rates and financial market volatility. If credit continues to become more difficult to obtain, some customers may delay or reduce purchases. This could result in reductions in sales of our products, longer sales cycles, slower adoption of new technologies, increased accounts receivable write-offs and increased price competition. Any of these events would likely harm our business, results of operations and financial condition.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exchange rates could adversely affect our results from operations.</w:t>
      </w:r>
    </w:p>
    <w:p>
      <w:pPr>
        <w:spacing w:after="0" w:line="96"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We conduct business in a number of foreign currencies, including the euro and Chinese Renminbi (RMB). Sales of our products and purchases of goods and services are made using these currencies. Changes in global economic conditions, market factors and governmental actions can change the value of these currencies in relation to the U.S. dollar. During the nine months ended December 31, 2008, the value of the dollar fluctuated widely against the euro. Recently, the U.S. dollar has increased in value compared to the euro, which has had an adverse effect on our operating results. For example, for the three and nine months ended December 31, 2008, changes in the average value of the euro resulted in a decrease in revenue of $3.0 million and an increase of revenue of $4.4 million, respectively, compared to the corresponding periods of the prior year. Starting in January 2009, we have commenced billing certain customers in China, including our largest customer, Sinovel, in RMB, increasing our exposure to that currency. We cannot accurately predict the impact of future exchange rate fluctuations on our results of operations.</w:t>
      </w:r>
    </w:p>
    <w:p>
      <w:pPr>
        <w:spacing w:after="0" w:line="19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There are a number of technological challenges that must be successfully addressed before our superconductor products can gain widespread commercial acceptance, and our inability to address such technological challenges could adversely affect our ability to acquire customers for our products.</w:t>
      </w:r>
    </w:p>
    <w:p>
      <w:pPr>
        <w:spacing w:after="0" w:line="57"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Many of our superconductor products are in the early stages of commercialization, while others are still under development. There are a number of technological challenges that we must successfully address to complete our development and commercialization efforts for superconductor products. We also believe that several years of further demonstration in the cable, fault current limiter and motor industries will be necessary before a substantial commercial market could develop. We will also need to improve the performance and reduce the cost of our HTS wire to expand the number of commercial applications for it. We may be unable to meet such technological challenges or to sufficiently improve the performance and reduce the costs of our HTS wire. Delays in development, as a result of technological challenges or other factors, may result in the introduction or commercial acceptance of our superconductor products later than anticipated.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commercial uses of superconductor products are limited today, and a widespread commercial market for our products may not develop.</w:t>
      </w:r>
    </w:p>
    <w:p>
      <w:pPr>
        <w:spacing w:after="0" w:line="20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To date, there has been no widespread commercial use of HTS products. Even if the technological hurdles currently limiting commercial uses of HTS products are overcome, it is uncertain whether a robust commercial market for those new and unproven products will ever develop. To date, many projects to install HTS cables and products in power grids have been funded or subsidized by the governmental authorities. If this funding is curtailed, grid operators may not continue to utilize HTS cables and products in their projects. It is possible that the market demands we currently anticipate for our HTS products will not develop and that they will never achieve widespread commercial acceptance.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limited experience manufacturing our Power Systems products in commercial quantities overseas.</w:t>
      </w:r>
    </w:p>
    <w:p>
      <w:pPr>
        <w:spacing w:after="0" w:line="96"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We recently commenced production of our primary Power Systems products, the PM1000 and PM3000, at our new manufacturing facility in China. We do not have significant experience managing foreign manufacturing operations, and such operations are subject to complexities that we may not be able to adequately anticipate or manage. Our inability to successfully manufacture our PM1000 and PM3000 products at acceptable cost and quality through our China facility may affect our future revenue and profit.</w:t>
      </w:r>
    </w:p>
    <w:p>
      <w:pPr>
        <w:spacing w:after="0" w:line="218"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color w:val="auto"/>
        </w:rPr>
        <w:t>We have not manufactured our 344 superconductors in commercial quantities, and a failure to manufacture our 344 superconductors in commercial quantities at acceptable cost and quality levels would substantially limit our future revenue and profit potential.</w:t>
      </w:r>
    </w:p>
    <w:p>
      <w:pPr>
        <w:spacing w:after="0" w:line="45"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We are developing commercial-scale manufacturing processes for our 344 superconductors, which are very different from our 1G HTS wire manufacturing processes and are complex and challenging. In November 2007, we started initial production of our 344 superconductors and completed installation of the manufacturing line, which has an annual capacity of 720,000 meters. However, in order to be able to offer our wire at pricing that we believe will be commercially competitive, we estimate that we will need to develop the capacity to manufacture nine million meters of our 344 superconductors annually. We believe it will cost between approximately $28 million and $35 million to purchase and install the additional equipment to achieve this commercial-scale manufacturing capability. We may not be able to manufacture satisfactory commercial quantities of 344 superconductors of consistent quality with an acceptable yield and cost. Failure to successfully scale up manufacturing of our 344 superconductors would result in a significant limitation of the broad market acceptance of our HTS products and of our future revenue and profit potential.</w:t>
      </w:r>
    </w:p>
    <w:p>
      <w:pPr>
        <w:spacing w:after="0" w:line="19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We have limited experience in marketing and selling our superconductor products and system-level solutions, and our failure to effectively market and sell our products and solutions could adversely affect our revenue and cash flow.</w:t>
      </w:r>
    </w:p>
    <w:p>
      <w:pPr>
        <w:spacing w:after="0" w:line="4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To date, we have limited experience marketing and selling our superconductor products and system-level solutions, and there are few people who have significant experience marketing or selling superconductor products and system-level solutions. Once our products and solutions are ready for widespread commercial use, we will have to develop a marketing and sales organization that will effectively demonstrate the advantages of our products over both more traditional products and competing superconductor products or other technologies. We may not be successful in our efforts to market this new technology, and we may not be able to establish an effective sales and distribution organization.</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may decide to enter into arrangements with third parties for the marketing or distribution of our products, including arrangements in which our products, such as HTS wire, are included as a component of a larger product, such as a power cable system or a motor. By entering into marketing and sales alliances, the financial benefits to us of commercializing our products are dependent on the efforts of others.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success in addressing the wind energy market is dependent on the manufacturers that license our designs.</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Because an important element of our strategy for addressing the wind energy market involves the license of our wind turbine designs to manufacturers of those systems, the financial benefits to us of our products for the wind energy market are dependent on the success of these manufacturers in selling wind turbines based on our designs. We may not be able to enter into marketing or distribution arrangements with third parties on financially acceptable terms, and third parties may not be successful in selling our products or applications incorporating our products.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of the wind energy market depends largely on the availability and size of government subsidies and economic incentives.</w:t>
      </w:r>
    </w:p>
    <w:p>
      <w:pPr>
        <w:spacing w:after="0" w:line="96"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At present, the cost of wind energy exceeds the cost of conventional power generation in many locations around the world. Various governments have used different policy initiatives to encourage or accelerate the development and adoption of wind energy and other renewable energy sources. Renewable energy policies are in place in the European Union, most notably Germany and Spain, certain countries in Asia, including China, Japan and South Korea, and many of the states in Australia and the United States. Examples of government sponsored financial incentives include capital cost rebates, feed-in tariffs, tax credits, net metering and other incentives to end-users, distributors, system integrators and manufacturers of wind energy products to promote the use of wind energy and to reduce dependency on other forms of energy. Governments may decide to reduce or eliminate these economic incentives for political, financial or other reasons. Reductions in, or eliminations of, government subsidies and economic incentives before the wind energy industry reaches a sufficient scale to be cost-effective in a non-subsidized marketplace could reduce demand for our products and adversely affect our business prospects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Many of our revenue opportunities are dependent upon subcontractors and other business collaborators.</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Many of the revenue opportunities for our business involve projects, such as the installation of superconductor cables in power grids and electrical system hardware in wind turbines, in which we collaborate with other companies, including suppliers of cryogenic systems, manufacturers of electric power cables and manufacturers of wind turbines. In addition, a key element of our business strategy is the formation of business alliances with motor manufacturers and/or marine propulsion system integrators. As a result, most of our current and planned revenue-generating projects involve business collaborators on whose performance our revenue is dependent. If these business partners fail to deliver their products or perform their obligations on a timely basis or fail to generate sufficient demand for the systems they manufacture, our revenue from the project may be delayed or decreased, and we may not be successful in selling our products.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realize all of the sales expected from our backlog of orders and contracts.</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At December 31, 2008, we had approximately $602 million of backlog. There can be no assurances that the revenue we expect to generate from our backlog will be realized in the periods we expect to realize such revenue, or at all. In addition, the backlog of orders, if realized, may not result in profitable revenue. Backlog represents the value of contracts and purchase orders received, less the revenue recognized to date on those contracts and purchase orders. Our customers have the right under some circumstances and with some penalties or consequences to terminate, reduce or defer firm orders that we have in backlog. In addition, our government contracts are subject to the risks described below. If our customers terminate, reduce or defer firm orders, we may be protected from certain costs and losses, but our sales will nevertheless be adversely affected and we may not generate the revenue we expect.</w:t>
      </w:r>
    </w:p>
    <w:p>
      <w:pPr>
        <w:spacing w:after="0" w:line="12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Although we strive to maintain ongoing relationships with our customers, there is an ongoing risk that orders may be cancelled or rescheduled due to fluctuations in our customers’ business needs or purchasing budgets.</w:t>
      </w:r>
    </w:p>
    <w:p>
      <w:pPr>
        <w:spacing w:after="0" w:line="13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largest customer, Sinovel, accounts for a substantial portion of our backlog. In the event that we either fail to deliver product to Sinovel within 120 days after its specific delivery time, or become bankrupt or insolvent, Sinovel would have the right to terminate any remaining orders that we have in backlog. If Sinovel cancelled orders, it would have a serious negative impact on our operating results and financial position.</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Our contracts with the U.S. government are subject to audit, modification or termination by the U.S. government, and the continued funding of such contracts remains subject to annual congressional appropriation which, if not approved, could adversely affect our results of operations and financial condition.</w:t>
      </w:r>
    </w:p>
    <w:p>
      <w:pPr>
        <w:spacing w:after="0" w:line="5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As a company that contracts with the U.S. government, we are subject to financial audits and other reviews by the U.S. government of our costs and performance, accounting and general business practices relating to these contracts. For the nine months ended December 31, 2008, 7% of our total revenues were derived from government contracts. Based on the results of these audits, the U.S. government may adjust our contract-related costs and fees. We cannot be certain that adjustments arising from government audits and reviews would not have a material adverse effect on our results of operations.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64"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All of our U.S. government contracts can be terminated by the U.S. government for its convenience. Termination-for-convenience provisions provide only for our recovery of costs incurred or committed, and for settlement of expenses and profit on work completed prior to termination. In addition to the right of the U.S. government to terminate its contracts with us, U.S. government contracts are conditioned upon the continuing approval by Congress of the necessary spending to honor such contracts. Congress often appropriates funds for a program on a fiscal-year basis even though contract performance may take more than one year. Consequently, at the beginning of many major governmental programs, contracts often may not be fully funded, and additional monies are then committed to the contract only if, as and when appropriations are made by Congress for future fiscal years. We cannot be certain that our U.S. government contracts will not be terminated or suspended in the future. The U.S. government’s termination of, or failure to fully fund, one or more of our contracts would have a negative impact on our operating results and financial condition. Further, in the event that any of our government contracts are terminated for cause, it could affect our ability to obtain future government contracts which could, in turn, seriously harm our ability to develop our technologies and products.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becoming increasingly reliant on contracts that require the issuance of performance bonds.</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While we have been required to provide performance bonds in the form of surety bonds or letters of credit in the past, the size of the bonds was not material. Recently, we have entered into contracts that require us to post bonds of significant magnitude. In many instances, we are required to deposit cash in escrow accounts as collateral for these instruments, which is unavailable to us for general use for significant periods of time. At the end of the third quarter of fiscal 2008, $8.0 million of our cash was classified as restricted, the majority of which is used as collateral for performance bonds. Should we be unable to issue performance bonds in the future, significant future potential contract revenue could become unavailable to us. Further, should our working capital situation deteriorate, we would not be able to access the escrowed cash to meet working capital requirements.</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Our products face intense competition both from superconductor products developed by others and from traditional, non-superconductor products and alternative technologies, which could limit our ability to acquire or retain customers.</w:t>
      </w:r>
    </w:p>
    <w:p>
      <w:pPr>
        <w:spacing w:after="0" w:line="45"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The market for superconductor products is intensely competitive. We face competition both from competitors in the superconductor field and from vendors of traditional products and new technologies. There are many companies in the United States, Europe, Japan, China and Korea engaged in the development of HTS wire, including EHTS (a division of Bruker Biospin), Evico, Fujikura, Furukawa Electric, Innova Superconductor Technology, Nexans, MetOx, Showa, Sumitomo Electric Industries, SuperPower (a subsidiary of Royal Philips Electronics), Zenergy and SuNAM. The superconductor industry is characterized by rapidly changing and advancing technology. Our future success will depend in large part upon our ability to keep pace with advancing HTS technology and developing industry standards.</w:t>
      </w:r>
    </w:p>
    <w:p>
      <w:pPr>
        <w:spacing w:after="0" w:line="14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D-VAR and SVC power electronic products compete with a variety of other power reliability products such as dynamic voltage restorers, or DVRs, flywheels, battery-based power quality systems and competing power electronic converter systems. The manufacturers of products that compete with our power electronic products and PowerModule products include ABB, Alstom, Mitsubishi Electric, S&amp;C Electric and Siemens.</w:t>
      </w:r>
    </w:p>
    <w:p>
      <w:pPr>
        <w:spacing w:after="0" w:line="10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AMSC Windtec business faces competition for the supply of wind turbine engineering design services from design engineering firms, such as Garrad Hassan, and from licensors of wind turbine systems, such as Aerodyn and DeWind. We also face indirect competition in the wind energy market from manufacturers of wind energy systems, such as Gamesa, General Electric, Suzlon and Vestas.</w:t>
      </w:r>
    </w:p>
    <w:p>
      <w:pPr>
        <w:spacing w:after="0" w:line="14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stand-alone Fault Current Limiter (“FCL”) products that we are developing in collaboration with Siemens face competition from several competitors developing alternative solutions, including Beijing Superconductor, Hypertech, Hyundai, Innopower, KEPRI, LS Industrial Systems, Nexans, Rolls-Royce, SC Power, SuperPower and Toshiba. The HTS motor and generator products that we are developing face competition from copper wire-based motors and generators, from permanent magnet motors that are being developed, including by DRS Technologies, and from companies developing HTS rotating machinery, including Baldor Electric, Converteam, Doosan Heavy Industries &amp; Construction, General Electric, Ishikawajima-Harima Heavy Industries Co. and Siemens. Research efforts and technological advances made by others in the superconductor field, in the wind energy market or in other areas with applications to the power quality and reliability markets may render our development efforts obsolete.</w:t>
      </w:r>
    </w:p>
    <w:p>
      <w:pPr>
        <w:spacing w:after="0" w:line="118"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Many of our competitors have substantially greater financial resources, research and development, manufacturing and marketing capabilities than we have. In addition, as the HTS wire, HTS electric motors and generators, and power electronic systems markets develop, other large industrial companies may enter those fields and compete with us. If we are unable to compete successfully, it may harm our business, which in turn may limit our ability to acquire or retain customers.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5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Third parties have or may acquire patents that cover the materials, processes and technologies we use or may use in the future to manufacture our HTS products, and our success depends on our ability to license such patents or other proprietary rights.</w:t>
      </w:r>
    </w:p>
    <w:p>
      <w:pPr>
        <w:spacing w:after="0" w:line="45"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We expect that some or all of the HTS materials, processes and technologies we use in designing and manufacturing our products are or will become covered by patents issued to other parties, including our competitors. The owners of these patents may refuse to grant licenses to us, or may be willing to do so only on terms that we find commercially unreasonable. If we are unable to obtain these licenses, we may have to contest the validity or scope of those patents or re-engineer our products to avoid infringement claims by the owners of these patents. It is possible that we will not be successful in contesting the validity or scope of a patent, or that we will not prevail in a patent infringement claim brought against us. Even if we are successful in such a proceeding, we could incur substantial costs and diversion of management resources in prosecuting or defending such a proceeding.</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patents may not provide meaningful protection for our technology, which could result in us losing some or all of our market position.</w:t>
      </w:r>
    </w:p>
    <w:p>
      <w:pPr>
        <w:spacing w:after="0" w:line="119"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We own or have licensing rights under many patents and pending patent applications. However, the patents that we own or license may not provide us with meaningful protection of our technologies and may not prevent our competitors from using similar technologies, for a variety of reasons, such as:</w:t>
      </w:r>
    </w:p>
    <w:p>
      <w:pPr>
        <w:spacing w:after="0" w:line="4"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patent applications that we or our licensors file may not result in patents being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patents issued may be challenged by third parties; and</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others may independently develop similar technologies not protected by our patents or design around the patented aspects of any technologies we develop.</w:t>
      </w:r>
    </w:p>
    <w:p>
      <w:pPr>
        <w:spacing w:after="0" w:line="13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Moreover, we could incur substantial litigation costs in defending the validity of or enforcing our own patents. We also rely on trade secrets and proprietary know-how to protect our intellectual property. However, our non-disclosure agreements and other safeguards may not provide meaningful protection for our trade secrets and other proprietary information. If the patents that we own or license or our trade secrets and proprietary know-how fail to protect our technologies, our market position may be adversely affected.</w:t>
      </w:r>
    </w:p>
    <w:p>
      <w:pPr>
        <w:spacing w:after="0" w:line="21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Our success is dependent upon attracting and retaining qualified personnel, and our inability to do so could significantly damage our business and prospects.</w:t>
      </w:r>
    </w:p>
    <w:p>
      <w:pPr>
        <w:spacing w:after="0" w:line="4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Our success will depend in large part upon our ability to attract and retain highly qualified research and development, management, manufacturing, marketing and sales personnel. Hiring those persons may be especially difficult due to the specialized nature of our business.</w:t>
      </w:r>
    </w:p>
    <w:p>
      <w:pPr>
        <w:spacing w:after="0" w:line="20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We may acquire additional complementary businesses or technologies, which may require us to incur substantial costs for which we may never realize the anticipated benefits.</w:t>
      </w:r>
    </w:p>
    <w:p>
      <w:pPr>
        <w:spacing w:after="0" w:line="4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may in the future acquire complementary businesses or technologies, although we currently have no commitments or agreements to do so. As a result of any acquisitions we pursue, management’s attention and resources may be diverted from our other businesses. An acquisition may also involve a significant purchase price and significant transaction-related expenses.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Achieving the benefits of any acquisition involves additional risks, including:</w:t>
      </w:r>
    </w:p>
    <w:p>
      <w:pPr>
        <w:spacing w:after="0" w:line="90"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assimilating acquired operations, technologies and personnel;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retain management and other key personnel of the acquired business;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64"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changes in management or other key personnel that may harm relationships with the acquired business’s customers and employees;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diversion of management attention as a result of the integration process.</w:t>
      </w:r>
    </w:p>
    <w:p>
      <w:pPr>
        <w:spacing w:after="0" w:line="171"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We cannot ensure that we will realize any of the anticipated benefits of any acquisition, and if we fail to realize these anticipated benefits, our operating performance could suffer.</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international operations are subject to risks that we do not face in the U.S., which could have an adverse effect on our operating results.</w:t>
      </w:r>
    </w:p>
    <w:p>
      <w:pPr>
        <w:spacing w:after="0" w:line="119"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are expanding our sales and service operations in Europe and the Asia-Pacific region, including a new operation in China. We expect our revenue and operations outside the United States will continue to expand in the future. For the nine months ended December 31, 2008 and for fiscal 2007, 82% and 75%, respectively, of our consolidated revenues were derived from customers outside of the United States. Our international operations are subject to a variety of risks that we do not face in the U.S., including:</w:t>
      </w:r>
    </w:p>
    <w:p>
      <w:pPr>
        <w:spacing w:after="0" w:line="62" w:lineRule="exact"/>
        <w:rPr>
          <w:sz w:val="20"/>
          <w:szCs w:val="20"/>
          <w:color w:val="auto"/>
        </w:rPr>
      </w:pPr>
    </w:p>
    <w:p>
      <w:pPr>
        <w:ind w:left="90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staffing and managing our foreign offices and the increased travel, infrastructure and legal compliance costs associated with multiple international locations;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potentially longer payment cycles for sales in foreign countries and difficulties in collecting accounts receivable;</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additional withholding taxes or other taxes on our foreign income, and tariffs or other restrictions on foreign trade or investment, including export duties and quotas, trade and employment restrictions;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imposition of, or unexpected adverse changes in, foreign laws or regulatory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exposure to foreign currency exchange rate risk;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political unrest, war or acts of terrorism.</w:t>
      </w:r>
    </w:p>
    <w:p>
      <w:pPr>
        <w:spacing w:after="0" w:line="17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overall success in international markets depends, in part, upon our ability to succeed in differing legal, regulatory, economic, social and political conditions. We may not be successful in developing and implementing policies and strategies that will be effective in managing these risks in each country where we do business or conduct operations. Our failure to manage these risks successfully could harm our international operations and reduce our international sales, thus adversely affecting our business, operating results and financial condition.</w:t>
      </w:r>
    </w:p>
    <w:p>
      <w:pPr>
        <w:spacing w:after="0" w:line="218" w:lineRule="exact"/>
        <w:rPr>
          <w:sz w:val="20"/>
          <w:szCs w:val="20"/>
          <w:color w:val="auto"/>
        </w:rPr>
      </w:pPr>
    </w:p>
    <w:p>
      <w:pPr>
        <w:jc w:val="both"/>
        <w:spacing w:after="0" w:line="338" w:lineRule="auto"/>
        <w:rPr>
          <w:sz w:val="20"/>
          <w:szCs w:val="20"/>
          <w:color w:val="auto"/>
        </w:rPr>
      </w:pPr>
      <w:r>
        <w:rPr>
          <w:rFonts w:ascii="Arial" w:cs="Arial" w:eastAsia="Arial" w:hAnsi="Arial"/>
          <w:sz w:val="16"/>
          <w:szCs w:val="16"/>
          <w:b w:val="1"/>
          <w:bCs w:val="1"/>
          <w:color w:val="auto"/>
        </w:rPr>
        <w:t>Our common stock has declined significantly, and may experience extreme market price and volume fluctuations, which may prevent our stockholders from selling our common stock at a profit and could lead to costly litigation against us that could divert our management’s attention.</w:t>
      </w:r>
    </w:p>
    <w:p>
      <w:pPr>
        <w:spacing w:after="0" w:line="1"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The market price of our common stock has historically experienced significant volatility. The market price of our common stock has declined significantly since August 2008 and may continue to experience such volatility in the future. Factors such as technological achievements by us and our competitors, the establishment of development or strategic relationships with other companies, our introduction of commercial products, and our financial performance may have a significant effect on the market price of our common stock. In addition, the stock market in general, and the stock of high technology companies in particular, have in recent years experienced extreme price and volume fluctuations, which are often unrelated to the performance or condition of particular companies. Such broad market fluctuations could adversely affect the market price of our common stock. Due to these factors, the price of our common stock may decline and investors may be unable to resell their shares of our common stock for a profit. Following periods of volatility in the market price of a particular company’s securities, securities class action litigation has often been brought against that company. If we become subject to this kind of litigation in the future, it could result in substantial litigation costs, a damages award against us and the diversion of our management’s attention.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SUPERCONDUCTOR CORPORATION</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See the Exhibit Index on the page immediately preceding the exhibits for a list of exhibits filed as part of this quarterly report, which Exhibit Index is incorporated herein by this reference.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SUPERCONDUCTOR CORPORATION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AMERICAN SUPERCONDUCTOR CORPORATION</w:t>
      </w:r>
    </w:p>
    <w:p>
      <w:pPr>
        <w:spacing w:after="0" w:line="225" w:lineRule="exact"/>
        <w:rPr>
          <w:sz w:val="20"/>
          <w:szCs w:val="20"/>
          <w:color w:val="auto"/>
        </w:rPr>
      </w:pPr>
    </w:p>
    <w:p>
      <w:pPr>
        <w:spacing w:after="0"/>
        <w:tabs>
          <w:tab w:leader="none" w:pos="8040" w:val="left"/>
        </w:tabs>
        <w:rPr>
          <w:sz w:val="20"/>
          <w:szCs w:val="20"/>
          <w:color w:val="auto"/>
        </w:rPr>
      </w:pPr>
      <w:r>
        <w:rPr>
          <w:rFonts w:ascii="Arial" w:cs="Arial" w:eastAsia="Arial" w:hAnsi="Arial"/>
          <w:sz w:val="18"/>
          <w:szCs w:val="18"/>
          <w:color w:val="auto"/>
        </w:rPr>
        <w:t>Date February 5, 2009</w:t>
      </w:r>
      <w:r>
        <w:rPr>
          <w:sz w:val="20"/>
          <w:szCs w:val="20"/>
          <w:color w:val="auto"/>
        </w:rPr>
        <w:tab/>
      </w:r>
      <w:r>
        <w:rPr>
          <w:rFonts w:ascii="Arial" w:cs="Arial" w:eastAsia="Arial" w:hAnsi="Arial"/>
          <w:sz w:val="16"/>
          <w:szCs w:val="16"/>
          <w:color w:val="auto"/>
        </w:rPr>
        <w:t>/s/ DAVID A.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David A. Henry</w:t>
      </w:r>
    </w:p>
    <w:p>
      <w:pPr>
        <w:spacing w:after="0" w:line="9"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80" w:type="dxa"/>
            <w:vAlign w:val="bottom"/>
            <w:gridSpan w:val="2"/>
          </w:tcPr>
          <w:p>
            <w:pPr>
              <w:ind w:left="2500"/>
              <w:spacing w:after="0"/>
              <w:rPr>
                <w:sz w:val="20"/>
                <w:szCs w:val="20"/>
                <w:color w:val="auto"/>
              </w:rPr>
            </w:pPr>
            <w:r>
              <w:rPr>
                <w:rFonts w:ascii="Arial" w:cs="Arial" w:eastAsia="Arial" w:hAnsi="Arial"/>
                <w:sz w:val="18"/>
                <w:szCs w:val="18"/>
                <w:b w:val="1"/>
                <w:bCs w:val="1"/>
                <w:color w:val="auto"/>
              </w:rPr>
              <w:t>AMERICAN SUPERCONDUCTOR CORPORATION</w:t>
            </w:r>
          </w:p>
        </w:tc>
      </w:tr>
      <w:tr>
        <w:trPr>
          <w:trHeight w:val="365"/>
        </w:trPr>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80" w:type="dxa"/>
            <w:vAlign w:val="bottom"/>
            <w:gridSpan w:val="2"/>
          </w:tcPr>
          <w:p>
            <w:pPr>
              <w:ind w:left="3880"/>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44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440" w:type="dxa"/>
            <w:vAlign w:val="bottom"/>
          </w:tcPr>
          <w:p>
            <w:pPr>
              <w:spacing w:after="0"/>
              <w:rPr>
                <w:sz w:val="18"/>
                <w:szCs w:val="18"/>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4"/>
              </w:rPr>
              <w:t>Amended and Restated Executive Severance Agreement dated as of December 23, 2008 between the Registrant and Gregory J. Yurek.</w:t>
            </w:r>
          </w:p>
        </w:tc>
        <w:tc>
          <w:tcPr>
            <w:tcW w:w="20" w:type="dxa"/>
            <w:vAlign w:val="bottom"/>
          </w:tcPr>
          <w:p>
            <w:pPr>
              <w:spacing w:after="0"/>
              <w:rPr>
                <w:sz w:val="18"/>
                <w:szCs w:val="18"/>
                <w:color w:val="auto"/>
              </w:rPr>
            </w:pPr>
          </w:p>
        </w:tc>
      </w:tr>
      <w:tr>
        <w:trPr>
          <w:trHeight w:val="316"/>
        </w:trPr>
        <w:tc>
          <w:tcPr>
            <w:tcW w:w="720" w:type="dxa"/>
            <w:vAlign w:val="bottom"/>
          </w:tcPr>
          <w:p>
            <w:pPr>
              <w:spacing w:after="0"/>
              <w:rPr>
                <w:sz w:val="20"/>
                <w:szCs w:val="20"/>
                <w:color w:val="auto"/>
              </w:rPr>
            </w:pPr>
            <w:r>
              <w:rPr>
                <w:rFonts w:ascii="Arial" w:cs="Arial" w:eastAsia="Arial" w:hAnsi="Arial"/>
                <w:sz w:val="18"/>
                <w:szCs w:val="18"/>
                <w:color w:val="auto"/>
              </w:rPr>
              <w:t>10.2</w:t>
            </w:r>
          </w:p>
        </w:tc>
        <w:tc>
          <w:tcPr>
            <w:tcW w:w="44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5"/>
              </w:rPr>
              <w:t>Amended and Restated Executive Severance Agreement dated as of December 23, 2008 between the Registrant and David A. Henry.</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10.3</w:t>
            </w:r>
          </w:p>
        </w:tc>
        <w:tc>
          <w:tcPr>
            <w:tcW w:w="44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1"/>
              </w:rPr>
              <w:t>Amended and Restated Executive Severance Agreement dated as of December 23, 2008 between the Registrant and Alexis P. Malozemoff.</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44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0"/>
              </w:rPr>
              <w:t>Amended and Restated Executive Severance Agreement dated as of December 23, 2008 between the Registrant and Charles W. Stankiewicz.</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10.5</w:t>
            </w:r>
          </w:p>
        </w:tc>
        <w:tc>
          <w:tcPr>
            <w:tcW w:w="44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1"/>
              </w:rPr>
              <w:t>Amended and Restated Executive Severance Agreement dated as of December 23, 2008 between the Registrant and Angelo R. Santamaria.</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10.6</w:t>
            </w:r>
          </w:p>
        </w:tc>
        <w:tc>
          <w:tcPr>
            <w:tcW w:w="44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3"/>
              </w:rPr>
              <w:t>Amended and Restated Executive Severance Agreement dated as of December 23, 2008 between the Registrant and Daniel P. McGahn.</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10.7</w:t>
            </w:r>
          </w:p>
        </w:tc>
        <w:tc>
          <w:tcPr>
            <w:tcW w:w="44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5"/>
              </w:rPr>
              <w:t>Amended and Restated Executive Severance Agreement dated as of December 23, 2008 between the Registrant and Timothy D. Poor.</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10.8</w:t>
            </w:r>
          </w:p>
        </w:tc>
        <w:tc>
          <w:tcPr>
            <w:tcW w:w="44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Second Amended and Restated 1997 Director Stock Option Plan, as amended.</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10.9</w:t>
            </w:r>
          </w:p>
        </w:tc>
        <w:tc>
          <w:tcPr>
            <w:tcW w:w="44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2004 Stock Incentive Plan, as amended.</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10.10</w:t>
            </w:r>
          </w:p>
        </w:tc>
        <w:tc>
          <w:tcPr>
            <w:tcW w:w="44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2007 Stock Incentive Plan, as amended.</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10.11</w:t>
            </w:r>
          </w:p>
        </w:tc>
        <w:tc>
          <w:tcPr>
            <w:tcW w:w="44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2007 Director Stock Plan, as amended.</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44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89"/>
              </w:rPr>
              <w:t>Chief Executive Officer—Certification pursuant to Rule 13a-14(a) or Rule 15d-14(a) of the Securities Exchange Act of 1934, as adopted pursuant</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to Section 302 of the Sarbanes-Oxley Act of 2002.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44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89"/>
              </w:rPr>
              <w:t>Chief Financial Officer—Certification pursuant to Rule 13a-14(a) or Rule 15d-14(a) of the Securities Exchange Act of 1934, as adopted pursuant</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to Section 302 of the Sarbanes-Oxley Act of 2002.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44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4"/>
              </w:rPr>
              <w:t>Chief Executive Officer—Certification pursuant to Rule13a-14(b) or Rule 15d-14(b) of the Securities Exchange Act of 1934 and 18 U.S.C.</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Section 1350, as adopted pursuant to Section 906 of the Sarbanes-Oxley Act of 2002.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32.2</w:t>
            </w:r>
          </w:p>
        </w:tc>
        <w:tc>
          <w:tcPr>
            <w:tcW w:w="44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4"/>
              </w:rPr>
              <w:t>Chief Financial Officer—Certification pursuant to Rule 13a-14(b) or Rule 15d-14(b) of the Securities Exchange Act of 1934 and 18 U.S.C.</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Section 1350, as adopted pursuant to Section 906 of the Sarbanes-Oxley Act of 2002.</w:t>
            </w:r>
          </w:p>
        </w:tc>
      </w:tr>
    </w:tbl>
    <w:p>
      <w:pPr>
        <w:sectPr>
          <w:pgSz w:w="11900" w:h="16838" w:orient="portrait"/>
          <w:cols w:equalWidth="0" w:num="1">
            <w:col w:w="11420"/>
          </w:cols>
          <w:pgMar w:left="240" w:top="459"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Amended and Restated Executive Severance Agreement</w:t>
      </w:r>
    </w:p>
    <w:p>
      <w:pPr>
        <w:spacing w:after="0" w:line="171"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AMENDED AND RESTATED</w:t>
      </w:r>
      <w:r>
        <w:rPr>
          <w:rFonts w:ascii="Arial" w:cs="Arial" w:eastAsia="Arial" w:hAnsi="Arial"/>
          <w:sz w:val="18"/>
          <w:szCs w:val="18"/>
          <w:color w:val="auto"/>
        </w:rPr>
        <w:t xml:space="preserve"> EXECUTIVE SEVERANCE AGREEMENT by and between American Superconductor Corporation, a Delaware corporation (the “Company”), and Gregory J. Yurek (the “Executive”) is made as of December 23, 2008 (the “Effective Date”).</w:t>
      </w:r>
    </w:p>
    <w:p>
      <w:pPr>
        <w:spacing w:after="0" w:line="132"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WHEREAS, the Board of Directors of the Company (the “Board”) has determined that appropriate steps should be taken to reinforce and encourage the continued employment and dedication of the Executive and to minimize the distraction from the possibility of an unwarranted termination of employment.</w:t>
      </w:r>
    </w:p>
    <w:p>
      <w:pPr>
        <w:spacing w:after="0" w:line="8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WHEREAS, the Company and the Executive acknowledge and agree that the benefits described in this Agreement are not intended to, and shall not, constitute a severance plan, and shall confer no benefit on anyone other than the parties hereto.</w:t>
      </w:r>
    </w:p>
    <w:p>
      <w:pPr>
        <w:spacing w:after="0" w:line="132"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WHEREAS, the Company and the Executive originally entered into this Executive Severance Agreement on October 14, 2004, amended and restated it on January 24, 2008 to reflect certain developments in the tax law, and now desire to amend and restate it further to reflect certain developments in the tax law.</w:t>
      </w:r>
    </w:p>
    <w:p>
      <w:pPr>
        <w:spacing w:after="0" w:line="8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NOW, THEREFORE, as an inducement for and in consideration of the Executive remaining in its employ, the Company agrees that the Executive shall receive the severance benefits set forth in this Agreement in the event the Executive’s employment with the Company is terminated under the specific circumstances described below.</w:t>
      </w:r>
    </w:p>
    <w:p>
      <w:pPr>
        <w:spacing w:after="0" w:line="140" w:lineRule="exact"/>
        <w:rPr>
          <w:sz w:val="20"/>
          <w:szCs w:val="20"/>
          <w:color w:val="auto"/>
        </w:rPr>
      </w:pPr>
    </w:p>
    <w:p>
      <w:pPr>
        <w:ind w:left="640" w:hanging="17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Key Definitions</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 the following terms shall have the following respective meanings: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an event or occurrence set forth in any one or more of subsections (a) through (c) below:</w:t>
      </w:r>
    </w:p>
    <w:p>
      <w:pPr>
        <w:spacing w:after="0" w:line="90" w:lineRule="exact"/>
        <w:rPr>
          <w:sz w:val="20"/>
          <w:szCs w:val="20"/>
          <w:color w:val="auto"/>
        </w:rPr>
      </w:pPr>
    </w:p>
    <w:p>
      <w:pPr>
        <w:jc w:val="both"/>
        <w:ind w:firstLine="1492"/>
        <w:spacing w:after="0" w:line="290" w:lineRule="auto"/>
        <w:tabs>
          <w:tab w:leader="none" w:pos="1735"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the acquisition by an individual, entity or group (within the meaning of Section 13(d)(3) or 14(d)(2) of the Securities Exchange Act of 1934, as amended (the “Exchange Act”)) (a “Person”) of beneficial ownership of any capital stock of the Company if, after such acquisition, such Person beneficially owns (within the meaning of Rule 13d-3 promulgated under the Exchange Act) 50% or more of either (x) the then-outstanding shares of common stock of the Company (the “Outstanding Company Common Stock”) or (y) the combined voting power of the then-outstanding securities of the Company entitled to vote generally in the election of directors (the “Outstanding Company Voting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for purposes of this subsection (a), the following acquisitions shall not constitute a Change in Control: (i) any acquisition directly from the Company, or (ii) any acquisition by any employee benefit plan (or related trust) sponsored or maintained by the Company or any corporation controlled by the Company; or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4" w:name="page35"/>
    <w:bookmarkEnd w:id="34"/>
    <w:p>
      <w:pPr>
        <w:jc w:val="both"/>
        <w:ind w:firstLine="1492"/>
        <w:spacing w:after="0" w:line="290" w:lineRule="auto"/>
        <w:tabs>
          <w:tab w:leader="none" w:pos="1738" w:val="left"/>
        </w:tabs>
        <w:numPr>
          <w:ilvl w:val="0"/>
          <w:numId w:val="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Continuing Directors (as defined below) no longer constituting a majority of the Board (or, if applicable, the Board of Directors of a successor corporation to the Company), where the term “Continuing Director” means at any date a member of the Board (i) who was a member of the Board on the date of the execution of this Agreement or (ii) 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there shall be excluded from this clause (ii)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w:t>
      </w:r>
    </w:p>
    <w:p>
      <w:pPr>
        <w:spacing w:after="0" w:line="118" w:lineRule="exact"/>
        <w:rPr>
          <w:rFonts w:ascii="Arial" w:cs="Arial" w:eastAsia="Arial" w:hAnsi="Arial"/>
          <w:sz w:val="16"/>
          <w:szCs w:val="16"/>
          <w:color w:val="auto"/>
        </w:rPr>
      </w:pPr>
    </w:p>
    <w:p>
      <w:pPr>
        <w:jc w:val="both"/>
        <w:ind w:firstLine="1492"/>
        <w:spacing w:after="0" w:line="288" w:lineRule="auto"/>
        <w:tabs>
          <w:tab w:leader="none" w:pos="1737"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consummation of a merger, consolidation, reorganization, recapitalization or statutory share exchange involving the Company or a sale or other disposition of all or substantially all of the assets of the Company in one or a series of related transactions (a “Business Combination”), other than a Business Combination in which all or substantially all of the individuals and entities who were the beneficial owners of the Outstanding Company Common Stock and Outstanding Company Voting Securities immediately prior to such Business Combination beneficially own, directly or indirectly, immediately following such Business Combination, more than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respectively.</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 “</w:t>
      </w:r>
      <w:r>
        <w:rPr>
          <w:rFonts w:ascii="Arial" w:cs="Arial" w:eastAsia="Arial" w:hAnsi="Arial"/>
          <w:sz w:val="18"/>
          <w:szCs w:val="18"/>
          <w:u w:val="single" w:color="auto"/>
          <w:color w:val="auto"/>
        </w:rPr>
        <w:t>Change in Control Date</w:t>
      </w:r>
      <w:r>
        <w:rPr>
          <w:rFonts w:ascii="Arial" w:cs="Arial" w:eastAsia="Arial" w:hAnsi="Arial"/>
          <w:sz w:val="18"/>
          <w:szCs w:val="18"/>
          <w:color w:val="auto"/>
        </w:rPr>
        <w:t>” means the first date during the Term (as defined in Section 2) on which a Change in Control occurs.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1.3 “</w:t>
      </w:r>
      <w:r>
        <w:rPr>
          <w:rFonts w:ascii="Arial" w:cs="Arial" w:eastAsia="Arial" w:hAnsi="Arial"/>
          <w:sz w:val="18"/>
          <w:szCs w:val="18"/>
          <w:u w:val="single" w:color="auto"/>
          <w:color w:val="auto"/>
        </w:rPr>
        <w:t>Cause</w:t>
      </w:r>
      <w:r>
        <w:rPr>
          <w:rFonts w:ascii="Arial" w:cs="Arial" w:eastAsia="Arial" w:hAnsi="Arial"/>
          <w:sz w:val="18"/>
          <w:szCs w:val="18"/>
          <w:color w:val="auto"/>
        </w:rPr>
        <w:t>” means:</w:t>
      </w:r>
    </w:p>
    <w:p>
      <w:pPr>
        <w:spacing w:after="0" w:line="90" w:lineRule="exact"/>
        <w:rPr>
          <w:sz w:val="20"/>
          <w:szCs w:val="20"/>
          <w:color w:val="auto"/>
        </w:rPr>
      </w:pPr>
    </w:p>
    <w:p>
      <w:pPr>
        <w:jc w:val="both"/>
        <w:ind w:firstLine="1492"/>
        <w:spacing w:after="0" w:line="256" w:lineRule="auto"/>
        <w:tabs>
          <w:tab w:leader="none" w:pos="173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Executive’s failure to perform his reasonable assigned duties to the standards reasonably required by the Company (other than any such failure resulting from incapacity due to physical or mental illness), which failure is not cured within 30 days after a written notice is received by the Executive from the Company describing in reasonable detail the manner in which the Board of Directors believes the Executive has not performed the Executive’s duties to the standards reasonably required by the Company; or</w:t>
      </w:r>
    </w:p>
    <w:p>
      <w:pPr>
        <w:spacing w:after="0" w:line="143" w:lineRule="exact"/>
        <w:rPr>
          <w:rFonts w:ascii="Arial" w:cs="Arial" w:eastAsia="Arial" w:hAnsi="Arial"/>
          <w:sz w:val="18"/>
          <w:szCs w:val="18"/>
          <w:color w:val="auto"/>
        </w:rPr>
      </w:pPr>
    </w:p>
    <w:p>
      <w:pPr>
        <w:jc w:val="both"/>
        <w:ind w:firstLine="1492"/>
        <w:spacing w:after="0" w:line="259" w:lineRule="auto"/>
        <w:tabs>
          <w:tab w:leader="none" w:pos="174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Executive’s willful engagement in illegal conduct or gross misconduct that is materially injurious to the Company. For purposes of this Section 1.3(b), no act or failure to act by the Executive shall be considered “willful” unless it is done intentionally and without reasonable belief that the Executive’s action was in the best interests of the Company.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35" w:name="page36"/>
    <w:bookmarkEnd w:id="3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1.4 “</w:t>
      </w:r>
      <w:r>
        <w:rPr>
          <w:rFonts w:ascii="Arial" w:cs="Arial" w:eastAsia="Arial" w:hAnsi="Arial"/>
          <w:sz w:val="18"/>
          <w:szCs w:val="18"/>
          <w:u w:val="single" w:color="auto"/>
          <w:color w:val="auto"/>
        </w:rPr>
        <w:t>Good Reason</w:t>
      </w:r>
      <w:r>
        <w:rPr>
          <w:rFonts w:ascii="Arial" w:cs="Arial" w:eastAsia="Arial" w:hAnsi="Arial"/>
          <w:sz w:val="18"/>
          <w:szCs w:val="18"/>
          <w:color w:val="auto"/>
        </w:rPr>
        <w:t>” means the occurrence, without the Executive’s written consent, of any of the following events or circumstances:</w:t>
      </w:r>
    </w:p>
    <w:p>
      <w:pPr>
        <w:spacing w:after="0" w:line="90" w:lineRule="exact"/>
        <w:rPr>
          <w:sz w:val="20"/>
          <w:szCs w:val="20"/>
          <w:color w:val="auto"/>
        </w:rPr>
      </w:pPr>
    </w:p>
    <w:p>
      <w:pPr>
        <w:ind w:left="1740" w:hanging="248"/>
        <w:spacing w:after="0"/>
        <w:tabs>
          <w:tab w:leader="none" w:pos="1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material diminution in the Executive’s base compensation; or</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material diminution in the Executive’s authority, duties, or responsibilities; or</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material change in the geographic location at which the Executive must perform his duties; or</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action or inaction of the Company which constitutes a material breach by the Company of this Agreement.</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Any termination by the Executive for Good Reason shall be communicated by means of a written notice delivered by the Executive to the Company within 90 days of the initial existence of the occurrence or condition on which the Executive bases his claim for Good Reason. If the condition is capable of being corrected, the Company shall have 30 days during which it may remedy the condition (the “</w:t>
      </w:r>
      <w:r>
        <w:rPr>
          <w:rFonts w:ascii="Arial" w:cs="Arial" w:eastAsia="Arial" w:hAnsi="Arial"/>
          <w:sz w:val="16"/>
          <w:szCs w:val="16"/>
          <w:u w:val="single" w:color="auto"/>
          <w:color w:val="auto"/>
        </w:rPr>
        <w:t>Cure Period</w:t>
      </w:r>
      <w:r>
        <w:rPr>
          <w:rFonts w:ascii="Arial" w:cs="Arial" w:eastAsia="Arial" w:hAnsi="Arial"/>
          <w:sz w:val="16"/>
          <w:szCs w:val="16"/>
          <w:color w:val="auto"/>
        </w:rPr>
        <w:t>”). Notwithstanding the occurrence of any such event or circumstance, such occurrence shall not be deemed to constitute Good Reason if such event or circumstance has been fully corrected within the Cure Period and the Executive has been reasonably compensated for any losses or damages resulting therefrom. If the condition is not corrected, the Executive must leave employment within one (1) year after the Company fails to cure the condition giving rise to the Executive’s claim for Good Reason during the Cure Period.</w:t>
      </w:r>
    </w:p>
    <w:p>
      <w:pPr>
        <w:spacing w:after="0" w:line="12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1.5 “</w:t>
      </w:r>
      <w:r>
        <w:rPr>
          <w:rFonts w:ascii="Arial" w:cs="Arial" w:eastAsia="Arial" w:hAnsi="Arial"/>
          <w:sz w:val="18"/>
          <w:szCs w:val="18"/>
          <w:u w:val="single" w:color="auto"/>
          <w:color w:val="auto"/>
        </w:rPr>
        <w:t>Disability</w:t>
      </w:r>
      <w:r>
        <w:rPr>
          <w:rFonts w:ascii="Arial" w:cs="Arial" w:eastAsia="Arial" w:hAnsi="Arial"/>
          <w:sz w:val="18"/>
          <w:szCs w:val="18"/>
          <w:color w:val="auto"/>
        </w:rPr>
        <w:t>” means the Executive’s absence from the full-time performance of the Executive’s duties with the Company for 180 consecutive calendar days as a result of incapacity due to mental or physical illness which is determined to be total and permanent by a physician selected by the Company or its insurers and acceptable to the Executive or the Executive’s legal representative.</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1.6 “</w:t>
      </w:r>
      <w:r>
        <w:rPr>
          <w:rFonts w:ascii="Arial" w:cs="Arial" w:eastAsia="Arial" w:hAnsi="Arial"/>
          <w:sz w:val="16"/>
          <w:szCs w:val="16"/>
          <w:u w:val="single" w:color="auto"/>
          <w:color w:val="auto"/>
        </w:rPr>
        <w:t>Severance Period</w:t>
      </w:r>
      <w:r>
        <w:rPr>
          <w:rFonts w:ascii="Arial" w:cs="Arial" w:eastAsia="Arial" w:hAnsi="Arial"/>
          <w:sz w:val="16"/>
          <w:szCs w:val="16"/>
          <w:color w:val="auto"/>
        </w:rPr>
        <w:t>” shall mean the period of 36 months immediately following the Date of Termination (as defined in Section 3.2(a) below).</w:t>
      </w:r>
    </w:p>
    <w:p>
      <w:pPr>
        <w:spacing w:after="0" w:line="194" w:lineRule="exact"/>
        <w:rPr>
          <w:sz w:val="20"/>
          <w:szCs w:val="20"/>
          <w:color w:val="auto"/>
        </w:rPr>
      </w:pPr>
    </w:p>
    <w:p>
      <w:pPr>
        <w:jc w:val="both"/>
        <w:ind w:firstLine="464"/>
        <w:spacing w:after="0" w:line="290" w:lineRule="auto"/>
        <w:tabs>
          <w:tab w:leader="none" w:pos="632"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Term of Agreement</w:t>
      </w:r>
      <w:r>
        <w:rPr>
          <w:rFonts w:ascii="Arial" w:cs="Arial" w:eastAsia="Arial" w:hAnsi="Arial"/>
          <w:sz w:val="16"/>
          <w:szCs w:val="16"/>
          <w:color w:val="auto"/>
        </w:rPr>
        <w:t xml:space="preserve">. This Agreement, and all rights and obligations of the parties hereunder, shall take effect upon the Effective Date and shall expire upon the first to occur of (a) the expiration of the Term (as defined below) if neither a termination of employment covered by Section 4.1(a) below nor a Change in Control occurred during the Term, or (b) the fulfillment by the Company of all of its obligations under Section 4 following a termination of the Executive’s employment with the Company. “Term” shall mean the period commencing as of the Effective Date and continuing in effect through March 31, 2011;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commencing on April 1, 2011 and each April 1 thereafter (each hereinafter referred to as a “Renewal Date”), the Term shall be automatically extended for one additional year so as to terminate four years from such Renewal Date, unless at least 90 days prior to such Renewal Date, the Company shall have given the Executive written notice that the Term will not be extended.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36" w:name="page37"/>
    <w:bookmarkEnd w:id="36"/>
    <w:p>
      <w:pPr>
        <w:ind w:left="640" w:hanging="17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Employment Status; Termination Following Change in Control</w:t>
      </w:r>
      <w:r>
        <w:rPr>
          <w:rFonts w:ascii="Arial" w:cs="Arial" w:eastAsia="Arial" w:hAnsi="Arial"/>
          <w:sz w:val="18"/>
          <w:szCs w:val="18"/>
          <w:color w:val="auto"/>
        </w:rPr>
        <w:t>.</w:t>
      </w:r>
    </w:p>
    <w:p>
      <w:pPr>
        <w:spacing w:after="0" w:line="9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Not an Employment Contract</w:t>
      </w:r>
      <w:r>
        <w:rPr>
          <w:rFonts w:ascii="Arial" w:cs="Arial" w:eastAsia="Arial" w:hAnsi="Arial"/>
          <w:sz w:val="18"/>
          <w:szCs w:val="18"/>
          <w:color w:val="auto"/>
        </w:rPr>
        <w:t>. The Executive acknowledges that this Agreement does not constitute a contract of employment or impose on the Company any obligation to retain the Executive as an employee and that this Agreement does not prevent the Company or the Executive from terminating his employment at any time, before or after a Change in Control.</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90" w:lineRule="exact"/>
        <w:rPr>
          <w:sz w:val="20"/>
          <w:szCs w:val="20"/>
          <w:color w:val="auto"/>
        </w:rPr>
      </w:pPr>
    </w:p>
    <w:p>
      <w:pPr>
        <w:jc w:val="both"/>
        <w:ind w:firstLine="1492"/>
        <w:spacing w:after="0" w:line="288" w:lineRule="auto"/>
        <w:tabs>
          <w:tab w:leader="none" w:pos="1727" w:val="left"/>
        </w:tabs>
        <w:numPr>
          <w:ilvl w:val="1"/>
          <w:numId w:val="26"/>
        </w:numPr>
        <w:rPr>
          <w:rFonts w:ascii="Arial" w:cs="Arial" w:eastAsia="Arial" w:hAnsi="Arial"/>
          <w:sz w:val="16"/>
          <w:szCs w:val="16"/>
          <w:color w:val="auto"/>
        </w:rPr>
      </w:pPr>
      <w:r>
        <w:rPr>
          <w:rFonts w:ascii="Arial" w:cs="Arial" w:eastAsia="Arial" w:hAnsi="Arial"/>
          <w:sz w:val="16"/>
          <w:szCs w:val="16"/>
          <w:color w:val="auto"/>
        </w:rPr>
        <w:t>Any termination of the Executive’s employment by the Company at any time during the Term or at any time after the Change in Control Date, or by the Executive within 12 months following the Change in Control Date (other than due to the death of the Executive) shall be communicated by a written notice to the other party hereto (the “Notice of Termination”), given in accordance with Section 6.2. Any Notice of Termination shall: (i) indicate (in the case of a termination by the Company) whether such termination is for Cause and (in the case of a termination by the Executive within 12 months following the Change in Control Date) whether such termination is for Good Reason, (ii) to the extent applicable, set forth in reasonable detail the facts and circumstances claimed to provide a basis for termination of the Executive’s employment for Cause or for Good Reason and (iii) specify the Date of Termination (as defined below). The effective date of an employment termination (the “Date of Termination”) shall be the close of business on the date specified in the Notice of Termination (which date may not be less than 15 days or more than 120 days after the date of delivery of such Notice of Termination), in the case of a termination other than one due to the Executive’s death, or the date of the Executive’s death, as the case may be.</w:t>
      </w:r>
    </w:p>
    <w:p>
      <w:pPr>
        <w:spacing w:after="0" w:line="119" w:lineRule="exact"/>
        <w:rPr>
          <w:rFonts w:ascii="Arial" w:cs="Arial" w:eastAsia="Arial" w:hAnsi="Arial"/>
          <w:sz w:val="16"/>
          <w:szCs w:val="16"/>
          <w:color w:val="auto"/>
        </w:rPr>
      </w:pPr>
    </w:p>
    <w:p>
      <w:pPr>
        <w:jc w:val="both"/>
        <w:ind w:firstLine="1492"/>
        <w:spacing w:after="0" w:line="306" w:lineRule="auto"/>
        <w:tabs>
          <w:tab w:leader="none" w:pos="1744"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failure by the Executive or the Company to set forth in the Notice of Termination any fact or circumstance which contributes to a showing of Good Reason or Cause shall not waive any right of the Executive or the Company, respectively, hereunder or preclude the Executive or the Company, respectively, from asserting any such fact or circumstance in enforcing the Executive’s or the Company’s rights hereunder.</w:t>
      </w:r>
    </w:p>
    <w:p>
      <w:pPr>
        <w:spacing w:after="0" w:line="106" w:lineRule="exact"/>
        <w:rPr>
          <w:rFonts w:ascii="Arial" w:cs="Arial" w:eastAsia="Arial" w:hAnsi="Arial"/>
          <w:sz w:val="16"/>
          <w:szCs w:val="16"/>
          <w:color w:val="auto"/>
        </w:rPr>
      </w:pPr>
    </w:p>
    <w:p>
      <w:pPr>
        <w:ind w:right="20" w:firstLine="1492"/>
        <w:spacing w:after="0" w:line="268" w:lineRule="auto"/>
        <w:tabs>
          <w:tab w:leader="none" w:pos="1757"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Notice of Termination for Cause given by the Company must be given within 90 days of the occurrence of the event(s) or circumstance(s) that constitute(s) Cause.</w:t>
      </w:r>
    </w:p>
    <w:p>
      <w:pPr>
        <w:spacing w:after="0" w:line="131" w:lineRule="exact"/>
        <w:rPr>
          <w:rFonts w:ascii="Arial" w:cs="Arial" w:eastAsia="Arial" w:hAnsi="Arial"/>
          <w:sz w:val="18"/>
          <w:szCs w:val="18"/>
          <w:color w:val="auto"/>
        </w:rPr>
      </w:pPr>
    </w:p>
    <w:p>
      <w:pPr>
        <w:ind w:firstLine="1492"/>
        <w:spacing w:after="0" w:line="268" w:lineRule="auto"/>
        <w:tabs>
          <w:tab w:leader="none" w:pos="1743"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Notice of Termination for Good Reason given by the Executive must be given within 90 days of the occurrence of the event(s) or circumstance(s) that constitute(s) Good Reason.</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Benefits to Executive</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Termination Prior to Change in Control Date</w:t>
      </w:r>
      <w:r>
        <w:rPr>
          <w:rFonts w:ascii="Arial" w:cs="Arial" w:eastAsia="Arial" w:hAnsi="Arial"/>
          <w:sz w:val="18"/>
          <w:szCs w:val="18"/>
          <w:color w:val="auto"/>
        </w:rPr>
        <w:t>.</w:t>
      </w:r>
    </w:p>
    <w:p>
      <w:pPr>
        <w:spacing w:after="0" w:line="90" w:lineRule="exact"/>
        <w:rPr>
          <w:sz w:val="20"/>
          <w:szCs w:val="20"/>
          <w:color w:val="auto"/>
        </w:rPr>
      </w:pPr>
    </w:p>
    <w:p>
      <w:pPr>
        <w:jc w:val="both"/>
        <w:ind w:firstLine="1492"/>
        <w:spacing w:after="0" w:line="259" w:lineRule="auto"/>
        <w:tabs>
          <w:tab w:leader="none" w:pos="1722"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w:t>
      </w:r>
      <w:r>
        <w:rPr>
          <w:rFonts w:ascii="Arial" w:cs="Arial" w:eastAsia="Arial" w:hAnsi="Arial"/>
          <w:sz w:val="18"/>
          <w:szCs w:val="18"/>
          <w:color w:val="auto"/>
        </w:rPr>
        <w:t>. If, prior to a Change in Control Date (including a situation in which a Change in Control Date never occurs), the Company terminates the Executive’s employment other than for Cause, Disability or death, then the Executive shall be entitled to the following benefits, the distribution of which shall be subject to the provisions of Sections 4.4 and 4.7:</w:t>
      </w:r>
    </w:p>
    <w:p>
      <w:pPr>
        <w:spacing w:after="0" w:line="59" w:lineRule="exact"/>
        <w:rPr>
          <w:rFonts w:ascii="Arial" w:cs="Arial" w:eastAsia="Arial" w:hAnsi="Arial"/>
          <w:sz w:val="18"/>
          <w:szCs w:val="18"/>
          <w:color w:val="auto"/>
        </w:rPr>
      </w:pPr>
    </w:p>
    <w:p>
      <w:pPr>
        <w:ind w:left="2180" w:hanging="232"/>
        <w:spacing w:after="0"/>
        <w:tabs>
          <w:tab w:leader="none" w:pos="2180" w:val="left"/>
        </w:tabs>
        <w:numPr>
          <w:ilvl w:val="2"/>
          <w:numId w:val="28"/>
        </w:numPr>
        <w:rPr>
          <w:rFonts w:ascii="Arial" w:cs="Arial" w:eastAsia="Arial" w:hAnsi="Arial"/>
          <w:sz w:val="16"/>
          <w:szCs w:val="16"/>
          <w:color w:val="auto"/>
        </w:rPr>
      </w:pPr>
      <w:r>
        <w:rPr>
          <w:rFonts w:ascii="Arial" w:cs="Arial" w:eastAsia="Arial" w:hAnsi="Arial"/>
          <w:sz w:val="16"/>
          <w:szCs w:val="16"/>
          <w:color w:val="auto"/>
        </w:rPr>
        <w:t>the Company shall pay to the Executive, in a lump sum in cash on the Date of Termination, the sum of the following amounts:</w:t>
      </w:r>
    </w:p>
    <w:p>
      <w:pPr>
        <w:spacing w:after="0" w:line="38" w:lineRule="exact"/>
        <w:rPr>
          <w:rFonts w:ascii="Arial" w:cs="Arial" w:eastAsia="Arial" w:hAnsi="Arial"/>
          <w:sz w:val="16"/>
          <w:szCs w:val="16"/>
          <w:color w:val="auto"/>
        </w:rPr>
      </w:pPr>
    </w:p>
    <w:p>
      <w:pPr>
        <w:jc w:val="both"/>
        <w:ind w:firstLine="8"/>
        <w:spacing w:after="0" w:line="281" w:lineRule="auto"/>
        <w:tabs>
          <w:tab w:leader="none" w:pos="25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Executive’s base salary through the Date of Termination, (2) any compensation previously deferred by the Executive (together with any accrued interest or earnings thereon) and (3) any accrued vacation pay, in each case to the extent not previously paid (the sum of the amounts described in clauses (1) through</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shall be hereinafter referred to as the “Accrued Obligations”);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37" w:name="page38"/>
    <w:bookmarkEnd w:id="37"/>
    <w:p>
      <w:pPr>
        <w:ind w:right="20" w:firstLine="1948"/>
        <w:spacing w:after="0" w:line="332" w:lineRule="auto"/>
        <w:tabs>
          <w:tab w:leader="none" w:pos="2222" w:val="left"/>
        </w:tabs>
        <w:numPr>
          <w:ilvl w:val="1"/>
          <w:numId w:val="3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the Severance Period, the Company shall continue to pay to the Executive, in accordance with the Company’s regular payroll practices, the Executive’s highest annual base salary during the two-year period prior to the Date of Termination; and</w:t>
      </w:r>
    </w:p>
    <w:p>
      <w:pPr>
        <w:spacing w:after="0" w:line="85" w:lineRule="exact"/>
        <w:rPr>
          <w:rFonts w:ascii="Arial" w:cs="Arial" w:eastAsia="Arial" w:hAnsi="Arial"/>
          <w:sz w:val="16"/>
          <w:szCs w:val="16"/>
          <w:color w:val="auto"/>
        </w:rPr>
      </w:pPr>
    </w:p>
    <w:p>
      <w:pPr>
        <w:jc w:val="both"/>
        <w:ind w:firstLine="1948"/>
        <w:spacing w:after="0" w:line="289" w:lineRule="auto"/>
        <w:tabs>
          <w:tab w:leader="none" w:pos="22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 xml:space="preserve">during the Severance Period, the Company shall continue to provide to the Executive and the Executive’s family those benefits which would have been provided to them if the Executive’s employment had not been terminated, in accordance with the applicable Benefit Plans in effect on the Date of Termination (to the extent such benefits can be provided to non-employees, or to the extent such health insurance benefits cannot be provided to non-employees, then the cash equivalent thereof, based on the cost thereof to the Company, which cash amount shall be paid proportionately over the Severance Period, monthly in advance); </w:t>
      </w:r>
      <w:r>
        <w:rPr>
          <w:rFonts w:ascii="Arial" w:cs="Arial" w:eastAsia="Arial" w:hAnsi="Arial"/>
          <w:sz w:val="16"/>
          <w:szCs w:val="16"/>
          <w:u w:val="single" w:color="auto"/>
          <w:color w:val="auto"/>
        </w:rPr>
        <w:t>provided</w:t>
      </w:r>
      <w:r>
        <w:rPr>
          <w:rFonts w:ascii="Arial" w:cs="Arial" w:eastAsia="Arial" w:hAnsi="Arial"/>
          <w:sz w:val="16"/>
          <w:szCs w:val="16"/>
          <w:color w:val="auto"/>
        </w:rPr>
        <w:t>, however: (1) that if the Executive becomes reemployed with another employer and is eligible to receive a particular type of benefits (e.g., health insurance benefits) from such employer on terms at least as favorable to the Executive and his family as those being provided by the Company, then the Company shall no longer be required to provide those particular benefits to the Executive and his family; and (2) to the extent that such payments are taxable to the Executive and/or extend beyond the COBRA continuation period, then such payments shall be made monthly in advance.</w:t>
      </w:r>
    </w:p>
    <w:p>
      <w:pPr>
        <w:spacing w:after="0" w:line="118" w:lineRule="exact"/>
        <w:rPr>
          <w:rFonts w:ascii="Arial" w:cs="Arial" w:eastAsia="Arial" w:hAnsi="Arial"/>
          <w:sz w:val="16"/>
          <w:szCs w:val="16"/>
          <w:color w:val="auto"/>
        </w:rPr>
      </w:pPr>
    </w:p>
    <w:p>
      <w:pPr>
        <w:jc w:val="both"/>
        <w:ind w:firstLine="1492"/>
        <w:spacing w:after="0" w:line="291" w:lineRule="auto"/>
        <w:tabs>
          <w:tab w:leader="none" w:pos="1746"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Other Terminations</w:t>
      </w:r>
      <w:r>
        <w:rPr>
          <w:rFonts w:ascii="Arial" w:cs="Arial" w:eastAsia="Arial" w:hAnsi="Arial"/>
          <w:sz w:val="16"/>
          <w:szCs w:val="16"/>
          <w:color w:val="auto"/>
        </w:rPr>
        <w:t>. If, prior to the Change in Control Date, the Executive’s employment with the Company is terminated other than under the circumstances described in Section 4.1(a), then the Company shall (i) pay the Executive (or his estate, if applicable), in a lump sum in cash on the Date of Termination, the Accrued Obligations and (ii) to the extent not previously paid or provided, timely pay or provide to the Executive any other amounts or benefits required to be paid or provided or which the Executive is eligible to receive following the Executive’s termination of employment under any plan, program, policy, practice, contract or agreement of the Company and its subsidiaries (such other amounts and benefits shall be hereinafter referred to as the “Other Benefits”), the distribution of which shall be subject to the provisions of Section 4.7.</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Termination Following Change in Control Date</w:t>
      </w:r>
      <w:r>
        <w:rPr>
          <w:rFonts w:ascii="Arial" w:cs="Arial" w:eastAsia="Arial" w:hAnsi="Arial"/>
          <w:sz w:val="18"/>
          <w:szCs w:val="18"/>
          <w:color w:val="auto"/>
        </w:rPr>
        <w:t>.</w:t>
      </w:r>
    </w:p>
    <w:p>
      <w:pPr>
        <w:spacing w:after="0" w:line="90" w:lineRule="exact"/>
        <w:rPr>
          <w:sz w:val="20"/>
          <w:szCs w:val="20"/>
          <w:color w:val="auto"/>
        </w:rPr>
      </w:pPr>
    </w:p>
    <w:p>
      <w:pPr>
        <w:jc w:val="both"/>
        <w:ind w:firstLine="1492"/>
        <w:spacing w:after="0" w:line="256" w:lineRule="auto"/>
        <w:tabs>
          <w:tab w:leader="none" w:pos="1722"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Termination within 12 Months Following Change in Control Date</w:t>
      </w:r>
      <w:r>
        <w:rPr>
          <w:rFonts w:ascii="Arial" w:cs="Arial" w:eastAsia="Arial" w:hAnsi="Arial"/>
          <w:sz w:val="18"/>
          <w:szCs w:val="18"/>
          <w:color w:val="auto"/>
        </w:rPr>
        <w:t>. If the Company terminates the Executive’s employment other than for Cause, Disability or death within 12 months following the Change in Control Date, or if the Executive terminates his employment for Good Reason within 12 months following the Change in Control Date, then the Executive shall be entitled to the following benefits, the distribution of which shall be subject to the provisions of Sections 4.4 and 4.7:</w:t>
      </w:r>
    </w:p>
    <w:p>
      <w:pPr>
        <w:spacing w:after="0" w:line="62" w:lineRule="exact"/>
        <w:rPr>
          <w:rFonts w:ascii="Arial" w:cs="Arial" w:eastAsia="Arial" w:hAnsi="Arial"/>
          <w:sz w:val="18"/>
          <w:szCs w:val="18"/>
          <w:color w:val="auto"/>
        </w:rPr>
      </w:pPr>
    </w:p>
    <w:p>
      <w:pPr>
        <w:ind w:left="2180" w:hanging="232"/>
        <w:spacing w:after="0"/>
        <w:tabs>
          <w:tab w:leader="none" w:pos="2180" w:val="left"/>
        </w:tabs>
        <w:numPr>
          <w:ilvl w:val="2"/>
          <w:numId w:val="33"/>
        </w:numPr>
        <w:rPr>
          <w:rFonts w:ascii="Arial" w:cs="Arial" w:eastAsia="Arial" w:hAnsi="Arial"/>
          <w:sz w:val="16"/>
          <w:szCs w:val="16"/>
          <w:color w:val="auto"/>
        </w:rPr>
      </w:pPr>
      <w:r>
        <w:rPr>
          <w:rFonts w:ascii="Arial" w:cs="Arial" w:eastAsia="Arial" w:hAnsi="Arial"/>
          <w:sz w:val="16"/>
          <w:szCs w:val="16"/>
          <w:color w:val="auto"/>
        </w:rPr>
        <w:t>the Company shall pay to the Executive, in a lump sum in cash on the Date of Termination, (A) the Accrued Obligations and</w:t>
      </w:r>
    </w:p>
    <w:p>
      <w:pPr>
        <w:spacing w:after="0" w:line="38" w:lineRule="exact"/>
        <w:rPr>
          <w:rFonts w:ascii="Arial" w:cs="Arial" w:eastAsia="Arial" w:hAnsi="Arial"/>
          <w:sz w:val="16"/>
          <w:szCs w:val="16"/>
          <w:color w:val="auto"/>
        </w:rPr>
      </w:pPr>
    </w:p>
    <w:p>
      <w:pPr>
        <w:jc w:val="both"/>
        <w:ind w:firstLine="8"/>
        <w:spacing w:after="0" w:line="255" w:lineRule="auto"/>
        <w:tabs>
          <w:tab w:leader="none" w:pos="30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product of (x) the annual target bonus payable to the Executive for the fiscal year in which the Date of Termination occurs and (y) a fraction, the numerator of which is the number of days in the then-current fiscal year through the Date of Termination, and the denominator of which is 365, less any portion of such bonus previously paid to the Executive;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38" w:name="page39"/>
    <w:bookmarkEnd w:id="38"/>
    <w:p>
      <w:pPr>
        <w:ind w:right="20" w:firstLine="1948"/>
        <w:spacing w:after="0" w:line="332" w:lineRule="auto"/>
        <w:tabs>
          <w:tab w:leader="none" w:pos="2222" w:val="left"/>
        </w:tabs>
        <w:numPr>
          <w:ilvl w:val="1"/>
          <w:numId w:val="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the Severance Period, the Company shall continue to pay to the Executive, in accordance with the Company’s regular payroll practices, the Executive’s highest annual base salary during the two-year period prior to the Date of Termination; and</w:t>
      </w:r>
    </w:p>
    <w:p>
      <w:pPr>
        <w:spacing w:after="0" w:line="85" w:lineRule="exact"/>
        <w:rPr>
          <w:rFonts w:ascii="Arial" w:cs="Arial" w:eastAsia="Arial" w:hAnsi="Arial"/>
          <w:sz w:val="16"/>
          <w:szCs w:val="16"/>
          <w:color w:val="auto"/>
        </w:rPr>
      </w:pPr>
    </w:p>
    <w:p>
      <w:pPr>
        <w:jc w:val="both"/>
        <w:ind w:firstLine="1948"/>
        <w:spacing w:after="0" w:line="289" w:lineRule="auto"/>
        <w:tabs>
          <w:tab w:leader="none" w:pos="2260" w:val="left"/>
        </w:tabs>
        <w:numPr>
          <w:ilvl w:val="1"/>
          <w:numId w:val="35"/>
        </w:numPr>
        <w:rPr>
          <w:rFonts w:ascii="Arial" w:cs="Arial" w:eastAsia="Arial" w:hAnsi="Arial"/>
          <w:sz w:val="16"/>
          <w:szCs w:val="16"/>
          <w:color w:val="auto"/>
        </w:rPr>
      </w:pPr>
      <w:r>
        <w:rPr>
          <w:rFonts w:ascii="Arial" w:cs="Arial" w:eastAsia="Arial" w:hAnsi="Arial"/>
          <w:sz w:val="16"/>
          <w:szCs w:val="16"/>
          <w:color w:val="auto"/>
        </w:rPr>
        <w:t xml:space="preserve">during the Severance Period, the Company shall continue to provide to the Executive and the Executive’s family those benefits which would have been provided to them if the Executive’s employment had not been terminated, in accordance with the applicable Benefit Plans in effect on the Date of Termination (to the extent such benefits can be provided to non-employees, or to the extent such health benefits cannot be provided to non-employees, then the cash equivalent thereof, based on the cost thereof to the Company, which cash amount shall be paid proportionately over the Severance Period, monthly in advance); </w:t>
      </w:r>
      <w:r>
        <w:rPr>
          <w:rFonts w:ascii="Arial" w:cs="Arial" w:eastAsia="Arial" w:hAnsi="Arial"/>
          <w:sz w:val="16"/>
          <w:szCs w:val="16"/>
          <w:u w:val="single" w:color="auto"/>
          <w:color w:val="auto"/>
        </w:rPr>
        <w:t>provided</w:t>
      </w:r>
      <w:r>
        <w:rPr>
          <w:rFonts w:ascii="Arial" w:cs="Arial" w:eastAsia="Arial" w:hAnsi="Arial"/>
          <w:sz w:val="16"/>
          <w:szCs w:val="16"/>
          <w:color w:val="auto"/>
        </w:rPr>
        <w:t>, however: (1) that if the Executive becomes reemployed with another employer and is eligible to receive a particular type of benefits (e.g., health insurance benefits) from such employer on terms at least as favorable to the Executive and his family as those being provided by the Company, then the Company shall no longer be required to provide those particular benefits to the Executive and his family; and (2) to the extent that such payments are taxable to the Executive and/or extend beyond the COBRA continuation period, then such payments shall be made monthly in advance.</w:t>
      </w:r>
    </w:p>
    <w:p>
      <w:pPr>
        <w:spacing w:after="0" w:line="118" w:lineRule="exact"/>
        <w:rPr>
          <w:rFonts w:ascii="Arial" w:cs="Arial" w:eastAsia="Arial" w:hAnsi="Arial"/>
          <w:sz w:val="16"/>
          <w:szCs w:val="16"/>
          <w:color w:val="auto"/>
        </w:rPr>
      </w:pPr>
    </w:p>
    <w:p>
      <w:pPr>
        <w:jc w:val="both"/>
        <w:ind w:firstLine="1492"/>
        <w:spacing w:after="0" w:line="259" w:lineRule="auto"/>
        <w:tabs>
          <w:tab w:leader="none" w:pos="1746"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Termination More Than 12 Months Following Change in Control Date</w:t>
      </w:r>
      <w:r>
        <w:rPr>
          <w:rFonts w:ascii="Arial" w:cs="Arial" w:eastAsia="Arial" w:hAnsi="Arial"/>
          <w:sz w:val="18"/>
          <w:szCs w:val="18"/>
          <w:color w:val="auto"/>
        </w:rPr>
        <w:t>. If the Company terminates the Executive’s employment other than for Cause, Disability or death more than 12 months following the Change in Control Date, then the Executive shall be entitled to the following benefits, the distribution of which shall be subject to the provisions of Sections 4.4 and 4.7:</w:t>
      </w:r>
    </w:p>
    <w:p>
      <w:pPr>
        <w:spacing w:after="0" w:line="59" w:lineRule="exact"/>
        <w:rPr>
          <w:rFonts w:ascii="Arial" w:cs="Arial" w:eastAsia="Arial" w:hAnsi="Arial"/>
          <w:sz w:val="18"/>
          <w:szCs w:val="18"/>
          <w:color w:val="auto"/>
        </w:rPr>
      </w:pPr>
    </w:p>
    <w:p>
      <w:pPr>
        <w:ind w:left="2160" w:hanging="212"/>
        <w:spacing w:after="0"/>
        <w:tabs>
          <w:tab w:leader="none" w:pos="21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Company shall pay to the Executive, in a lump sum in cash on the Date of Termination, the Accrued Obligations;</w:t>
      </w:r>
    </w:p>
    <w:p>
      <w:pPr>
        <w:spacing w:after="0" w:line="171" w:lineRule="exact"/>
        <w:rPr>
          <w:rFonts w:ascii="Arial" w:cs="Arial" w:eastAsia="Arial" w:hAnsi="Arial"/>
          <w:sz w:val="18"/>
          <w:szCs w:val="18"/>
          <w:color w:val="auto"/>
        </w:rPr>
      </w:pPr>
    </w:p>
    <w:p>
      <w:pPr>
        <w:ind w:right="20" w:firstLine="1948"/>
        <w:spacing w:after="0" w:line="332" w:lineRule="auto"/>
        <w:tabs>
          <w:tab w:leader="none" w:pos="2222" w:val="left"/>
        </w:tabs>
        <w:numPr>
          <w:ilvl w:val="1"/>
          <w:numId w:val="36"/>
        </w:numPr>
        <w:rPr>
          <w:rFonts w:ascii="Arial" w:cs="Arial" w:eastAsia="Arial" w:hAnsi="Arial"/>
          <w:sz w:val="16"/>
          <w:szCs w:val="16"/>
          <w:color w:val="auto"/>
        </w:rPr>
      </w:pPr>
      <w:r>
        <w:rPr>
          <w:rFonts w:ascii="Arial" w:cs="Arial" w:eastAsia="Arial" w:hAnsi="Arial"/>
          <w:sz w:val="16"/>
          <w:szCs w:val="16"/>
          <w:color w:val="auto"/>
        </w:rPr>
        <w:t>during the Severance Period, the Company shall continue to pay to the Executive, in accordance with the Company’s regular payroll practices, the Executive’s highest annual base salary during the two-year period prior to the Date of Termination; and</w:t>
      </w:r>
    </w:p>
    <w:p>
      <w:pPr>
        <w:spacing w:after="0" w:line="85" w:lineRule="exact"/>
        <w:rPr>
          <w:rFonts w:ascii="Arial" w:cs="Arial" w:eastAsia="Arial" w:hAnsi="Arial"/>
          <w:sz w:val="16"/>
          <w:szCs w:val="16"/>
          <w:color w:val="auto"/>
        </w:rPr>
      </w:pPr>
    </w:p>
    <w:p>
      <w:pPr>
        <w:jc w:val="both"/>
        <w:ind w:firstLine="1948"/>
        <w:spacing w:after="0" w:line="256" w:lineRule="auto"/>
        <w:tabs>
          <w:tab w:leader="none" w:pos="22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during the Severance Period, the Company shall continue to provide to the Executive and the Executive’s family those benefits which would have been provided to them if the Executive’s employment had not been terminated, in accordance with the applicable Benefit Plans in effect on the Date of Termination (to the extent such health benefits can be provided to non-employees, or to the extent such benefits cannot be provided to non-employees, then the cash equivalent thereof, based on the cost thereof to the Company, which</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39" w:name="page40"/>
    <w:bookmarkEnd w:id="39"/>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cash amount shall be paid proportionately over the Severance Period, monthly in advance); </w:t>
      </w:r>
      <w:r>
        <w:rPr>
          <w:rFonts w:ascii="Arial" w:cs="Arial" w:eastAsia="Arial" w:hAnsi="Arial"/>
          <w:sz w:val="18"/>
          <w:szCs w:val="18"/>
          <w:u w:val="single" w:color="auto"/>
          <w:color w:val="auto"/>
        </w:rPr>
        <w:t>provided</w:t>
      </w:r>
      <w:r>
        <w:rPr>
          <w:rFonts w:ascii="Arial" w:cs="Arial" w:eastAsia="Arial" w:hAnsi="Arial"/>
          <w:sz w:val="18"/>
          <w:szCs w:val="18"/>
          <w:color w:val="auto"/>
        </w:rPr>
        <w:t>, however: (1) that if the Executive becomes reemployed with another employer and is eligible to receive a particular type of benefits (e.g., health insurance benefits) from such employer on terms at least as favorable to the Executive and his family as those being provided by the Company, then the Company shall no longer be required to provide those particular benefits to the Executive and his family; and (2) to the extent that such payments are taxable to the Executive and/or extend beyond the COBRA continuation period, then such payments shall be made monthly in advance.</w:t>
      </w:r>
    </w:p>
    <w:p>
      <w:pPr>
        <w:spacing w:after="0" w:line="143" w:lineRule="exact"/>
        <w:rPr>
          <w:sz w:val="20"/>
          <w:szCs w:val="20"/>
          <w:color w:val="auto"/>
        </w:rPr>
      </w:pPr>
    </w:p>
    <w:p>
      <w:pPr>
        <w:jc w:val="both"/>
        <w:ind w:firstLine="1492"/>
        <w:spacing w:after="0" w:line="256" w:lineRule="auto"/>
        <w:tabs>
          <w:tab w:leader="none" w:pos="1722"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Other Terminations</w:t>
      </w:r>
      <w:r>
        <w:rPr>
          <w:rFonts w:ascii="Arial" w:cs="Arial" w:eastAsia="Arial" w:hAnsi="Arial"/>
          <w:sz w:val="18"/>
          <w:szCs w:val="18"/>
          <w:color w:val="auto"/>
        </w:rPr>
        <w:t>. If, following the Change in Control Date, the Executive’s employment with the Company is terminated other than under the circumstances described in Section 4.2(a) or Section 4.2(b), then the Company shall (i) pay the Executive (or his estate, if applicable), in a lump sum in cash on the Date of Termination, the Accrued Obligations and (ii) to the extent not previously paid or provided, timely pay or provide to the Executive the Other Benefits, the distribution of which shall be subject to the provisions of Section 4.7.</w:t>
      </w:r>
    </w:p>
    <w:p>
      <w:pPr>
        <w:spacing w:after="0" w:line="143" w:lineRule="exact"/>
        <w:rPr>
          <w:rFonts w:ascii="Arial" w:cs="Arial" w:eastAsia="Arial" w:hAnsi="Arial"/>
          <w:sz w:val="18"/>
          <w:szCs w:val="18"/>
          <w:color w:val="auto"/>
        </w:rPr>
      </w:pPr>
    </w:p>
    <w:p>
      <w:pPr>
        <w:jc w:val="both"/>
        <w:ind w:firstLine="1492"/>
        <w:spacing w:after="0" w:line="259" w:lineRule="auto"/>
        <w:tabs>
          <w:tab w:leader="none" w:pos="1746"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Subject to Section 4.7, the Company agrees to reimburse the Executive for all legal and other fees and expenses that the Executive reasonably incurs as a result of any claim or dispute regarding the benefits due to the Executive pursuant to this Section 4.2 if the Executive prevails in such claim or dispute.</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Section 280G Provisions</w:t>
      </w:r>
      <w:r>
        <w:rPr>
          <w:rFonts w:ascii="Arial" w:cs="Arial" w:eastAsia="Arial" w:hAnsi="Arial"/>
          <w:sz w:val="18"/>
          <w:szCs w:val="18"/>
          <w:color w:val="auto"/>
        </w:rPr>
        <w:t>.</w:t>
      </w:r>
    </w:p>
    <w:p>
      <w:pPr>
        <w:spacing w:after="0" w:line="90" w:lineRule="exact"/>
        <w:rPr>
          <w:sz w:val="20"/>
          <w:szCs w:val="20"/>
          <w:color w:val="auto"/>
        </w:rPr>
      </w:pPr>
    </w:p>
    <w:p>
      <w:pPr>
        <w:jc w:val="both"/>
        <w:ind w:firstLine="1492"/>
        <w:spacing w:after="0" w:line="291" w:lineRule="auto"/>
        <w:tabs>
          <w:tab w:leader="none" w:pos="1728" w:val="left"/>
        </w:tabs>
        <w:numPr>
          <w:ilvl w:val="0"/>
          <w:numId w:val="38"/>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in the event that the Company undergoes a Change in Ownership or Control (as defined below), the Company shall not be obligated to provide to the Executive a portion of any Contingent Compensation Payments (as defined below) that the Executive would otherwise be entitled to receive to the extent necessary to eliminate Excess Parachute Payments (as defined below) for the Executive, except as set forth in Section 4.3(b). For purposes of this Section 4.3, the Contingent Compensation Payments so eliminated shall be referred to as the “Eliminated Payments” and the aggregate amount (determined in accordance with Treasury Regulation Section 1.280G-1, Q/A-30 or any successor provision) of the Contingent Compensation Payments so eliminated shall be referred to as the “Eliminated Amount.”</w:t>
      </w:r>
    </w:p>
    <w:p>
      <w:pPr>
        <w:spacing w:after="0" w:line="120" w:lineRule="exact"/>
        <w:rPr>
          <w:rFonts w:ascii="Arial" w:cs="Arial" w:eastAsia="Arial" w:hAnsi="Arial"/>
          <w:sz w:val="16"/>
          <w:szCs w:val="16"/>
          <w:color w:val="auto"/>
        </w:rPr>
      </w:pPr>
    </w:p>
    <w:p>
      <w:pPr>
        <w:jc w:val="both"/>
        <w:ind w:firstLine="1492"/>
        <w:spacing w:after="0" w:line="253" w:lineRule="auto"/>
        <w:tabs>
          <w:tab w:leader="none" w:pos="1758"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Notwithstanding the provisions of Section 4.3(a), no such reduction in Contingent Compensation Payments shall be made if (i) the Eliminated Amount (computed without regard to this sentence) exceeds (ii) 110% of the aggregate present value (determined in accordance with Treasury Regulation Section 1.280G-1, Q/A-31, Q/A-32, Q/A-33 or any successor provisions) of the amount of any additional taxes that would be incurred by the Executive if the Eliminated Payments (determined without regard to this sentence) were paid to him (including, state and federal income taxes on the Eliminated Payments, the excise tax imposed by Section 4999 of the Internal Revenue Code of 1986, as amended (the “Code”, which term shall include applicable Treasury Regulations), payable with respect to all of the Contingent Compensation Payments in excess of the Executive’s “base amount” (as defined in Section 280G(b)(3) of the Code), and any withholding taxes). The override of such reduction in Contingent Compensation Payments pursuant to this Section 4.3(b) shall be referred to as a</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40" w:name="page41"/>
    <w:bookmarkEnd w:id="40"/>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4.3(b) Override.” For purposes of this paragraph, if any federal, state or local income taxes would be attributable to the receipt of any Eliminated Payment, the amount of such taxes shall be computed by multiplying the amount of the Eliminated Payment by the maximum combined federal, state and local income tax rate provided by law.</w:t>
      </w:r>
    </w:p>
    <w:p>
      <w:pPr>
        <w:spacing w:after="0" w:line="140" w:lineRule="exact"/>
        <w:rPr>
          <w:sz w:val="20"/>
          <w:szCs w:val="20"/>
          <w:color w:val="auto"/>
        </w:rPr>
      </w:pPr>
    </w:p>
    <w:p>
      <w:pPr>
        <w:ind w:left="1740" w:hanging="248"/>
        <w:spacing w:after="0"/>
        <w:tabs>
          <w:tab w:leader="none" w:pos="1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 purposes of this Section 4.3 the following terms shall have the following respective meanings:</w:t>
      </w:r>
    </w:p>
    <w:p>
      <w:pPr>
        <w:spacing w:after="0" w:line="90" w:lineRule="exact"/>
        <w:rPr>
          <w:rFonts w:ascii="Arial" w:cs="Arial" w:eastAsia="Arial" w:hAnsi="Arial"/>
          <w:sz w:val="18"/>
          <w:szCs w:val="18"/>
          <w:color w:val="auto"/>
        </w:rPr>
      </w:pPr>
    </w:p>
    <w:p>
      <w:pPr>
        <w:ind w:firstLine="1948"/>
        <w:spacing w:after="0" w:line="268" w:lineRule="auto"/>
        <w:tabs>
          <w:tab w:leader="none" w:pos="2157" w:val="left"/>
        </w:tabs>
        <w:numPr>
          <w:ilvl w:val="1"/>
          <w:numId w:val="39"/>
        </w:numPr>
        <w:rPr>
          <w:rFonts w:ascii="Arial" w:cs="Arial" w:eastAsia="Arial" w:hAnsi="Arial"/>
          <w:sz w:val="18"/>
          <w:szCs w:val="18"/>
          <w:color w:val="auto"/>
        </w:rPr>
      </w:pPr>
      <w:r>
        <w:rPr>
          <w:rFonts w:ascii="Arial" w:cs="Arial" w:eastAsia="Arial" w:hAnsi="Arial"/>
          <w:sz w:val="18"/>
          <w:szCs w:val="18"/>
          <w:color w:val="auto"/>
        </w:rPr>
        <w:t>“Change in Ownership or Control” shall mean a change in the ownership or effective control of the Company or in the ownership of a substantial portion of the assets of the Company determined in accordance with Section 280G(b)(2) of the Code.</w:t>
      </w:r>
    </w:p>
    <w:p>
      <w:pPr>
        <w:spacing w:after="0" w:line="131" w:lineRule="exact"/>
        <w:rPr>
          <w:rFonts w:ascii="Arial" w:cs="Arial" w:eastAsia="Arial" w:hAnsi="Arial"/>
          <w:sz w:val="18"/>
          <w:szCs w:val="18"/>
          <w:color w:val="auto"/>
        </w:rPr>
      </w:pPr>
    </w:p>
    <w:p>
      <w:pPr>
        <w:jc w:val="both"/>
        <w:ind w:firstLine="1948"/>
        <w:spacing w:after="0" w:line="259" w:lineRule="auto"/>
        <w:tabs>
          <w:tab w:leader="none" w:pos="2216" w:val="left"/>
        </w:tabs>
        <w:numPr>
          <w:ilvl w:val="1"/>
          <w:numId w:val="39"/>
        </w:numPr>
        <w:rPr>
          <w:rFonts w:ascii="Arial" w:cs="Arial" w:eastAsia="Arial" w:hAnsi="Arial"/>
          <w:sz w:val="18"/>
          <w:szCs w:val="18"/>
          <w:color w:val="auto"/>
        </w:rPr>
      </w:pPr>
      <w:r>
        <w:rPr>
          <w:rFonts w:ascii="Arial" w:cs="Arial" w:eastAsia="Arial" w:hAnsi="Arial"/>
          <w:sz w:val="18"/>
          <w:szCs w:val="18"/>
          <w:color w:val="auto"/>
        </w:rPr>
        <w:t>“Contingent Compensation Payment” shall mean any payment (or benefit) in the nature of compensation that is made or made available (under this Agreement or otherwise) to a “disqualified individual” (as defined in Section 280G(c) of the Code) and that is contingent (within the meaning of Section 280G(b)(2)(A)(i) of the Code) on a Change in Ownership or Control of the Company.</w:t>
      </w:r>
    </w:p>
    <w:p>
      <w:pPr>
        <w:spacing w:after="0" w:line="140" w:lineRule="exact"/>
        <w:rPr>
          <w:rFonts w:ascii="Arial" w:cs="Arial" w:eastAsia="Arial" w:hAnsi="Arial"/>
          <w:sz w:val="18"/>
          <w:szCs w:val="18"/>
          <w:color w:val="auto"/>
        </w:rPr>
      </w:pPr>
    </w:p>
    <w:p>
      <w:pPr>
        <w:ind w:left="2260" w:hanging="312"/>
        <w:spacing w:after="0"/>
        <w:tabs>
          <w:tab w:leader="none" w:pos="22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“Excess Parachute Payment” shall mean a payment described in Section 280G(b)(1) of the Code.</w:t>
      </w:r>
    </w:p>
    <w:p>
      <w:pPr>
        <w:spacing w:after="0" w:line="171" w:lineRule="exact"/>
        <w:rPr>
          <w:rFonts w:ascii="Arial" w:cs="Arial" w:eastAsia="Arial" w:hAnsi="Arial"/>
          <w:sz w:val="18"/>
          <w:szCs w:val="18"/>
          <w:color w:val="auto"/>
        </w:rPr>
      </w:pPr>
    </w:p>
    <w:p>
      <w:pPr>
        <w:jc w:val="both"/>
        <w:ind w:firstLine="1492"/>
        <w:spacing w:after="0" w:line="259" w:lineRule="auto"/>
        <w:tabs>
          <w:tab w:leader="none" w:pos="1746"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payments or other benefits otherwise due to the Executive following a Change in Ownership or Control that could reasonably be characterized (as determined by the Company) as Contingent Compensation Payments (the “Potential Payments”) shall not be made until the dates provided for in this Section 4.3(d).</w:t>
      </w:r>
    </w:p>
    <w:p>
      <w:pPr>
        <w:spacing w:after="0" w:line="59" w:lineRule="exact"/>
        <w:rPr>
          <w:rFonts w:ascii="Arial" w:cs="Arial" w:eastAsia="Arial" w:hAnsi="Arial"/>
          <w:sz w:val="18"/>
          <w:szCs w:val="18"/>
          <w:color w:val="auto"/>
        </w:rPr>
      </w:pPr>
    </w:p>
    <w:p>
      <w:pPr>
        <w:jc w:val="both"/>
        <w:ind w:firstLine="1948"/>
        <w:spacing w:after="0" w:line="253" w:lineRule="auto"/>
        <w:tabs>
          <w:tab w:leader="none" w:pos="2179" w:val="left"/>
        </w:tabs>
        <w:numPr>
          <w:ilvl w:val="1"/>
          <w:numId w:val="39"/>
        </w:numPr>
        <w:rPr>
          <w:rFonts w:ascii="Arial" w:cs="Arial" w:eastAsia="Arial" w:hAnsi="Arial"/>
          <w:sz w:val="18"/>
          <w:szCs w:val="18"/>
          <w:color w:val="auto"/>
        </w:rPr>
      </w:pPr>
      <w:r>
        <w:rPr>
          <w:rFonts w:ascii="Arial" w:cs="Arial" w:eastAsia="Arial" w:hAnsi="Arial"/>
          <w:sz w:val="18"/>
          <w:szCs w:val="18"/>
          <w:color w:val="auto"/>
        </w:rPr>
        <w:t>In the event that the Company undergoes a Change in Ownership or Control, and the Executive becomes entitled to receive Contingent Compensation Payments relating to such Change in Ownership or Control, the Company shall (A) determine at such time or times as may be necessary to comply with the requirements under Section 280G of the Code whether such Contingent Compensation Payments constitute in whole or in part Excess Parachute Payments and (B) in the event the Company determines that such Contingent Compensation Payments constitute in whole or in part Excess Parachute Payments, notify the Executive (within 30 days after each such determination and with reasonable detail regarding the basis for its determinations) of the following: (1) which Potential Payments constitute Contingent Compensation Payments, (2) the Eliminated Amount and (3) whether the Section 4.3(b) Override is applicable.</w:t>
      </w:r>
    </w:p>
    <w:p>
      <w:pPr>
        <w:spacing w:after="0" w:line="147" w:lineRule="exact"/>
        <w:rPr>
          <w:rFonts w:ascii="Arial" w:cs="Arial" w:eastAsia="Arial" w:hAnsi="Arial"/>
          <w:sz w:val="18"/>
          <w:szCs w:val="18"/>
          <w:color w:val="auto"/>
        </w:rPr>
      </w:pPr>
    </w:p>
    <w:p>
      <w:pPr>
        <w:jc w:val="both"/>
        <w:ind w:firstLine="1948"/>
        <w:spacing w:after="0" w:line="256" w:lineRule="auto"/>
        <w:tabs>
          <w:tab w:leader="none" w:pos="2233" w:val="left"/>
        </w:tabs>
        <w:numPr>
          <w:ilvl w:val="1"/>
          <w:numId w:val="39"/>
        </w:numPr>
        <w:rPr>
          <w:rFonts w:ascii="Arial" w:cs="Arial" w:eastAsia="Arial" w:hAnsi="Arial"/>
          <w:sz w:val="18"/>
          <w:szCs w:val="18"/>
          <w:color w:val="auto"/>
        </w:rPr>
      </w:pPr>
      <w:r>
        <w:rPr>
          <w:rFonts w:ascii="Arial" w:cs="Arial" w:eastAsia="Arial" w:hAnsi="Arial"/>
          <w:sz w:val="18"/>
          <w:szCs w:val="18"/>
          <w:color w:val="auto"/>
        </w:rPr>
        <w:t>Within 30 days after delivery of such notice to the Executive, the Executive shall deliver a response to the Company (the “Executive Response”) stating either (A) that he agrees with the Company’s determination pursuant to the preceding sentence, or (B) that he disagrees with such determination, in which case he shall set forth (1) which Potential Payments should be characterized as Contingent Compensation Payments, (2) the Eliminated Amount, or (3) whether the Section 4.3(b) Override is applicable.</w:t>
      </w:r>
    </w:p>
    <w:p>
      <w:pPr>
        <w:spacing w:after="0" w:line="143" w:lineRule="exact"/>
        <w:rPr>
          <w:rFonts w:ascii="Arial" w:cs="Arial" w:eastAsia="Arial" w:hAnsi="Arial"/>
          <w:sz w:val="18"/>
          <w:szCs w:val="18"/>
          <w:color w:val="auto"/>
        </w:rPr>
      </w:pPr>
    </w:p>
    <w:p>
      <w:pPr>
        <w:ind w:right="20" w:firstLine="1948"/>
        <w:spacing w:after="0" w:line="332" w:lineRule="auto"/>
        <w:tabs>
          <w:tab w:leader="none" w:pos="2260" w:val="left"/>
        </w:tabs>
        <w:numPr>
          <w:ilvl w:val="1"/>
          <w:numId w:val="39"/>
        </w:numPr>
        <w:rPr>
          <w:rFonts w:ascii="Arial" w:cs="Arial" w:eastAsia="Arial" w:hAnsi="Arial"/>
          <w:sz w:val="16"/>
          <w:szCs w:val="16"/>
          <w:color w:val="auto"/>
        </w:rPr>
      </w:pPr>
      <w:r>
        <w:rPr>
          <w:rFonts w:ascii="Arial" w:cs="Arial" w:eastAsia="Arial" w:hAnsi="Arial"/>
          <w:sz w:val="16"/>
          <w:szCs w:val="16"/>
          <w:color w:val="auto"/>
        </w:rPr>
        <w:t>If and to the extent that any Contingent Compensation Payments are required to be treated as Eliminated Payments pursuant to this Section 4.3, then the Payments shall be reduced or eliminated, as determined by the Company, in the following order:</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41" w:name="page42"/>
    <w:bookmarkEnd w:id="41"/>
    <w:p>
      <w:pPr>
        <w:jc w:val="both"/>
        <w:ind w:firstLine="8"/>
        <w:spacing w:after="0" w:line="259" w:lineRule="auto"/>
        <w:tabs>
          <w:tab w:leader="none" w:pos="292"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cash payments, (B) any taxable benefits, (C) any nontaxable benefits, and (D) any vesting of equity awards, in each case in reverse order beginning with payments or benefits that are to be paid the farthest in time from the date that triggers the applicability of the excise tax, to the extent necessary to maximize the Eliminated Payments.</w:t>
      </w:r>
    </w:p>
    <w:p>
      <w:pPr>
        <w:spacing w:after="0" w:line="140" w:lineRule="exact"/>
        <w:rPr>
          <w:rFonts w:ascii="Arial" w:cs="Arial" w:eastAsia="Arial" w:hAnsi="Arial"/>
          <w:sz w:val="18"/>
          <w:szCs w:val="18"/>
          <w:color w:val="auto"/>
        </w:rPr>
      </w:pPr>
    </w:p>
    <w:p>
      <w:pPr>
        <w:jc w:val="both"/>
        <w:ind w:firstLine="1948"/>
        <w:spacing w:after="0" w:line="256" w:lineRule="auto"/>
        <w:tabs>
          <w:tab w:leader="none" w:pos="2244" w:val="left"/>
        </w:tabs>
        <w:numPr>
          <w:ilvl w:val="1"/>
          <w:numId w:val="40"/>
        </w:numPr>
        <w:rPr>
          <w:rFonts w:ascii="Arial" w:cs="Arial" w:eastAsia="Arial" w:hAnsi="Arial"/>
          <w:sz w:val="18"/>
          <w:szCs w:val="18"/>
          <w:color w:val="auto"/>
        </w:rPr>
      </w:pPr>
      <w:r>
        <w:rPr>
          <w:rFonts w:ascii="Arial" w:cs="Arial" w:eastAsia="Arial" w:hAnsi="Arial"/>
          <w:sz w:val="18"/>
          <w:szCs w:val="18"/>
          <w:color w:val="auto"/>
        </w:rPr>
        <w:t>If the Executive fails to deliver an Executive Response on or before the required date, the Company’s initial determinations shall be final, and the Company shall make the Potential Payments (other than the Eliminated Payments) to the Executive within 10 business days following the due date for delivery to the Company of the Executive Response (except for any Potential Payments which are not due to be made until after such date, which Potential Payments shall be made on the date on which they are due).</w:t>
      </w:r>
    </w:p>
    <w:p>
      <w:pPr>
        <w:spacing w:after="0" w:line="143" w:lineRule="exact"/>
        <w:rPr>
          <w:rFonts w:ascii="Arial" w:cs="Arial" w:eastAsia="Arial" w:hAnsi="Arial"/>
          <w:sz w:val="18"/>
          <w:szCs w:val="18"/>
          <w:color w:val="auto"/>
        </w:rPr>
      </w:pPr>
    </w:p>
    <w:p>
      <w:pPr>
        <w:jc w:val="both"/>
        <w:ind w:firstLine="1948"/>
        <w:spacing w:after="0" w:line="255" w:lineRule="auto"/>
        <w:tabs>
          <w:tab w:leader="none" w:pos="2222" w:val="left"/>
        </w:tabs>
        <w:numPr>
          <w:ilvl w:val="1"/>
          <w:numId w:val="40"/>
        </w:numPr>
        <w:rPr>
          <w:rFonts w:ascii="Arial" w:cs="Arial" w:eastAsia="Arial" w:hAnsi="Arial"/>
          <w:sz w:val="18"/>
          <w:szCs w:val="18"/>
          <w:color w:val="auto"/>
        </w:rPr>
      </w:pPr>
      <w:r>
        <w:rPr>
          <w:rFonts w:ascii="Arial" w:cs="Arial" w:eastAsia="Arial" w:hAnsi="Arial"/>
          <w:sz w:val="18"/>
          <w:szCs w:val="18"/>
          <w:color w:val="auto"/>
        </w:rPr>
        <w:t>If the Executive states in the Executive Response that he agrees with the Company’s determinations, the Company’s initial determinations shall be final, the Contingent Compensation Payments that shall be treated as Eliminated Payments shall be as set forth in the Executive Response, and the Company shall make the Potential Payments (other than the Eliminated Payments) to the Executive within 10 business days following delivery to the Company of the Executive Response (except for any Potential Payments which are not due to be made until after such date, which Potential Payments shall be made on the date on which they are due).</w:t>
      </w:r>
    </w:p>
    <w:p>
      <w:pPr>
        <w:spacing w:after="0" w:line="142" w:lineRule="exact"/>
        <w:rPr>
          <w:rFonts w:ascii="Arial" w:cs="Arial" w:eastAsia="Arial" w:hAnsi="Arial"/>
          <w:sz w:val="18"/>
          <w:szCs w:val="18"/>
          <w:color w:val="auto"/>
        </w:rPr>
      </w:pPr>
    </w:p>
    <w:p>
      <w:pPr>
        <w:jc w:val="both"/>
        <w:ind w:firstLine="1948"/>
        <w:spacing w:after="0" w:line="289" w:lineRule="auto"/>
        <w:tabs>
          <w:tab w:leader="none" w:pos="2249" w:val="left"/>
        </w:tabs>
        <w:numPr>
          <w:ilvl w:val="1"/>
          <w:numId w:val="40"/>
        </w:numPr>
        <w:rPr>
          <w:rFonts w:ascii="Arial" w:cs="Arial" w:eastAsia="Arial" w:hAnsi="Arial"/>
          <w:sz w:val="16"/>
          <w:szCs w:val="16"/>
          <w:color w:val="auto"/>
        </w:rPr>
      </w:pPr>
      <w:r>
        <w:rPr>
          <w:rFonts w:ascii="Arial" w:cs="Arial" w:eastAsia="Arial" w:hAnsi="Arial"/>
          <w:sz w:val="16"/>
          <w:szCs w:val="16"/>
          <w:color w:val="auto"/>
        </w:rPr>
        <w:t>If the Executive states in the Executive Response that he disagrees with the Company’s determinations, then, for a period of 60 days following delivery of the Executive Response, the Executive and the Company shall use good faith efforts to resolve such dispute. If such dispute is not resolved within such 60-day period, such dispute shall be settled exclusively by arbitration in Boston, Massachusetts, in accordance with the rules of the American Arbitration Association then in effect. Judgment may be entered on the arbitrator’s award in any court having jurisdiction. The Company shall, within 10 business days following delivery to the Company of the Executive Response, make to the Executive those Potential Payments as to which there is no dispute between the Company and the Executive regarding whether they should be made (except for any such Potential Payments which are not due to be made until after such date, which Potential Payments shall be made on the date on which they are due). The balance of the Potential Payments (other than Eliminated Payments) shall be made within 10 business days following the resolution of such dispute.</w:t>
      </w:r>
    </w:p>
    <w:p>
      <w:pPr>
        <w:spacing w:after="0" w:line="118" w:lineRule="exact"/>
        <w:rPr>
          <w:rFonts w:ascii="Arial" w:cs="Arial" w:eastAsia="Arial" w:hAnsi="Arial"/>
          <w:sz w:val="16"/>
          <w:szCs w:val="16"/>
          <w:color w:val="auto"/>
        </w:rPr>
      </w:pPr>
    </w:p>
    <w:p>
      <w:pPr>
        <w:jc w:val="both"/>
        <w:ind w:firstLine="1948"/>
        <w:spacing w:after="0" w:line="259" w:lineRule="auto"/>
        <w:tabs>
          <w:tab w:leader="none" w:pos="2297" w:val="left"/>
        </w:tabs>
        <w:numPr>
          <w:ilvl w:val="1"/>
          <w:numId w:val="40"/>
        </w:numPr>
        <w:rPr>
          <w:rFonts w:ascii="Arial" w:cs="Arial" w:eastAsia="Arial" w:hAnsi="Arial"/>
          <w:sz w:val="18"/>
          <w:szCs w:val="18"/>
          <w:color w:val="auto"/>
        </w:rPr>
      </w:pPr>
      <w:r>
        <w:rPr>
          <w:rFonts w:ascii="Arial" w:cs="Arial" w:eastAsia="Arial" w:hAnsi="Arial"/>
          <w:sz w:val="18"/>
          <w:szCs w:val="18"/>
          <w:color w:val="auto"/>
        </w:rPr>
        <w:t>Subject to the limitations contained in Sections 4.3(a) and (b) hereof, the amount of any payments to be made to the Executive following the resolution of such dispute shall be increased by amount of the accrued interest thereon computed at the prime rate announced from time to time by Bank of America, compounded monthly from the date that such payments originally were due.</w:t>
      </w:r>
    </w:p>
    <w:p>
      <w:pPr>
        <w:spacing w:after="0" w:line="140" w:lineRule="exact"/>
        <w:rPr>
          <w:rFonts w:ascii="Arial" w:cs="Arial" w:eastAsia="Arial" w:hAnsi="Arial"/>
          <w:sz w:val="18"/>
          <w:szCs w:val="18"/>
          <w:color w:val="auto"/>
        </w:rPr>
      </w:pPr>
    </w:p>
    <w:p>
      <w:pPr>
        <w:jc w:val="both"/>
        <w:ind w:firstLine="1948"/>
        <w:spacing w:after="0" w:line="298" w:lineRule="auto"/>
        <w:tabs>
          <w:tab w:leader="none" w:pos="2353" w:val="left"/>
        </w:tabs>
        <w:numPr>
          <w:ilvl w:val="1"/>
          <w:numId w:val="40"/>
        </w:numPr>
        <w:rPr>
          <w:rFonts w:ascii="Arial" w:cs="Arial" w:eastAsia="Arial" w:hAnsi="Arial"/>
          <w:sz w:val="16"/>
          <w:szCs w:val="16"/>
          <w:color w:val="auto"/>
        </w:rPr>
      </w:pPr>
      <w:r>
        <w:rPr>
          <w:rFonts w:ascii="Arial" w:cs="Arial" w:eastAsia="Arial" w:hAnsi="Arial"/>
          <w:sz w:val="16"/>
          <w:szCs w:val="16"/>
          <w:color w:val="auto"/>
        </w:rPr>
        <w:t>In the event the Company is required to perform a redetermination in accordance with Treas. Reg. 1.280G-1 Q/A-33(b) with respect to any Contingent Compensation Payments, this Section 4.3(d) shall apply with respect to such redetermination and the parties shall make such adjustments as may be necessary as a result of such redetermination including, if appropriate, the payment by the Company of Contingent Compensation Payments previously treated as Eliminated Payments if the Section 4.3(b) Override applies as a result of such redetermination.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42" w:name="page43"/>
    <w:bookmarkEnd w:id="42"/>
    <w:p>
      <w:pPr>
        <w:ind w:firstLine="1492"/>
        <w:spacing w:after="0" w:line="332" w:lineRule="auto"/>
        <w:tabs>
          <w:tab w:leader="none" w:pos="1752" w:val="left"/>
        </w:tabs>
        <w:numPr>
          <w:ilvl w:val="0"/>
          <w:numId w:val="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provisions of this Section 4.3 are intended to apply to any and all payments or benefits available to the Executive under this Agreement or any other agreement or plan of the Company under which the Executive receives Contingent Compensation Payments.</w:t>
      </w:r>
    </w:p>
    <w:p>
      <w:pPr>
        <w:spacing w:after="0" w:line="4" w:lineRule="exact"/>
        <w:rPr>
          <w:sz w:val="20"/>
          <w:szCs w:val="20"/>
          <w:color w:val="auto"/>
        </w:rPr>
      </w:pPr>
    </w:p>
    <w:p>
      <w:pPr>
        <w:jc w:val="both"/>
        <w:ind w:firstLine="913"/>
        <w:spacing w:after="0" w:line="273"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Release</w:t>
      </w:r>
      <w:r>
        <w:rPr>
          <w:rFonts w:ascii="Arial" w:cs="Arial" w:eastAsia="Arial" w:hAnsi="Arial"/>
          <w:sz w:val="16"/>
          <w:szCs w:val="16"/>
          <w:color w:val="auto"/>
        </w:rPr>
        <w:t xml:space="preserve">. The obligation of the Company to make the payments and provide the benefits to the Executive under Section 4.1(a), Section 4.2(a) or Section 4.2(b) is conditioned upon the Executive signing a release of claims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or such other form as may be agreed to by the Company and the Executive (the “Employee Release”), within 21 days (the “Release Period”) following the Date of Termination, and upon the Executive not revoking the Employee Release in a timely manner thereafter. Provided that the Employee Release has become binding, the payments to the Executive under</w:t>
      </w:r>
    </w:p>
    <w:p>
      <w:pPr>
        <w:jc w:val="both"/>
        <w:spacing w:after="0" w:line="230" w:lineRule="auto"/>
        <w:rPr>
          <w:sz w:val="20"/>
          <w:szCs w:val="20"/>
          <w:color w:val="auto"/>
        </w:rPr>
      </w:pPr>
      <w:r>
        <w:rPr>
          <w:rFonts w:ascii="Arial" w:cs="Arial" w:eastAsia="Arial" w:hAnsi="Arial"/>
          <w:sz w:val="18"/>
          <w:szCs w:val="18"/>
          <w:color w:val="auto"/>
        </w:rPr>
        <w:t>Section 4.1(a), Section 4.2(a) or Section 4.2(b) shall be payable or shall commence on the 30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following the Date of Termination. Notwithstanding the foregoing, the provisions of benefits under Section 4.1(a)(iii), Section 4.2(a)(iii) or Section 4.2(b)(iii) shall continue during the Release Period and any applicable revocation period.</w:t>
      </w:r>
    </w:p>
    <w:p>
      <w:pPr>
        <w:spacing w:after="0" w:line="185"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Exclusive Severance Benefits</w:t>
      </w:r>
      <w:r>
        <w:rPr>
          <w:rFonts w:ascii="Arial" w:cs="Arial" w:eastAsia="Arial" w:hAnsi="Arial"/>
          <w:sz w:val="18"/>
          <w:szCs w:val="18"/>
          <w:color w:val="auto"/>
        </w:rPr>
        <w:t>. The making of the payments and the provision of the benefits by the Company to the Executive under Section 4.1(a), Section 4.2(a) or Section 4.2(b) shall constitute the entire obligation of the Company to the Executive as a result of the termination of his employment under the circumstances set forth in such Sections, and the Executive shall not be entitled to additional payments or benefits under any other plan, program, policy, practice, contract or agreement of the Company or its subsidiaries.</w:t>
      </w:r>
    </w:p>
    <w:p>
      <w:pPr>
        <w:spacing w:after="0" w:line="143"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Mitigation</w:t>
      </w:r>
      <w:r>
        <w:rPr>
          <w:rFonts w:ascii="Arial" w:cs="Arial" w:eastAsia="Arial" w:hAnsi="Arial"/>
          <w:sz w:val="18"/>
          <w:szCs w:val="18"/>
          <w:color w:val="auto"/>
        </w:rPr>
        <w:t>. The Executive shall not be required to mitigate the amount of any payment or benefits provided for in Section 4.1(a), Section 4.2(a) or Section 4.2(b) by seeking other employment or otherwise. Further, except as provided in Section 4.1(a)(iii), Section 4.2(a)(iii) or Section 4.2(b)(iii), the amount of any payment or benefits provided for in Section 4.1(a), Section 4.2(a) or Section 4.2(b) shall not be reduced by any compensation earned or benefits received by the Executive as a result of employment by another employer.</w:t>
      </w:r>
    </w:p>
    <w:p>
      <w:pPr>
        <w:spacing w:after="0" w:line="143"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Section 409A</w:t>
      </w:r>
      <w:r>
        <w:rPr>
          <w:rFonts w:ascii="Arial" w:cs="Arial" w:eastAsia="Arial" w:hAnsi="Arial"/>
          <w:sz w:val="16"/>
          <w:szCs w:val="16"/>
          <w:color w:val="auto"/>
        </w:rPr>
        <w:t>. Subject to this Section 4.7, any severance payments or benefits under this Agreement shall begin only upon the date of the Executive’s “separation from service” (as determined below), which occurs on or after the date of the Executive’s termination. The following rules shall apply with respect to distribution of the payments and benefits, if any, to be provided to the Executive under Sections 4.1 or 4.2, as applicable:</w:t>
      </w:r>
    </w:p>
    <w:p>
      <w:pPr>
        <w:spacing w:after="0" w:line="26" w:lineRule="exact"/>
        <w:rPr>
          <w:sz w:val="20"/>
          <w:szCs w:val="20"/>
          <w:color w:val="auto"/>
        </w:rPr>
      </w:pPr>
    </w:p>
    <w:p>
      <w:pPr>
        <w:jc w:val="both"/>
        <w:ind w:firstLine="1492"/>
        <w:spacing w:after="0" w:line="256" w:lineRule="auto"/>
        <w:tabs>
          <w:tab w:leader="none" w:pos="1748" w:val="left"/>
        </w:tabs>
        <w:numPr>
          <w:ilvl w:val="0"/>
          <w:numId w:val="42"/>
        </w:numPr>
        <w:rPr>
          <w:rFonts w:ascii="Arial" w:cs="Arial" w:eastAsia="Arial" w:hAnsi="Arial"/>
          <w:sz w:val="18"/>
          <w:szCs w:val="18"/>
          <w:color w:val="auto"/>
        </w:rPr>
      </w:pPr>
      <w:r>
        <w:rPr>
          <w:rFonts w:ascii="Arial" w:cs="Arial" w:eastAsia="Arial" w:hAnsi="Arial"/>
          <w:sz w:val="18"/>
          <w:szCs w:val="18"/>
          <w:color w:val="auto"/>
        </w:rPr>
        <w:t>It is intended that each installment of the payments and benefits provided under Sections 4.1 and 4.2 shall be treated as a separate “payment” for purposes of Section 409A of the U.S. Internal Revenue Code of 1986, as amended, and the guidance issued thereunder (“Section 409A”). Neither the Company nor the Executive shall have the right to accelerate or defer the delivery of any such payments or benefits except to the extent specifically permitted or required by Section 409A;</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43" w:name="page44"/>
    <w:bookmarkEnd w:id="43"/>
    <w:p>
      <w:pPr>
        <w:jc w:val="both"/>
        <w:ind w:firstLine="1492"/>
        <w:spacing w:after="0" w:line="259" w:lineRule="auto"/>
        <w:tabs>
          <w:tab w:leader="none" w:pos="1739"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as of the date of the “separation from service” of the Executive from the Company (within the meaning of Section 4.7(d) below), the Executive is not a “specified employee” (within the meaning of Section 409A), then each installment of the payments and benefits shall be made on the dates and terms set forth in Sections 4.1 or 4.2, as applicable; and</w:t>
      </w:r>
    </w:p>
    <w:p>
      <w:pPr>
        <w:spacing w:after="0" w:line="140" w:lineRule="exact"/>
        <w:rPr>
          <w:rFonts w:ascii="Arial" w:cs="Arial" w:eastAsia="Arial" w:hAnsi="Arial"/>
          <w:sz w:val="18"/>
          <w:szCs w:val="18"/>
          <w:color w:val="auto"/>
        </w:rPr>
      </w:pPr>
    </w:p>
    <w:p>
      <w:pPr>
        <w:ind w:left="1740" w:hanging="248"/>
        <w:spacing w:after="0"/>
        <w:tabs>
          <w:tab w:leader="none" w:pos="17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If, as of the date of the separation from service of the Executive from the Company, the Executive is a specified employee, then:</w:t>
      </w:r>
    </w:p>
    <w:p>
      <w:pPr>
        <w:spacing w:after="0" w:line="113" w:lineRule="exact"/>
        <w:rPr>
          <w:rFonts w:ascii="Arial" w:cs="Arial" w:eastAsia="Arial" w:hAnsi="Arial"/>
          <w:sz w:val="16"/>
          <w:szCs w:val="16"/>
          <w:color w:val="auto"/>
        </w:rPr>
      </w:pPr>
    </w:p>
    <w:p>
      <w:pPr>
        <w:jc w:val="both"/>
        <w:ind w:firstLine="1948"/>
        <w:spacing w:after="0" w:line="256" w:lineRule="auto"/>
        <w:tabs>
          <w:tab w:leader="none" w:pos="2158" w:val="left"/>
        </w:tabs>
        <w:numPr>
          <w:ilvl w:val="1"/>
          <w:numId w:val="43"/>
        </w:numPr>
        <w:rPr>
          <w:rFonts w:ascii="Arial" w:cs="Arial" w:eastAsia="Arial" w:hAnsi="Arial"/>
          <w:sz w:val="18"/>
          <w:szCs w:val="18"/>
          <w:color w:val="auto"/>
        </w:rPr>
      </w:pPr>
      <w:r>
        <w:rPr>
          <w:rFonts w:ascii="Arial" w:cs="Arial" w:eastAsia="Arial" w:hAnsi="Arial"/>
          <w:sz w:val="18"/>
          <w:szCs w:val="18"/>
          <w:color w:val="auto"/>
        </w:rPr>
        <w:t>Each installment of the payments and benefits due under Sections 4.1 or 4.2 that, in accordance with the dates and terms set forth herein, will in all circumstances, regardless of when the separation from service occurs, be paid within the short-term deferral period (as defined under Section 409A) shall be treated as a short-term deferral within the meaning of Treasury Regulation Section 1.409A-1(b)(4) to the maximum extent permissible under Section 409A; and</w:t>
      </w:r>
    </w:p>
    <w:p>
      <w:pPr>
        <w:spacing w:after="0" w:line="143" w:lineRule="exact"/>
        <w:rPr>
          <w:rFonts w:ascii="Arial" w:cs="Arial" w:eastAsia="Arial" w:hAnsi="Arial"/>
          <w:sz w:val="18"/>
          <w:szCs w:val="18"/>
          <w:color w:val="auto"/>
        </w:rPr>
      </w:pPr>
    </w:p>
    <w:p>
      <w:pPr>
        <w:jc w:val="both"/>
        <w:ind w:firstLine="1948"/>
        <w:spacing w:after="0" w:line="287" w:lineRule="auto"/>
        <w:tabs>
          <w:tab w:leader="none" w:pos="2208" w:val="left"/>
        </w:tabs>
        <w:numPr>
          <w:ilvl w:val="1"/>
          <w:numId w:val="43"/>
        </w:numPr>
        <w:rPr>
          <w:rFonts w:ascii="Arial" w:cs="Arial" w:eastAsia="Arial" w:hAnsi="Arial"/>
          <w:sz w:val="16"/>
          <w:szCs w:val="16"/>
          <w:color w:val="auto"/>
        </w:rPr>
      </w:pPr>
      <w:r>
        <w:rPr>
          <w:rFonts w:ascii="Arial" w:cs="Arial" w:eastAsia="Arial" w:hAnsi="Arial"/>
          <w:sz w:val="16"/>
          <w:szCs w:val="16"/>
          <w:color w:val="auto"/>
        </w:rPr>
        <w:t xml:space="preserve">Each installment of the payments and benefits due under Sections 4.1 or 4.2 that is not described in Section 4.7(c)(i), above, and that would, absent this subsection, be paid within the six-month period following the separation from service of the Executive from the Company shall not be paid until the date that is six months and one day after such separation from service (or, if earlier, the Executive’s death), with any such installments that are required to be delayed being accumulated during the six-month period and paid in a lump sum on the date that is six months and one day following the Executive’s separation from service and any subsequent installments, if any, being paid in accordance with the dates and terms set forth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preceding provisions of this sentence shall not apply to any installment of payments and benefits if and to the maximum extent that such installment is deemed to be paid under a separation pay plan that does not provide for a deferral of compensation by reason of the application of Treasury Regulation 1.409A-1(b)(9)(iii) (relating to separation pay upon an involuntary separation from service). Any installments that qualify for the exception under Treasury Regulation Section 1.409A-1(b)(9)(iii) must be paid no later than the last day of the Executive’s second taxable year following his taxable year in which the separation from service occurs.</w:t>
      </w:r>
    </w:p>
    <w:p>
      <w:pPr>
        <w:spacing w:after="0" w:line="122" w:lineRule="exact"/>
        <w:rPr>
          <w:rFonts w:ascii="Arial" w:cs="Arial" w:eastAsia="Arial" w:hAnsi="Arial"/>
          <w:sz w:val="16"/>
          <w:szCs w:val="16"/>
          <w:color w:val="auto"/>
        </w:rPr>
      </w:pPr>
    </w:p>
    <w:p>
      <w:pPr>
        <w:jc w:val="both"/>
        <w:ind w:firstLine="1492"/>
        <w:spacing w:after="0" w:line="306" w:lineRule="auto"/>
        <w:tabs>
          <w:tab w:leader="none" w:pos="1758"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determination of whether and when a separation from service from the Company has occurred shall be made and in a manner consistent with, and based on the presumptions set forth in, Treasury Regulation Section 1.409A-1(h). Solely for purposes of this Section 4.7(d), “Company” shall include all persons with whom the Company would be considered a single employer as determined under Treasury Regulation Section 1.409A-1(h)(3).</w:t>
      </w:r>
    </w:p>
    <w:p>
      <w:pPr>
        <w:spacing w:after="0" w:line="106" w:lineRule="exact"/>
        <w:rPr>
          <w:rFonts w:ascii="Arial" w:cs="Arial" w:eastAsia="Arial" w:hAnsi="Arial"/>
          <w:sz w:val="16"/>
          <w:szCs w:val="16"/>
          <w:color w:val="auto"/>
        </w:rPr>
      </w:pPr>
    </w:p>
    <w:p>
      <w:pPr>
        <w:jc w:val="both"/>
        <w:ind w:firstLine="1492"/>
        <w:spacing w:after="0" w:line="291" w:lineRule="auto"/>
        <w:tabs>
          <w:tab w:leader="none" w:pos="1722" w:val="left"/>
        </w:tabs>
        <w:numPr>
          <w:ilvl w:val="0"/>
          <w:numId w:val="43"/>
        </w:numPr>
        <w:rPr>
          <w:rFonts w:ascii="Arial" w:cs="Arial" w:eastAsia="Arial" w:hAnsi="Arial"/>
          <w:sz w:val="16"/>
          <w:szCs w:val="16"/>
          <w:color w:val="auto"/>
        </w:rPr>
      </w:pPr>
      <w:r>
        <w:rPr>
          <w:rFonts w:ascii="Arial" w:cs="Arial" w:eastAsia="Arial" w:hAnsi="Arial"/>
          <w:sz w:val="16"/>
          <w:szCs w:val="16"/>
          <w:color w:val="auto"/>
        </w:rPr>
        <w:t>All reimbursements and in-kind benefits provided under the Agreement shall be made or provided in accordance with the requirements of Section 409A to the extent that such reimbursements or in-kind benefits are subject to Section 409A, including, where applicable, the requirement that (i) any reimbursement is for expenses incurred during the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44" w:name="page45"/>
    <w:bookmarkEnd w:id="44"/>
    <w:p>
      <w:pPr>
        <w:jc w:val="both"/>
        <w:ind w:firstLine="1492"/>
        <w:spacing w:after="0" w:line="259" w:lineRule="auto"/>
        <w:tabs>
          <w:tab w:leader="none" w:pos="1713" w:val="left"/>
        </w:tabs>
        <w:numPr>
          <w:ilvl w:val="1"/>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makes no representation or warranty and shall have no liability to the Executive or any other person if any provisions of this Agreement are determined to constitute deferred compensation subject to Section 409A and do not satisfy an exemption from, or the conditions of, Section 409A.</w:t>
      </w:r>
    </w:p>
    <w:p>
      <w:pPr>
        <w:spacing w:after="0" w:line="140" w:lineRule="exact"/>
        <w:rPr>
          <w:rFonts w:ascii="Arial" w:cs="Arial" w:eastAsia="Arial" w:hAnsi="Arial"/>
          <w:sz w:val="18"/>
          <w:szCs w:val="18"/>
          <w:color w:val="auto"/>
        </w:rPr>
      </w:pPr>
    </w:p>
    <w:p>
      <w:pPr>
        <w:jc w:val="both"/>
        <w:ind w:firstLine="464"/>
        <w:spacing w:after="0" w:line="255" w:lineRule="auto"/>
        <w:tabs>
          <w:tab w:leader="none" w:pos="632"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Settlement of Disputes; Arbitration</w:t>
      </w:r>
      <w:r>
        <w:rPr>
          <w:rFonts w:ascii="Arial" w:cs="Arial" w:eastAsia="Arial" w:hAnsi="Arial"/>
          <w:sz w:val="18"/>
          <w:szCs w:val="18"/>
          <w:color w:val="auto"/>
        </w:rPr>
        <w:t>. All claims by the Executive for benefits under this Agreement shall be directed to the Board and shall be in writing. Any denial by the Board of a claim for benefits under this Agreement shall be delivered to the Executive in writing and shall set forth the reasons for the denial and the provisions of this Agreement relied upon. Any further dispute or controversy arising under or in connection with this Agreement shall be settled exclusively by arbitration in Boston, Massachusetts, in accordance with the rules of the American Arbitration Association then in effect. Judgment may be entered on the arbitrator’s award in any court having jurisdiction.</w:t>
      </w:r>
    </w:p>
    <w:p>
      <w:pPr>
        <w:spacing w:after="0" w:line="142" w:lineRule="exact"/>
        <w:rPr>
          <w:rFonts w:ascii="Arial" w:cs="Arial" w:eastAsia="Arial" w:hAnsi="Arial"/>
          <w:sz w:val="18"/>
          <w:szCs w:val="18"/>
          <w:color w:val="auto"/>
        </w:rPr>
      </w:pPr>
    </w:p>
    <w:p>
      <w:pPr>
        <w:ind w:left="640" w:hanging="17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Successors</w:t>
      </w:r>
      <w:r>
        <w:rPr>
          <w:rFonts w:ascii="Arial" w:cs="Arial" w:eastAsia="Arial" w:hAnsi="Arial"/>
          <w:sz w:val="18"/>
          <w:szCs w:val="18"/>
          <w:color w:val="auto"/>
        </w:rPr>
        <w:t>. This Agreement shall be binding upon the Company and its successors and assigns. This Agreement shall inure to the benefit of and be enforceable by the Executive’s personal or legal representatives, executors, administrators, successors, heirs, distributees, devisees and legatees. If the Executive should die while any amount would still be payable to the Executive or his family hereunder if the Executive had continued to live, all such amounts, unless otherwise provided herein, shall be paid in accordance with the terms of this Agreement to the executors, personal representatives or administrators of the Executive’s estate.</w:t>
      </w:r>
    </w:p>
    <w:p>
      <w:pPr>
        <w:spacing w:after="0" w:line="143" w:lineRule="exact"/>
        <w:rPr>
          <w:sz w:val="20"/>
          <w:szCs w:val="20"/>
          <w:color w:val="auto"/>
        </w:rPr>
      </w:pPr>
    </w:p>
    <w:p>
      <w:pPr>
        <w:jc w:val="both"/>
        <w:ind w:firstLine="913"/>
        <w:spacing w:after="0" w:line="289"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Notice</w:t>
      </w:r>
      <w:r>
        <w:rPr>
          <w:rFonts w:ascii="Arial" w:cs="Arial" w:eastAsia="Arial" w:hAnsi="Arial"/>
          <w:sz w:val="16"/>
          <w:szCs w:val="16"/>
          <w:color w:val="auto"/>
        </w:rPr>
        <w:t>. All notices, instructions and other communications given hereunder or in connection herewith shall be in writing. Any such notice, instruction or communication shall be sent either (i) by registered or certified mail, return receipt requested, postage prepaid, or (ii) prepaid via a reputable nationwide overnight courier service, in each case addressed to the Company, at 64 Jackson Road, Devens, Massachusetts 01434, and to the Executive at the Executive’s address indicated on the signature page of this Agreement (or to such other address as either the Company or the Executive may have furnished to the other in writing in accordance herewith). Any such notice, instruction or communication shall be deemed to have been delivered five business days after it is sent by registered or certified mail, return receipt requested, postage prepaid, or one business day after it is sent via a reputable nationwide overnight courier service. Either party may give any notice, instruction or other communication hereunder using any other means, but no such notice, instruction or other communication shall be deemed to have been duly delivered unless and until it actually is received by the party for whom it is intended.</w:t>
      </w:r>
    </w:p>
    <w:p>
      <w:pPr>
        <w:spacing w:after="0" w:line="118"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Employment by Subsidiary</w:t>
      </w:r>
      <w:r>
        <w:rPr>
          <w:rFonts w:ascii="Arial" w:cs="Arial" w:eastAsia="Arial" w:hAnsi="Arial"/>
          <w:sz w:val="18"/>
          <w:szCs w:val="18"/>
          <w:color w:val="auto"/>
        </w:rPr>
        <w:t>. For purposes of this Agreement, the Executive’s employment with the Company shall not be deemed to have terminated solely as a result of the Executive continuing to be employed by a wholly-owned subsidiary of the Company.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45" w:name="page46"/>
    <w:bookmarkEnd w:id="45"/>
    <w:p>
      <w:pPr>
        <w:jc w:val="both"/>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6.4 </w:t>
      </w: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of this Agreement shall not affect the validity or enforceability of any other provision of this Agreement, which shall remain in full force and effect.</w:t>
      </w:r>
    </w:p>
    <w:p>
      <w:pPr>
        <w:spacing w:after="0" w:line="132"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interpretation, construction and performance of this Agreement shall be governed by the internal laws of the Commonwealth of Massachusetts, without regard to conflicts of law principles.</w:t>
      </w:r>
    </w:p>
    <w:p>
      <w:pPr>
        <w:spacing w:after="0" w:line="132"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Waivers</w:t>
      </w:r>
      <w:r>
        <w:rPr>
          <w:rFonts w:ascii="Arial" w:cs="Arial" w:eastAsia="Arial" w:hAnsi="Arial"/>
          <w:sz w:val="18"/>
          <w:szCs w:val="18"/>
          <w:color w:val="auto"/>
        </w:rPr>
        <w:t>. No waiver by the Executive at any time of any breach of, or compliance with, any provision of this Agreement to be performed by the Company shall be deemed a waiver of that or any other provision at any subsequent time.</w:t>
      </w:r>
    </w:p>
    <w:p>
      <w:pPr>
        <w:spacing w:after="0" w:line="132"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to be an original but both of which together shall constitute one and the same instrument.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Tax Withholding</w:t>
      </w:r>
      <w:r>
        <w:rPr>
          <w:rFonts w:ascii="Arial" w:cs="Arial" w:eastAsia="Arial" w:hAnsi="Arial"/>
          <w:sz w:val="16"/>
          <w:szCs w:val="16"/>
          <w:color w:val="auto"/>
        </w:rPr>
        <w:t>. Any payments provided for hereunder shall be paid net of any applicable tax withholding required under federal, state or local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165" w:lineRule="exact"/>
        <w:rPr>
          <w:sz w:val="20"/>
          <w:szCs w:val="20"/>
          <w:color w:val="auto"/>
        </w:rPr>
      </w:pPr>
    </w:p>
    <w:p>
      <w:pPr>
        <w:jc w:val="both"/>
        <w:ind w:firstLine="913"/>
        <w:spacing w:after="0" w:line="254"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sets forth the entire agreement of the parties hereto in respect of the subject matter contained herein and supersedes all prior agreements, promises, covenants, arrangements, communications, representations or warranties, whether oral or written, by any officer, employee or representative of any party hereto in respect of the subject matter contained herein; and any prior agreement of the parties hereto in respect of the subject matter contained herein is hereby terminated and cancelled. Notwithstanding the foregoing, the provisions of any stock option agreements between the Company and the Executive (including any terms thereof relating to acceleration of vesting) shall not be superseded by or modified by the terms of this Agreement.</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Amendments</w:t>
      </w:r>
      <w:r>
        <w:rPr>
          <w:rFonts w:ascii="Arial" w:cs="Arial" w:eastAsia="Arial" w:hAnsi="Arial"/>
          <w:sz w:val="16"/>
          <w:szCs w:val="16"/>
          <w:color w:val="auto"/>
        </w:rPr>
        <w:t>. This Agreement may be amended or modified only by a written instrument executed by both the Company and the Executive.</w:t>
      </w:r>
    </w:p>
    <w:p>
      <w:pPr>
        <w:spacing w:after="0" w:line="194"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Executive’s Acknowledgements</w:t>
      </w:r>
      <w:r>
        <w:rPr>
          <w:rFonts w:ascii="Arial" w:cs="Arial" w:eastAsia="Arial" w:hAnsi="Arial"/>
          <w:sz w:val="16"/>
          <w:szCs w:val="16"/>
          <w:color w:val="auto"/>
        </w:rPr>
        <w:t>. The Executive acknowledges that he: (a) has read this Agreement; (b) has been represented in the preparation, negotiation, and execution of this Agreement by legal counsel of the Executive’s own choice or has voluntarily declined to seek such counsel; (c) understands the terms and consequences of this Agreement; and (d) understands that the law firm of Wilmer Cutler Pickering Hale and Dorr LLP is acting as counsel to the Company in connection with the transactions contemplated by this Agreement, and is not acting as counsel for the Executive.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executed this Agreement as of the day and year first set forth above.</w:t>
      </w:r>
    </w:p>
    <w:p>
      <w:pPr>
        <w:spacing w:after="0" w:line="212" w:lineRule="exact"/>
        <w:rPr>
          <w:sz w:val="20"/>
          <w:szCs w:val="20"/>
          <w:color w:val="auto"/>
        </w:rPr>
      </w:pPr>
    </w:p>
    <w:p>
      <w:pPr>
        <w:jc w:val="right"/>
        <w:ind w:right="680"/>
        <w:spacing w:after="0"/>
        <w:rPr>
          <w:sz w:val="20"/>
          <w:szCs w:val="20"/>
          <w:color w:val="auto"/>
        </w:rPr>
      </w:pPr>
      <w:r>
        <w:rPr>
          <w:rFonts w:ascii="Arial" w:cs="Arial" w:eastAsia="Arial" w:hAnsi="Arial"/>
          <w:sz w:val="18"/>
          <w:szCs w:val="18"/>
          <w:color w:val="auto"/>
        </w:rPr>
        <w:t>AMERICAN SUPERCONDUCTOR CORPORATION</w:t>
      </w:r>
    </w:p>
    <w:p>
      <w:pPr>
        <w:spacing w:after="0" w:line="225"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1000" w:type="dxa"/>
            <w:vAlign w:val="bottom"/>
          </w:tcPr>
          <w:p>
            <w:pPr>
              <w:spacing w:after="0"/>
              <w:rPr>
                <w:sz w:val="20"/>
                <w:szCs w:val="20"/>
                <w:color w:val="auto"/>
              </w:rPr>
            </w:pPr>
            <w:r>
              <w:rPr>
                <w:rFonts w:ascii="Arial" w:cs="Arial" w:eastAsia="Arial" w:hAnsi="Arial"/>
                <w:sz w:val="18"/>
                <w:szCs w:val="18"/>
                <w:color w:val="auto"/>
              </w:rPr>
              <w:t>Signature:</w:t>
            </w:r>
          </w:p>
        </w:tc>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O. Crisp</w:t>
            </w:r>
          </w:p>
        </w:tc>
      </w:tr>
      <w:tr>
        <w:trPr>
          <w:trHeight w:val="217"/>
        </w:trPr>
        <w:tc>
          <w:tcPr>
            <w:tcW w:w="1000" w:type="dxa"/>
            <w:vAlign w:val="bottom"/>
          </w:tcPr>
          <w:p>
            <w:pPr>
              <w:spacing w:after="0"/>
              <w:rPr>
                <w:sz w:val="20"/>
                <w:szCs w:val="20"/>
                <w:color w:val="auto"/>
              </w:rPr>
            </w:pPr>
            <w:r>
              <w:rPr>
                <w:rFonts w:ascii="Arial" w:cs="Arial" w:eastAsia="Arial" w:hAnsi="Arial"/>
                <w:sz w:val="18"/>
                <w:szCs w:val="18"/>
                <w:color w:val="auto"/>
              </w:rPr>
              <w:t>Print name:</w:t>
            </w:r>
          </w:p>
        </w:tc>
        <w:tc>
          <w:tcPr>
            <w:tcW w:w="3560" w:type="dxa"/>
            <w:vAlign w:val="bottom"/>
          </w:tcPr>
          <w:p>
            <w:pPr>
              <w:spacing w:after="0"/>
              <w:rPr>
                <w:sz w:val="20"/>
                <w:szCs w:val="20"/>
                <w:color w:val="auto"/>
              </w:rPr>
            </w:pPr>
            <w:r>
              <w:rPr>
                <w:rFonts w:ascii="Arial" w:cs="Arial" w:eastAsia="Arial" w:hAnsi="Arial"/>
                <w:sz w:val="18"/>
                <w:szCs w:val="18"/>
                <w:color w:val="auto"/>
              </w:rPr>
              <w:t>Peter O. Crisp</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3560" w:type="dxa"/>
            <w:vAlign w:val="bottom"/>
          </w:tcPr>
          <w:p>
            <w:pPr>
              <w:spacing w:after="0"/>
              <w:rPr>
                <w:sz w:val="20"/>
                <w:szCs w:val="20"/>
                <w:color w:val="auto"/>
              </w:rPr>
            </w:pPr>
            <w:r>
              <w:rPr>
                <w:rFonts w:ascii="Arial" w:cs="Arial" w:eastAsia="Arial" w:hAnsi="Arial"/>
                <w:sz w:val="18"/>
                <w:szCs w:val="18"/>
                <w:color w:val="auto"/>
                <w:w w:val="88"/>
              </w:rPr>
              <w:t>Chairman, Compensation Committee of the Board</w:t>
            </w:r>
          </w:p>
        </w:tc>
      </w:tr>
      <w:tr>
        <w:trPr>
          <w:trHeight w:val="222"/>
        </w:trPr>
        <w:tc>
          <w:tcPr>
            <w:tcW w:w="100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of Directors</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w w:val="96"/>
              </w:rPr>
              <w:t>EXECUTIVE</w:t>
            </w:r>
          </w:p>
        </w:tc>
        <w:tc>
          <w:tcPr>
            <w:tcW w:w="3560" w:type="dxa"/>
            <w:vAlign w:val="bottom"/>
          </w:tcPr>
          <w:p>
            <w:pPr>
              <w:spacing w:after="0"/>
              <w:rPr>
                <w:sz w:val="24"/>
                <w:szCs w:val="24"/>
                <w:color w:val="auto"/>
              </w:rPr>
            </w:pP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Signature:</w:t>
            </w:r>
          </w:p>
        </w:tc>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J. Yurek</w:t>
            </w:r>
          </w:p>
        </w:tc>
      </w:tr>
      <w:tr>
        <w:trPr>
          <w:trHeight w:val="223"/>
        </w:trPr>
        <w:tc>
          <w:tcPr>
            <w:tcW w:w="1000" w:type="dxa"/>
            <w:vAlign w:val="bottom"/>
          </w:tcPr>
          <w:p>
            <w:pPr>
              <w:spacing w:after="0"/>
              <w:rPr>
                <w:sz w:val="20"/>
                <w:szCs w:val="20"/>
                <w:color w:val="auto"/>
              </w:rPr>
            </w:pPr>
            <w:r>
              <w:rPr>
                <w:rFonts w:ascii="Arial" w:cs="Arial" w:eastAsia="Arial" w:hAnsi="Arial"/>
                <w:sz w:val="18"/>
                <w:szCs w:val="18"/>
                <w:color w:val="auto"/>
              </w:rPr>
              <w:t>Print name:</w:t>
            </w:r>
          </w:p>
        </w:tc>
        <w:tc>
          <w:tcPr>
            <w:tcW w:w="3560" w:type="dxa"/>
            <w:vAlign w:val="bottom"/>
          </w:tcPr>
          <w:p>
            <w:pPr>
              <w:spacing w:after="0"/>
              <w:rPr>
                <w:sz w:val="20"/>
                <w:szCs w:val="20"/>
                <w:color w:val="auto"/>
              </w:rPr>
            </w:pPr>
            <w:r>
              <w:rPr>
                <w:rFonts w:ascii="Arial" w:cs="Arial" w:eastAsia="Arial" w:hAnsi="Arial"/>
                <w:sz w:val="18"/>
                <w:szCs w:val="18"/>
                <w:color w:val="auto"/>
              </w:rPr>
              <w:t>Gregory J. Yurek</w:t>
            </w:r>
          </w:p>
        </w:tc>
      </w:tr>
    </w:tbl>
    <w:p>
      <w:pPr>
        <w:spacing w:after="0" w:line="21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 American Superconductor Corporation</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64 Jackson Road</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Devens, MA 01434</w:t>
      </w:r>
    </w:p>
    <w:p>
      <w:pPr>
        <w:spacing w:after="0" w:line="16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700" w:top="280"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RELEASE</w:t>
      </w:r>
    </w:p>
    <w:p>
      <w:pPr>
        <w:spacing w:after="0" w:line="171"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In consideration of the payment to me of the severance benefits pursuant to Section 4.1(a), 4.2(a) or 4.2(b) of my Amended and Restated Executive</w:t>
      </w:r>
    </w:p>
    <w:p>
      <w:pPr>
        <w:spacing w:after="0" w:line="38" w:lineRule="exact"/>
        <w:rPr>
          <w:sz w:val="20"/>
          <w:szCs w:val="20"/>
          <w:color w:val="auto"/>
        </w:rPr>
      </w:pPr>
    </w:p>
    <w:p>
      <w:pPr>
        <w:spacing w:after="0"/>
        <w:tabs>
          <w:tab w:leader="none" w:pos="7320" w:val="left"/>
          <w:tab w:leader="none" w:pos="7560" w:val="left"/>
          <w:tab w:leader="none" w:pos="8100" w:val="left"/>
        </w:tabs>
        <w:rPr>
          <w:sz w:val="20"/>
          <w:szCs w:val="20"/>
          <w:color w:val="auto"/>
        </w:rPr>
      </w:pPr>
      <w:r>
        <w:rPr>
          <w:rFonts w:ascii="Arial" w:cs="Arial" w:eastAsia="Arial" w:hAnsi="Arial"/>
          <w:sz w:val="18"/>
          <w:szCs w:val="18"/>
          <w:color w:val="auto"/>
        </w:rPr>
        <w:t>Severance Agreement with American Superconductor Corporation (the “Company”) dated</w:t>
      </w:r>
      <w:r>
        <w:rPr>
          <w:sz w:val="20"/>
          <w:szCs w:val="20"/>
          <w:color w:val="auto"/>
        </w:rPr>
        <w:tab/>
      </w:r>
      <w:r>
        <w:rPr>
          <w:rFonts w:ascii="Arial" w:cs="Arial" w:eastAsia="Arial" w:hAnsi="Arial"/>
          <w:sz w:val="18"/>
          <w:szCs w:val="18"/>
          <w:color w:val="auto"/>
        </w:rPr>
        <w:t>[</w:t>
        <w:tab/>
        <w:t>], 20</w:t>
      </w:r>
      <w:r>
        <w:rPr>
          <w:sz w:val="20"/>
          <w:szCs w:val="20"/>
          <w:color w:val="auto"/>
        </w:rPr>
        <w:tab/>
      </w:r>
      <w:r>
        <w:rPr>
          <w:rFonts w:ascii="Arial" w:cs="Arial" w:eastAsia="Arial" w:hAnsi="Arial"/>
          <w:sz w:val="16"/>
          <w:szCs w:val="16"/>
          <w:color w:val="auto"/>
        </w:rPr>
        <w:t>(the “Agreement”), I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4076065</wp:posOffset>
            </wp:positionH>
            <wp:positionV relativeFrom="paragraph">
              <wp:posOffset>-17780</wp:posOffset>
            </wp:positionV>
            <wp:extent cx="10496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49655" cy="8890"/>
                    </a:xfrm>
                    <a:prstGeom prst="rect">
                      <a:avLst/>
                    </a:prstGeom>
                    <a:noFill/>
                  </pic:spPr>
                </pic:pic>
              </a:graphicData>
            </a:graphic>
          </wp:anchor>
        </w:drawing>
      </w:r>
    </w:p>
    <w:p>
      <w:pPr>
        <w:spacing w:after="0" w:line="64" w:lineRule="exact"/>
        <w:rPr>
          <w:sz w:val="20"/>
          <w:szCs w:val="20"/>
          <w:color w:val="auto"/>
        </w:rPr>
      </w:pPr>
    </w:p>
    <w:p>
      <w:pPr>
        <w:jc w:val="both"/>
        <w:ind w:firstLine="464"/>
        <w:spacing w:after="0" w:line="285" w:lineRule="auto"/>
        <w:tabs>
          <w:tab w:leader="none" w:pos="643" w:val="left"/>
        </w:tabs>
        <w:numPr>
          <w:ilvl w:val="0"/>
          <w:numId w:val="46"/>
        </w:numPr>
        <w:rPr>
          <w:rFonts w:ascii="Arial" w:cs="Arial" w:eastAsia="Arial" w:hAnsi="Arial"/>
          <w:sz w:val="16"/>
          <w:szCs w:val="16"/>
          <w:color w:val="auto"/>
        </w:rPr>
      </w:pPr>
      <w:r>
        <w:rPr>
          <w:rFonts w:ascii="Arial" w:cs="Arial" w:eastAsia="Arial" w:hAnsi="Arial"/>
          <w:sz w:val="16"/>
          <w:szCs w:val="16"/>
          <w:color w:val="auto"/>
        </w:rPr>
        <w:t>I, on behalf of myself and my representatives, agents, estate, heirs, successors and assigns, hereby irrevocably and unconditionally release, remise and discharge the Company, its officers, directors, stockholders, affiliates (within the meaning of the Securities Act of 1933), attorneys, agents and employees, and their respective predecessors, successors and assigns (collectively, the “Company Releasees”), from any and all actions or causes of action, suits, claims, complaints, liabilities, contracts, torts, debts, damages, controversies, rights and demands, whether existing or contingent, known or unknown, arising up to and through the date of this Release out of my employment, or the termination of my employment, with the Company, including, but not limited to, all employment discrimination claims under the Age Discrimination in Employment Act, 29 U.S.C. §621 et seq., Title VII of the Civil Rights Act of 1964, 42 U.S.C. § 2000e et seq., the Americans With Disabilities Act of 1990, 42 U.S.C. § 12101 et seq., the Family and Medical Leave Act, 29 U.S.C. § 2601 et seq., the Worker Adjustment and Retraining Notification Act (“WARN”), 29 U.S.C. § 2101 et seq., the Massachusetts Fair Employment Practices Act, M.G.L. c.151B, § 1 et seq., the Massachusetts Civil Rights Act, M.G.L. c.12, §§ 11H and 11I, the Massachusetts Equal Rights Act, M.G.L. c.93, § 102 and M.G.L. c.214, § 1C, the Massachusetts Labor and Industries Act, M.G.L. c.149, § 1 et seq., and the Massachusetts Privacy Act, M.G.L. c.214, § 1B, all as amended, and all claims arising out of the Fair Credit Reporting Act, 15 U.S.C. § 1681 et seq. and the Employee Retirement Income Security Act of 1974 (“ERISA”), 29 U.S.C. § 1001 et seq., all as amended; and all claims to any non-vested ownership interest in the Company, contractual or otherwise, including, but not limited to, claims to stock or stock options. Notwithstanding the foregoing, (a) nothing in this Release prevents me from filing, cooperating with, or participating in any proceeding before the EEOC or a state Fair Employment Practices Agency (except that I acknowledge that I may not recover any monetary benefits in connection with any such claim, charge or proceeding), (b) this Release does not extend to any rights I have that arise after the date hereof under the Agreement and (c) this Release does not extend to any rights I may have to indemnification as an officer or director of the Company under the provisions of the Company’s By-laws or applicable law.</w:t>
      </w:r>
    </w:p>
    <w:p>
      <w:pPr>
        <w:spacing w:after="0" w:line="123" w:lineRule="exact"/>
        <w:rPr>
          <w:rFonts w:ascii="Arial" w:cs="Arial" w:eastAsia="Arial" w:hAnsi="Arial"/>
          <w:sz w:val="16"/>
          <w:szCs w:val="16"/>
          <w:color w:val="auto"/>
        </w:rPr>
      </w:pPr>
    </w:p>
    <w:p>
      <w:pPr>
        <w:ind w:right="20" w:firstLine="464"/>
        <w:spacing w:after="0" w:line="268" w:lineRule="auto"/>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been advised by the Company to consult with counsel before signing this Release, and have been given the opportunity to consult with my own counsel prior to signing this Release.</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been given up to twenty-one (21) days from the receipt of this Release to consider whether to execute this Release.</w:t>
      </w:r>
    </w:p>
    <w:p>
      <w:pPr>
        <w:spacing w:after="0" w:line="171" w:lineRule="exact"/>
        <w:rPr>
          <w:rFonts w:ascii="Arial" w:cs="Arial" w:eastAsia="Arial" w:hAnsi="Arial"/>
          <w:sz w:val="18"/>
          <w:szCs w:val="18"/>
          <w:color w:val="auto"/>
        </w:rPr>
      </w:pPr>
    </w:p>
    <w:p>
      <w:pPr>
        <w:jc w:val="both"/>
        <w:ind w:firstLine="464"/>
        <w:spacing w:after="0" w:line="259" w:lineRule="auto"/>
        <w:tabs>
          <w:tab w:leader="none" w:pos="636"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been advised that even after I sign this Release, I may revoke it within seven (7) days of the date of my signing by delivering a signed revocation notice to the Secretary of the Company. Delivery by ordinary mail will effectively revoke my assent to this Release if it is postmarked no later than seven days after I sign this Release.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48" w:name="page49"/>
    <w:bookmarkEnd w:id="48"/>
    <w:p>
      <w:pPr>
        <w:ind w:left="640" w:hanging="17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Release shall not become effective and in force until eight days after I sign, provided I have not timely revoked my acceptance.</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 acknowledge and reaffirm my obligations under the American Superconductor Corporation Employee Nondisclosure and Developments Agreement.</w:t>
      </w:r>
    </w:p>
    <w:p>
      <w:pPr>
        <w:spacing w:after="0" w:line="194" w:lineRule="exact"/>
        <w:rPr>
          <w:rFonts w:ascii="Arial" w:cs="Arial" w:eastAsia="Arial" w:hAnsi="Arial"/>
          <w:sz w:val="16"/>
          <w:szCs w:val="16"/>
          <w:color w:val="auto"/>
        </w:rPr>
      </w:pPr>
    </w:p>
    <w:p>
      <w:pPr>
        <w:ind w:firstLine="464"/>
        <w:spacing w:after="0" w:line="268" w:lineRule="auto"/>
        <w:tabs>
          <w:tab w:leader="none" w:pos="638"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 representation, promise or inducement has been offered or made to induce me to enter into this Release, and I am competent to execute this Release and accept full responsibility therefor.</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10795</wp:posOffset>
            </wp:positionV>
            <wp:extent cx="21780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of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10795</wp:posOffset>
            </wp:positionV>
            <wp:extent cx="18783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10.2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Amended and Restated Executive Severance Agreement</w:t>
      </w:r>
    </w:p>
    <w:p>
      <w:pPr>
        <w:spacing w:after="0" w:line="171"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AMENDED AND RESTATED</w:t>
      </w:r>
      <w:r>
        <w:rPr>
          <w:rFonts w:ascii="Arial" w:cs="Arial" w:eastAsia="Arial" w:hAnsi="Arial"/>
          <w:sz w:val="18"/>
          <w:szCs w:val="18"/>
          <w:color w:val="auto"/>
        </w:rPr>
        <w:t xml:space="preserve"> EXECUTIVE SEVERANCE AGREEMENT by and between American Superconductor Corporation, a Delaware corporation (the “Company”), and David A. Henry (the “Executive”) is made as of December 23, 2008 (the “Effective Date”).</w:t>
      </w:r>
    </w:p>
    <w:p>
      <w:pPr>
        <w:spacing w:after="0" w:line="132"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WHEREAS, the Board of Directors of the Company (the “Board”) has determined that appropriate steps should be taken to reinforce and encourage the continued employment and dedication of the Executive and to minimize the distraction from the possibility of an unwarranted termination of employment.</w:t>
      </w:r>
    </w:p>
    <w:p>
      <w:pPr>
        <w:spacing w:after="0" w:line="8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WHEREAS, the Company and the Executive acknowledge and agree that the benefits described in this Agreement are not intended to, and shall not, constitute a severance plan, and shall confer no benefit on anyone other than the parties hereto.</w:t>
      </w:r>
    </w:p>
    <w:p>
      <w:pPr>
        <w:spacing w:after="0" w:line="132"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WHEREAS, the Company and the Executive originally entered into this Executive Severance Agreement on August 3, 2007, amended and restated it on January 24, 2008 to reflect certain developments in the tax law, and now desire to amend and restate it further to reflect certain developments in the tax law.</w:t>
      </w:r>
    </w:p>
    <w:p>
      <w:pPr>
        <w:spacing w:after="0" w:line="8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NOW, THEREFORE, as an inducement for and in consideration of the Executive remaining in its employ, the Company agrees that the Executive shall receive the severance benefits set forth in this Agreement in the event the Executive’s employment with the Company is terminated under the specific circumstances described below.</w:t>
      </w:r>
    </w:p>
    <w:p>
      <w:pPr>
        <w:spacing w:after="0" w:line="140" w:lineRule="exact"/>
        <w:rPr>
          <w:sz w:val="20"/>
          <w:szCs w:val="20"/>
          <w:color w:val="auto"/>
        </w:rPr>
      </w:pPr>
    </w:p>
    <w:p>
      <w:pPr>
        <w:ind w:left="640" w:hanging="17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Key Definitions</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 the following terms shall have the following respective meanings: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an event or occurrence set forth in any one or more of subsections (a) through (c) below:</w:t>
      </w:r>
    </w:p>
    <w:p>
      <w:pPr>
        <w:spacing w:after="0" w:line="90" w:lineRule="exact"/>
        <w:rPr>
          <w:sz w:val="20"/>
          <w:szCs w:val="20"/>
          <w:color w:val="auto"/>
        </w:rPr>
      </w:pPr>
    </w:p>
    <w:p>
      <w:pPr>
        <w:jc w:val="both"/>
        <w:ind w:firstLine="1492"/>
        <w:spacing w:after="0" w:line="290" w:lineRule="auto"/>
        <w:tabs>
          <w:tab w:leader="none" w:pos="1735"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the acquisition by an individual, entity or group (within the meaning of Section 13(d)(3) or 14(d)(2) of the Securities Exchange Act of 1934, as amended (the “Exchange Act”)) (a “Person”) of beneficial ownership of any capital stock of the Company if, after such acquisition, such Person beneficially owns (within the meaning of Rule 13d-3 promulgated under the Exchange Act) 50% or more of either (x) the then-outstanding shares of common stock of the Company (the “Outstanding Company Common Stock”) or (y) the combined voting power of the then-outstanding securities of the Company entitled to vote generally in the election of directors (the “Outstanding Company Voting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for purposes of this subsection (a), the following acquisitions shall not constitute a Change in Control: (i) any acquisition directly from the Company, or (ii) any acquisition by any employee benefit plan (or related trust) sponsored or maintained by the Company or any corporation controlled by the Company; or</w:t>
      </w:r>
    </w:p>
    <w:p>
      <w:pPr>
        <w:sectPr>
          <w:pgSz w:w="11900" w:h="16838" w:orient="portrait"/>
          <w:cols w:equalWidth="0" w:num="1">
            <w:col w:w="11420"/>
          </w:cols>
          <w:pgMar w:left="240" w:top="125" w:right="239" w:bottom="1440" w:gutter="0" w:footer="0" w:header="0"/>
        </w:sectPr>
      </w:pPr>
    </w:p>
    <w:bookmarkStart w:id="50" w:name="page51"/>
    <w:bookmarkEnd w:id="50"/>
    <w:p>
      <w:pPr>
        <w:jc w:val="both"/>
        <w:ind w:firstLine="1492"/>
        <w:spacing w:after="0" w:line="290" w:lineRule="auto"/>
        <w:tabs>
          <w:tab w:leader="none" w:pos="1738" w:val="left"/>
        </w:tabs>
        <w:numPr>
          <w:ilvl w:val="0"/>
          <w:numId w:val="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Continuing Directors (as defined below) no longer constituting a majority of the Board (or, if applicable, the Board of Directors of a successor corporation to the Company), where the term “Continuing Director” means at any date a member of the Board (i) who was a member of the Board on the date of the execution of this Agreement or (ii) 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there shall be excluded from this clause (ii)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w:t>
      </w:r>
    </w:p>
    <w:p>
      <w:pPr>
        <w:spacing w:after="0" w:line="118" w:lineRule="exact"/>
        <w:rPr>
          <w:rFonts w:ascii="Arial" w:cs="Arial" w:eastAsia="Arial" w:hAnsi="Arial"/>
          <w:sz w:val="16"/>
          <w:szCs w:val="16"/>
          <w:color w:val="auto"/>
        </w:rPr>
      </w:pPr>
    </w:p>
    <w:p>
      <w:pPr>
        <w:jc w:val="both"/>
        <w:ind w:firstLine="1492"/>
        <w:spacing w:after="0" w:line="288" w:lineRule="auto"/>
        <w:tabs>
          <w:tab w:leader="none" w:pos="1737"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consummation of a merger, consolidation, reorganization, recapitalization or statutory share exchange involving the Company or a sale or other disposition of all or substantially all of the assets of the Company in one or a series of related transactions (a “Business Combination”), other than a Business Combination in which all or substantially all of the individuals and entities who were the beneficial owners of the Outstanding Company Common Stock and Outstanding Company Voting Securities immediately prior to such Business Combination beneficially own, directly or indirectly, immediately following such Business Combination, more than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respectively.</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 “</w:t>
      </w:r>
      <w:r>
        <w:rPr>
          <w:rFonts w:ascii="Arial" w:cs="Arial" w:eastAsia="Arial" w:hAnsi="Arial"/>
          <w:sz w:val="18"/>
          <w:szCs w:val="18"/>
          <w:u w:val="single" w:color="auto"/>
          <w:color w:val="auto"/>
        </w:rPr>
        <w:t>Change in Control Date</w:t>
      </w:r>
      <w:r>
        <w:rPr>
          <w:rFonts w:ascii="Arial" w:cs="Arial" w:eastAsia="Arial" w:hAnsi="Arial"/>
          <w:sz w:val="18"/>
          <w:szCs w:val="18"/>
          <w:color w:val="auto"/>
        </w:rPr>
        <w:t>” means the first date during the Term (as defined in Section 2) on which a Change in Control occurs.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1.3 “</w:t>
      </w:r>
      <w:r>
        <w:rPr>
          <w:rFonts w:ascii="Arial" w:cs="Arial" w:eastAsia="Arial" w:hAnsi="Arial"/>
          <w:sz w:val="18"/>
          <w:szCs w:val="18"/>
          <w:u w:val="single" w:color="auto"/>
          <w:color w:val="auto"/>
        </w:rPr>
        <w:t>Cause</w:t>
      </w:r>
      <w:r>
        <w:rPr>
          <w:rFonts w:ascii="Arial" w:cs="Arial" w:eastAsia="Arial" w:hAnsi="Arial"/>
          <w:sz w:val="18"/>
          <w:szCs w:val="18"/>
          <w:color w:val="auto"/>
        </w:rPr>
        <w:t>” means:</w:t>
      </w:r>
    </w:p>
    <w:p>
      <w:pPr>
        <w:spacing w:after="0" w:line="90" w:lineRule="exact"/>
        <w:rPr>
          <w:sz w:val="20"/>
          <w:szCs w:val="20"/>
          <w:color w:val="auto"/>
        </w:rPr>
      </w:pPr>
    </w:p>
    <w:p>
      <w:pPr>
        <w:jc w:val="both"/>
        <w:ind w:firstLine="1492"/>
        <w:spacing w:after="0" w:line="256" w:lineRule="auto"/>
        <w:tabs>
          <w:tab w:leader="none" w:pos="1736"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Executive’s failure to perform his reasonable assigned duties to the standards reasonably required by the Company (other than any such failure resulting from incapacity due to physical or mental illness), which failure is not cured within 30 days after a written notice is received by the Executive from the Company describing in reasonable detail the manner in which the Board of Directors believes the Executive has not performed the Executive’s duties to the standards reasonably required by the Company; or</w:t>
      </w:r>
    </w:p>
    <w:p>
      <w:pPr>
        <w:spacing w:after="0" w:line="143" w:lineRule="exact"/>
        <w:rPr>
          <w:rFonts w:ascii="Arial" w:cs="Arial" w:eastAsia="Arial" w:hAnsi="Arial"/>
          <w:sz w:val="18"/>
          <w:szCs w:val="18"/>
          <w:color w:val="auto"/>
        </w:rPr>
      </w:pPr>
    </w:p>
    <w:p>
      <w:pPr>
        <w:jc w:val="both"/>
        <w:ind w:firstLine="1492"/>
        <w:spacing w:after="0" w:line="259" w:lineRule="auto"/>
        <w:tabs>
          <w:tab w:leader="none" w:pos="1744"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Executive’s willful engagement in illegal conduct or gross misconduct that is materially injurious to the Company. For purposes of this Section 1.3(b), no act or failure to act by the Executive shall be considered “willful” unless it is done intentionally and without reasonable belief that the Executive’s action was in the best interests of the Company.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1" w:name="page52"/>
    <w:bookmarkEnd w:id="5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1.4 “</w:t>
      </w:r>
      <w:r>
        <w:rPr>
          <w:rFonts w:ascii="Arial" w:cs="Arial" w:eastAsia="Arial" w:hAnsi="Arial"/>
          <w:sz w:val="18"/>
          <w:szCs w:val="18"/>
          <w:u w:val="single" w:color="auto"/>
          <w:color w:val="auto"/>
        </w:rPr>
        <w:t>Good Reason</w:t>
      </w:r>
      <w:r>
        <w:rPr>
          <w:rFonts w:ascii="Arial" w:cs="Arial" w:eastAsia="Arial" w:hAnsi="Arial"/>
          <w:sz w:val="18"/>
          <w:szCs w:val="18"/>
          <w:color w:val="auto"/>
        </w:rPr>
        <w:t>” means the occurrence, without the Executive’s written consent, of any of the following events or circumstances:</w:t>
      </w:r>
    </w:p>
    <w:p>
      <w:pPr>
        <w:spacing w:after="0" w:line="90" w:lineRule="exact"/>
        <w:rPr>
          <w:sz w:val="20"/>
          <w:szCs w:val="20"/>
          <w:color w:val="auto"/>
        </w:rPr>
      </w:pPr>
    </w:p>
    <w:p>
      <w:pPr>
        <w:ind w:left="1740" w:hanging="248"/>
        <w:spacing w:after="0"/>
        <w:tabs>
          <w:tab w:leader="none" w:pos="17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material diminution in the Executive’s base compensation; or</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material diminution in the Executive’s authority, duties, or responsibilities; or</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material change in the geographic location at which the Executive must perform his duties; or</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other action or inaction of the Company which constitutes a material breach by the Company of this Agreement.</w:t>
      </w:r>
    </w:p>
    <w:p>
      <w:pPr>
        <w:spacing w:after="0" w:line="171"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Any termination by the Executive for Good Reason shall be communicated by means of a written notice delivered by the Executive to the Company within 90 days of the initial existence of the occurrence or condition on which the Executive bases his claim for Good Reason. If the condition is capable of being corrected, the Company shall have 30 days during which it may remedy the condition (the “</w:t>
      </w:r>
      <w:r>
        <w:rPr>
          <w:rFonts w:ascii="Arial" w:cs="Arial" w:eastAsia="Arial" w:hAnsi="Arial"/>
          <w:sz w:val="16"/>
          <w:szCs w:val="16"/>
          <w:u w:val="single" w:color="auto"/>
          <w:color w:val="auto"/>
        </w:rPr>
        <w:t>Cure Period</w:t>
      </w:r>
      <w:r>
        <w:rPr>
          <w:rFonts w:ascii="Arial" w:cs="Arial" w:eastAsia="Arial" w:hAnsi="Arial"/>
          <w:sz w:val="16"/>
          <w:szCs w:val="16"/>
          <w:color w:val="auto"/>
        </w:rPr>
        <w:t>”). Notwithstanding the occurrence of any such event or circumstance, such occurrence shall not be deemed to constitute Good Reason if such event or circumstance has been fully corrected within the Cure Period and the Executive has been reasonably compensated for any losses or damages resulting therefrom. If the condition is not corrected, the Executive must leave employment within one (1) year after the Company fails to cure the condition giving rise to the Executive’s claim for Good Reason during the Cure Period.</w:t>
      </w:r>
    </w:p>
    <w:p>
      <w:pPr>
        <w:spacing w:after="0" w:line="12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1.5 “</w:t>
      </w:r>
      <w:r>
        <w:rPr>
          <w:rFonts w:ascii="Arial" w:cs="Arial" w:eastAsia="Arial" w:hAnsi="Arial"/>
          <w:sz w:val="18"/>
          <w:szCs w:val="18"/>
          <w:u w:val="single" w:color="auto"/>
          <w:color w:val="auto"/>
        </w:rPr>
        <w:t>Disability</w:t>
      </w:r>
      <w:r>
        <w:rPr>
          <w:rFonts w:ascii="Arial" w:cs="Arial" w:eastAsia="Arial" w:hAnsi="Arial"/>
          <w:sz w:val="18"/>
          <w:szCs w:val="18"/>
          <w:color w:val="auto"/>
        </w:rPr>
        <w:t>” means the Executive’s absence from the full-time performance of the Executive’s duties with the Company for 180 consecutive calendar days as a result of incapacity due to mental or physical illness which is determined to be total and permanent by a physician selected by the Company or its insurers and acceptable to the Executive or the Executive’s legal representative.</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1.6 “</w:t>
      </w:r>
      <w:r>
        <w:rPr>
          <w:rFonts w:ascii="Arial" w:cs="Arial" w:eastAsia="Arial" w:hAnsi="Arial"/>
          <w:sz w:val="16"/>
          <w:szCs w:val="16"/>
          <w:u w:val="single" w:color="auto"/>
          <w:color w:val="auto"/>
        </w:rPr>
        <w:t>Severance Period</w:t>
      </w:r>
      <w:r>
        <w:rPr>
          <w:rFonts w:ascii="Arial" w:cs="Arial" w:eastAsia="Arial" w:hAnsi="Arial"/>
          <w:sz w:val="16"/>
          <w:szCs w:val="16"/>
          <w:color w:val="auto"/>
        </w:rPr>
        <w:t>” shall mean the period of 18 months immediately following the Date of Termination (as defined in Section 3.2(a) below).</w:t>
      </w:r>
    </w:p>
    <w:p>
      <w:pPr>
        <w:spacing w:after="0" w:line="194" w:lineRule="exact"/>
        <w:rPr>
          <w:sz w:val="20"/>
          <w:szCs w:val="20"/>
          <w:color w:val="auto"/>
        </w:rPr>
      </w:pPr>
    </w:p>
    <w:p>
      <w:pPr>
        <w:jc w:val="both"/>
        <w:ind w:firstLine="464"/>
        <w:spacing w:after="0" w:line="290" w:lineRule="auto"/>
        <w:tabs>
          <w:tab w:leader="none" w:pos="632"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Term of Agreement</w:t>
      </w:r>
      <w:r>
        <w:rPr>
          <w:rFonts w:ascii="Arial" w:cs="Arial" w:eastAsia="Arial" w:hAnsi="Arial"/>
          <w:sz w:val="16"/>
          <w:szCs w:val="16"/>
          <w:color w:val="auto"/>
        </w:rPr>
        <w:t xml:space="preserve">. This Agreement, and all rights and obligations of the parties hereunder, shall take effect upon the Effective Date and shall expire upon the first to occur of (a) the expiration of the Term (as defined below) if neither a termination of employment covered by Section 4.1(a) below nor a Change in Control occurred during the Term, or (b) the fulfillment by the Company of all of its obligations under Section 4 following a termination of the Executive’s employment with the Company. “Term” shall mean the period commencing as of the Effective Date and continuing in effect through March 31, 2011;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commencing on April 1, 2011 and each April 1 thereafter (each hereinafter referred to as a “Renewal Date”), the Term shall be automatically extended for one additional year so as to terminate four years from such Renewal Date, unless at least 90 days prior to such Renewal Date, the Company shall have given the Executive written notice that the Term will not be extended.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52" w:name="page53"/>
    <w:bookmarkEnd w:id="52"/>
    <w:p>
      <w:pPr>
        <w:ind w:left="640" w:hanging="17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Employment Status; Termination Following Change in Control</w:t>
      </w:r>
      <w:r>
        <w:rPr>
          <w:rFonts w:ascii="Arial" w:cs="Arial" w:eastAsia="Arial" w:hAnsi="Arial"/>
          <w:sz w:val="18"/>
          <w:szCs w:val="18"/>
          <w:color w:val="auto"/>
        </w:rPr>
        <w:t>.</w:t>
      </w:r>
    </w:p>
    <w:p>
      <w:pPr>
        <w:spacing w:after="0" w:line="9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Not an Employment Contract</w:t>
      </w:r>
      <w:r>
        <w:rPr>
          <w:rFonts w:ascii="Arial" w:cs="Arial" w:eastAsia="Arial" w:hAnsi="Arial"/>
          <w:sz w:val="18"/>
          <w:szCs w:val="18"/>
          <w:color w:val="auto"/>
        </w:rPr>
        <w:t>. The Executive acknowledges that this Agreement does not constitute a contract of employment or impose on the Company any obligation to retain the Executive as an employee and that this Agreement does not prevent the Company or the Executive from terminating his employment at any time, before or after a Change in Control.</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90" w:lineRule="exact"/>
        <w:rPr>
          <w:sz w:val="20"/>
          <w:szCs w:val="20"/>
          <w:color w:val="auto"/>
        </w:rPr>
      </w:pPr>
    </w:p>
    <w:p>
      <w:pPr>
        <w:jc w:val="both"/>
        <w:ind w:firstLine="1492"/>
        <w:spacing w:after="0" w:line="288" w:lineRule="auto"/>
        <w:tabs>
          <w:tab w:leader="none" w:pos="1727" w:val="left"/>
        </w:tabs>
        <w:numPr>
          <w:ilvl w:val="1"/>
          <w:numId w:val="55"/>
        </w:numPr>
        <w:rPr>
          <w:rFonts w:ascii="Arial" w:cs="Arial" w:eastAsia="Arial" w:hAnsi="Arial"/>
          <w:sz w:val="16"/>
          <w:szCs w:val="16"/>
          <w:color w:val="auto"/>
        </w:rPr>
      </w:pPr>
      <w:r>
        <w:rPr>
          <w:rFonts w:ascii="Arial" w:cs="Arial" w:eastAsia="Arial" w:hAnsi="Arial"/>
          <w:sz w:val="16"/>
          <w:szCs w:val="16"/>
          <w:color w:val="auto"/>
        </w:rPr>
        <w:t>Any termination of the Executive’s employment by the Company at any time during the Term or at any time after the Change in Control Date, or by the Executive within 12 months following the Change in Control Date (other than due to the death of the Executive) shall be communicated by a written notice to the other party hereto (the “Notice of Termination”), given in accordance with Section 6.2. Any Notice of Termination shall: (i) indicate (in the case of a termination by the Company) whether such termination is for Cause and (in the case of a termination by the Executive within 12 months following the Change in Control Date) whether such termination is for Good Reason, (ii) to the extent applicable, set forth in reasonable detail the facts and circumstances claimed to provide a basis for termination of the Executive’s employment for Cause or for Good Reason and (iii) specify the Date of Termination (as defined below). The effective date of an employment termination (the “Date of Termination”) shall be the close of business on the date specified in the Notice of Termination (which date may not be less than 15 days or more than 120 days after the date of delivery of such Notice of Termination), in the case of a termination other than one due to the Executive’s death, or the date of the Executive’s death, as the case may be.</w:t>
      </w:r>
    </w:p>
    <w:p>
      <w:pPr>
        <w:spacing w:after="0" w:line="119" w:lineRule="exact"/>
        <w:rPr>
          <w:rFonts w:ascii="Arial" w:cs="Arial" w:eastAsia="Arial" w:hAnsi="Arial"/>
          <w:sz w:val="16"/>
          <w:szCs w:val="16"/>
          <w:color w:val="auto"/>
        </w:rPr>
      </w:pPr>
    </w:p>
    <w:p>
      <w:pPr>
        <w:jc w:val="both"/>
        <w:ind w:firstLine="1492"/>
        <w:spacing w:after="0" w:line="306" w:lineRule="auto"/>
        <w:tabs>
          <w:tab w:leader="none" w:pos="1744"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The failure by the Executive or the Company to set forth in the Notice of Termination any fact or circumstance which contributes to a showing of Good Reason or Cause shall not waive any right of the Executive or the Company, respectively, hereunder or preclude the Executive or the Company, respectively, from asserting any such fact or circumstance in enforcing the Executive’s or the Company’s rights hereunder.</w:t>
      </w:r>
    </w:p>
    <w:p>
      <w:pPr>
        <w:spacing w:after="0" w:line="106" w:lineRule="exact"/>
        <w:rPr>
          <w:rFonts w:ascii="Arial" w:cs="Arial" w:eastAsia="Arial" w:hAnsi="Arial"/>
          <w:sz w:val="16"/>
          <w:szCs w:val="16"/>
          <w:color w:val="auto"/>
        </w:rPr>
      </w:pPr>
    </w:p>
    <w:p>
      <w:pPr>
        <w:ind w:right="20" w:firstLine="1492"/>
        <w:spacing w:after="0" w:line="268" w:lineRule="auto"/>
        <w:tabs>
          <w:tab w:leader="none" w:pos="1757"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Notice of Termination for Cause given by the Company must be given within 90 days of the occurrence of the event(s) or circumstance(s) that constitute(s) Cause.</w:t>
      </w:r>
    </w:p>
    <w:p>
      <w:pPr>
        <w:spacing w:after="0" w:line="131" w:lineRule="exact"/>
        <w:rPr>
          <w:rFonts w:ascii="Arial" w:cs="Arial" w:eastAsia="Arial" w:hAnsi="Arial"/>
          <w:sz w:val="18"/>
          <w:szCs w:val="18"/>
          <w:color w:val="auto"/>
        </w:rPr>
      </w:pPr>
    </w:p>
    <w:p>
      <w:pPr>
        <w:ind w:firstLine="1492"/>
        <w:spacing w:after="0" w:line="268" w:lineRule="auto"/>
        <w:tabs>
          <w:tab w:leader="none" w:pos="1743"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Notice of Termination for Good Reason given by the Executive must be given within 90 days of the occurrence of the event(s) or circumstance(s) that constitute(s) Good Reason.</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Benefits to Executive</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Termination Prior to Change in Control Date</w:t>
      </w:r>
      <w:r>
        <w:rPr>
          <w:rFonts w:ascii="Arial" w:cs="Arial" w:eastAsia="Arial" w:hAnsi="Arial"/>
          <w:sz w:val="18"/>
          <w:szCs w:val="18"/>
          <w:color w:val="auto"/>
        </w:rPr>
        <w:t>.</w:t>
      </w:r>
    </w:p>
    <w:p>
      <w:pPr>
        <w:spacing w:after="0" w:line="90" w:lineRule="exact"/>
        <w:rPr>
          <w:sz w:val="20"/>
          <w:szCs w:val="20"/>
          <w:color w:val="auto"/>
        </w:rPr>
      </w:pPr>
    </w:p>
    <w:p>
      <w:pPr>
        <w:jc w:val="both"/>
        <w:ind w:firstLine="1492"/>
        <w:spacing w:after="0" w:line="259" w:lineRule="auto"/>
        <w:tabs>
          <w:tab w:leader="none" w:pos="1722"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w:t>
      </w:r>
      <w:r>
        <w:rPr>
          <w:rFonts w:ascii="Arial" w:cs="Arial" w:eastAsia="Arial" w:hAnsi="Arial"/>
          <w:sz w:val="18"/>
          <w:szCs w:val="18"/>
          <w:color w:val="auto"/>
        </w:rPr>
        <w:t>. If, prior to a Change in Control Date (including a situation in which a Change in Control Date never occurs), the Company terminates the Executive’s employment other than for Cause, Disability or death, then the Executive shall be entitled to the following benefits, the distribution of which shall be subject to the provisions of Sections 4.4 and 4.7:</w:t>
      </w:r>
    </w:p>
    <w:p>
      <w:pPr>
        <w:spacing w:after="0" w:line="59" w:lineRule="exact"/>
        <w:rPr>
          <w:rFonts w:ascii="Arial" w:cs="Arial" w:eastAsia="Arial" w:hAnsi="Arial"/>
          <w:sz w:val="18"/>
          <w:szCs w:val="18"/>
          <w:color w:val="auto"/>
        </w:rPr>
      </w:pPr>
    </w:p>
    <w:p>
      <w:pPr>
        <w:ind w:left="2180" w:hanging="232"/>
        <w:spacing w:after="0"/>
        <w:tabs>
          <w:tab w:leader="none" w:pos="2180" w:val="left"/>
        </w:tabs>
        <w:numPr>
          <w:ilvl w:val="2"/>
          <w:numId w:val="57"/>
        </w:numPr>
        <w:rPr>
          <w:rFonts w:ascii="Arial" w:cs="Arial" w:eastAsia="Arial" w:hAnsi="Arial"/>
          <w:sz w:val="16"/>
          <w:szCs w:val="16"/>
          <w:color w:val="auto"/>
        </w:rPr>
      </w:pPr>
      <w:r>
        <w:rPr>
          <w:rFonts w:ascii="Arial" w:cs="Arial" w:eastAsia="Arial" w:hAnsi="Arial"/>
          <w:sz w:val="16"/>
          <w:szCs w:val="16"/>
          <w:color w:val="auto"/>
        </w:rPr>
        <w:t>the Company shall pay to the Executive, in a lump sum in cash on the Date of Termination, the sum of the following amounts:</w:t>
      </w:r>
    </w:p>
    <w:p>
      <w:pPr>
        <w:spacing w:after="0" w:line="38" w:lineRule="exact"/>
        <w:rPr>
          <w:rFonts w:ascii="Arial" w:cs="Arial" w:eastAsia="Arial" w:hAnsi="Arial"/>
          <w:sz w:val="16"/>
          <w:szCs w:val="16"/>
          <w:color w:val="auto"/>
        </w:rPr>
      </w:pPr>
    </w:p>
    <w:p>
      <w:pPr>
        <w:jc w:val="both"/>
        <w:ind w:firstLine="8"/>
        <w:spacing w:after="0" w:line="281" w:lineRule="auto"/>
        <w:tabs>
          <w:tab w:leader="none" w:pos="25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Executive’s base salary through the Date of Termination, (2) any compensation previously deferred by the Executive (together with any accrued interest or earnings thereon) and (3) any accrued vacation pay, in each case to the extent not previously paid (the sum of the amounts described in clauses (1) through</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shall be hereinafter referred to as the “Accrued Obligations”);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53" w:name="page54"/>
    <w:bookmarkEnd w:id="53"/>
    <w:p>
      <w:pPr>
        <w:ind w:right="20" w:firstLine="1948"/>
        <w:spacing w:after="0" w:line="332" w:lineRule="auto"/>
        <w:tabs>
          <w:tab w:leader="none" w:pos="2222" w:val="left"/>
        </w:tabs>
        <w:numPr>
          <w:ilvl w:val="1"/>
          <w:numId w:val="6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the Severance Period, the Company shall continue to pay to the Executive, in accordance with the Company’s regular payroll practices, the Executive’s highest annual base salary during the two-year period prior to the Date of Termination; and</w:t>
      </w:r>
    </w:p>
    <w:p>
      <w:pPr>
        <w:spacing w:after="0" w:line="85" w:lineRule="exact"/>
        <w:rPr>
          <w:rFonts w:ascii="Arial" w:cs="Arial" w:eastAsia="Arial" w:hAnsi="Arial"/>
          <w:sz w:val="16"/>
          <w:szCs w:val="16"/>
          <w:color w:val="auto"/>
        </w:rPr>
      </w:pPr>
    </w:p>
    <w:p>
      <w:pPr>
        <w:jc w:val="both"/>
        <w:ind w:firstLine="1948"/>
        <w:spacing w:after="0" w:line="289" w:lineRule="auto"/>
        <w:tabs>
          <w:tab w:leader="none" w:pos="2260" w:val="left"/>
        </w:tabs>
        <w:numPr>
          <w:ilvl w:val="1"/>
          <w:numId w:val="60"/>
        </w:numPr>
        <w:rPr>
          <w:rFonts w:ascii="Arial" w:cs="Arial" w:eastAsia="Arial" w:hAnsi="Arial"/>
          <w:sz w:val="16"/>
          <w:szCs w:val="16"/>
          <w:color w:val="auto"/>
        </w:rPr>
      </w:pPr>
      <w:r>
        <w:rPr>
          <w:rFonts w:ascii="Arial" w:cs="Arial" w:eastAsia="Arial" w:hAnsi="Arial"/>
          <w:sz w:val="16"/>
          <w:szCs w:val="16"/>
          <w:color w:val="auto"/>
        </w:rPr>
        <w:t xml:space="preserve">during the Severance Period, the Company shall continue to provide to the Executive and the Executive’s family those benefits which would have been provided to them if the Executive’s employment had not been terminated, in accordance with the applicable Benefit Plans in effect on the Date of Termination (to the extent such benefits can be provided to non-employees, or to the extent such health insurance benefits cannot be provided to non-employees, then the cash equivalent thereof, based on the cost thereof to the Company, which cash amount shall be paid proportionately over the Severance Period, monthly in advance); </w:t>
      </w:r>
      <w:r>
        <w:rPr>
          <w:rFonts w:ascii="Arial" w:cs="Arial" w:eastAsia="Arial" w:hAnsi="Arial"/>
          <w:sz w:val="16"/>
          <w:szCs w:val="16"/>
          <w:u w:val="single" w:color="auto"/>
          <w:color w:val="auto"/>
        </w:rPr>
        <w:t>provided</w:t>
      </w:r>
      <w:r>
        <w:rPr>
          <w:rFonts w:ascii="Arial" w:cs="Arial" w:eastAsia="Arial" w:hAnsi="Arial"/>
          <w:sz w:val="16"/>
          <w:szCs w:val="16"/>
          <w:color w:val="auto"/>
        </w:rPr>
        <w:t>, however, (1) that if the Executive becomes reemployed with another employer and is eligible to receive a particular type of benefits (e.g., health insurance benefits) from such employer on terms at least as favorable to the Executive and his family as those being provided by the Company, then the Company shall no longer be required to provide those particular benefits to the Executive and his family; and (2) to the extent that such payments are taxable to the Executive and/or extend beyond the COBRA continuation period, then such payments shall be made monthly in advance.</w:t>
      </w:r>
    </w:p>
    <w:p>
      <w:pPr>
        <w:spacing w:after="0" w:line="118" w:lineRule="exact"/>
        <w:rPr>
          <w:rFonts w:ascii="Arial" w:cs="Arial" w:eastAsia="Arial" w:hAnsi="Arial"/>
          <w:sz w:val="16"/>
          <w:szCs w:val="16"/>
          <w:color w:val="auto"/>
        </w:rPr>
      </w:pPr>
    </w:p>
    <w:p>
      <w:pPr>
        <w:jc w:val="both"/>
        <w:ind w:firstLine="1492"/>
        <w:spacing w:after="0" w:line="291" w:lineRule="auto"/>
        <w:tabs>
          <w:tab w:leader="none" w:pos="1746"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Other Terminations</w:t>
      </w:r>
      <w:r>
        <w:rPr>
          <w:rFonts w:ascii="Arial" w:cs="Arial" w:eastAsia="Arial" w:hAnsi="Arial"/>
          <w:sz w:val="16"/>
          <w:szCs w:val="16"/>
          <w:color w:val="auto"/>
        </w:rPr>
        <w:t>. If, prior to the Change in Control Date, the Executive’s employment with the Company is terminated other than under the circumstances described in Section 4.1(a), then the Company shall (i) pay the Executive (or his estate, if applicable), in a lump sum in cash on the Date of Termination, the Accrued Obligations and (ii) to the extent not previously paid or provided, timely pay or provide to the Executive any other amounts or benefits required to be paid or provided or which the Executive is eligible to receive following the Executive’s termination of employment under any plan, program, policy, practice, contract or agreement of the Company and its subsidiaries (such other amounts and benefits shall be hereinafter referred to as the “Other Benefits”), the distribution of which shall be subject to the provisions of Section 4.7.</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Termination Following Change in Control Date</w:t>
      </w:r>
      <w:r>
        <w:rPr>
          <w:rFonts w:ascii="Arial" w:cs="Arial" w:eastAsia="Arial" w:hAnsi="Arial"/>
          <w:sz w:val="18"/>
          <w:szCs w:val="18"/>
          <w:color w:val="auto"/>
        </w:rPr>
        <w:t>.</w:t>
      </w:r>
    </w:p>
    <w:p>
      <w:pPr>
        <w:spacing w:after="0" w:line="90" w:lineRule="exact"/>
        <w:rPr>
          <w:sz w:val="20"/>
          <w:szCs w:val="20"/>
          <w:color w:val="auto"/>
        </w:rPr>
      </w:pPr>
    </w:p>
    <w:p>
      <w:pPr>
        <w:jc w:val="both"/>
        <w:ind w:firstLine="1492"/>
        <w:spacing w:after="0" w:line="256" w:lineRule="auto"/>
        <w:tabs>
          <w:tab w:leader="none" w:pos="1722"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Termination within 12 Months Following Change in Control Date</w:t>
      </w:r>
      <w:r>
        <w:rPr>
          <w:rFonts w:ascii="Arial" w:cs="Arial" w:eastAsia="Arial" w:hAnsi="Arial"/>
          <w:sz w:val="18"/>
          <w:szCs w:val="18"/>
          <w:color w:val="auto"/>
        </w:rPr>
        <w:t>. If the Company terminates the Executive’s employment other than for Cause, Disability or death within 12 months following the Change in Control Date, or if the Executive terminates his employment for Good Reason within 12 months following the Change in Control Date, then the Executive shall be entitled to the following benefits, the distribution of which shall be subject to the provisions of Sections 4.4 and 4.7:</w:t>
      </w:r>
    </w:p>
    <w:p>
      <w:pPr>
        <w:spacing w:after="0" w:line="62" w:lineRule="exact"/>
        <w:rPr>
          <w:rFonts w:ascii="Arial" w:cs="Arial" w:eastAsia="Arial" w:hAnsi="Arial"/>
          <w:sz w:val="18"/>
          <w:szCs w:val="18"/>
          <w:color w:val="auto"/>
        </w:rPr>
      </w:pPr>
    </w:p>
    <w:p>
      <w:pPr>
        <w:ind w:left="2180" w:hanging="232"/>
        <w:spacing w:after="0"/>
        <w:tabs>
          <w:tab w:leader="none" w:pos="2180" w:val="left"/>
        </w:tabs>
        <w:numPr>
          <w:ilvl w:val="2"/>
          <w:numId w:val="62"/>
        </w:numPr>
        <w:rPr>
          <w:rFonts w:ascii="Arial" w:cs="Arial" w:eastAsia="Arial" w:hAnsi="Arial"/>
          <w:sz w:val="16"/>
          <w:szCs w:val="16"/>
          <w:color w:val="auto"/>
        </w:rPr>
      </w:pPr>
      <w:r>
        <w:rPr>
          <w:rFonts w:ascii="Arial" w:cs="Arial" w:eastAsia="Arial" w:hAnsi="Arial"/>
          <w:sz w:val="16"/>
          <w:szCs w:val="16"/>
          <w:color w:val="auto"/>
        </w:rPr>
        <w:t>the Company shall pay to the Executive, in a lump sum in cash on the Date of Termination, (A) the Accrued Obligations and</w:t>
      </w:r>
    </w:p>
    <w:p>
      <w:pPr>
        <w:spacing w:after="0" w:line="38" w:lineRule="exact"/>
        <w:rPr>
          <w:rFonts w:ascii="Arial" w:cs="Arial" w:eastAsia="Arial" w:hAnsi="Arial"/>
          <w:sz w:val="16"/>
          <w:szCs w:val="16"/>
          <w:color w:val="auto"/>
        </w:rPr>
      </w:pPr>
    </w:p>
    <w:p>
      <w:pPr>
        <w:jc w:val="both"/>
        <w:ind w:firstLine="8"/>
        <w:spacing w:after="0" w:line="255" w:lineRule="auto"/>
        <w:tabs>
          <w:tab w:leader="none" w:pos="304"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product of (x) the annual target bonus payable to the Executive for the fiscal year in which the Date of Termination occurs and (y) a fraction, the numerator of which is the number of days in the then-current fiscal year through the Date of Termination, and the denominator of which is 365, less any portion of such bonus previously paid to the Executive;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54" w:name="page55"/>
    <w:bookmarkEnd w:id="54"/>
    <w:p>
      <w:pPr>
        <w:ind w:right="20" w:firstLine="1948"/>
        <w:spacing w:after="0" w:line="332" w:lineRule="auto"/>
        <w:tabs>
          <w:tab w:leader="none" w:pos="2222" w:val="left"/>
        </w:tabs>
        <w:numPr>
          <w:ilvl w:val="1"/>
          <w:numId w:val="6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the Severance Period, the Company shall continue to pay to the Executive, in accordance with the Company’s regular payroll practices, the Executive’s highest annual base salary during the two-year period prior to the Date of Termination; and</w:t>
      </w:r>
    </w:p>
    <w:p>
      <w:pPr>
        <w:spacing w:after="0" w:line="85" w:lineRule="exact"/>
        <w:rPr>
          <w:rFonts w:ascii="Arial" w:cs="Arial" w:eastAsia="Arial" w:hAnsi="Arial"/>
          <w:sz w:val="16"/>
          <w:szCs w:val="16"/>
          <w:color w:val="auto"/>
        </w:rPr>
      </w:pPr>
    </w:p>
    <w:p>
      <w:pPr>
        <w:jc w:val="both"/>
        <w:ind w:firstLine="1948"/>
        <w:spacing w:after="0" w:line="289" w:lineRule="auto"/>
        <w:tabs>
          <w:tab w:leader="none" w:pos="2260" w:val="left"/>
        </w:tabs>
        <w:numPr>
          <w:ilvl w:val="1"/>
          <w:numId w:val="64"/>
        </w:numPr>
        <w:rPr>
          <w:rFonts w:ascii="Arial" w:cs="Arial" w:eastAsia="Arial" w:hAnsi="Arial"/>
          <w:sz w:val="16"/>
          <w:szCs w:val="16"/>
          <w:color w:val="auto"/>
        </w:rPr>
      </w:pPr>
      <w:r>
        <w:rPr>
          <w:rFonts w:ascii="Arial" w:cs="Arial" w:eastAsia="Arial" w:hAnsi="Arial"/>
          <w:sz w:val="16"/>
          <w:szCs w:val="16"/>
          <w:color w:val="auto"/>
        </w:rPr>
        <w:t xml:space="preserve">during the Severance Period, the Company shall continue to provide to the Executive and the Executive’s family those benefits which would have been provided to them if the Executive’s employment had not been terminated, in accordance with the applicable Benefit Plans in effect on the Date of Termination (to the extent such benefits can be provided to non-employees, or to the extent such health benefits cannot be provided to non-employees, then the cash equivalent thereof, based on the cost thereof to the Company, which cash amount shall be paid proportionately over the Severance Period, monthly in advance); </w:t>
      </w:r>
      <w:r>
        <w:rPr>
          <w:rFonts w:ascii="Arial" w:cs="Arial" w:eastAsia="Arial" w:hAnsi="Arial"/>
          <w:sz w:val="16"/>
          <w:szCs w:val="16"/>
          <w:u w:val="single" w:color="auto"/>
          <w:color w:val="auto"/>
        </w:rPr>
        <w:t>provided</w:t>
      </w:r>
      <w:r>
        <w:rPr>
          <w:rFonts w:ascii="Arial" w:cs="Arial" w:eastAsia="Arial" w:hAnsi="Arial"/>
          <w:sz w:val="16"/>
          <w:szCs w:val="16"/>
          <w:color w:val="auto"/>
        </w:rPr>
        <w:t>, however, (1) that if the Executive becomes reemployed with another employer and is eligible to receive a particular type of benefits (e.g., health insurance benefits) from such employer on terms at least as favorable to the Executive and his family as those being provided by the Company, then the Company shall no longer be required to provide those particular benefits to the Executive and his family; and (2) to the extent that such payments are taxable to the executive and/or extend beyond the COBRA continuation period, then such payments shall be made monthly in advance.</w:t>
      </w:r>
    </w:p>
    <w:p>
      <w:pPr>
        <w:spacing w:after="0" w:line="118" w:lineRule="exact"/>
        <w:rPr>
          <w:rFonts w:ascii="Arial" w:cs="Arial" w:eastAsia="Arial" w:hAnsi="Arial"/>
          <w:sz w:val="16"/>
          <w:szCs w:val="16"/>
          <w:color w:val="auto"/>
        </w:rPr>
      </w:pPr>
    </w:p>
    <w:p>
      <w:pPr>
        <w:jc w:val="both"/>
        <w:ind w:firstLine="1492"/>
        <w:spacing w:after="0" w:line="259" w:lineRule="auto"/>
        <w:tabs>
          <w:tab w:leader="none" w:pos="1746"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Termination More Than 12 Months Following Change in Control Date</w:t>
      </w:r>
      <w:r>
        <w:rPr>
          <w:rFonts w:ascii="Arial" w:cs="Arial" w:eastAsia="Arial" w:hAnsi="Arial"/>
          <w:sz w:val="18"/>
          <w:szCs w:val="18"/>
          <w:color w:val="auto"/>
        </w:rPr>
        <w:t>. If the Company terminates the Executive’s employment other than for Cause, Disability or death more than 12 months following the Change in Control Date, then the Executive shall be entitled to the following benefits, the distribution of which shall be subject to the provisions of Sections 4.4 and 4.7:</w:t>
      </w:r>
    </w:p>
    <w:p>
      <w:pPr>
        <w:spacing w:after="0" w:line="59" w:lineRule="exact"/>
        <w:rPr>
          <w:rFonts w:ascii="Arial" w:cs="Arial" w:eastAsia="Arial" w:hAnsi="Arial"/>
          <w:sz w:val="18"/>
          <w:szCs w:val="18"/>
          <w:color w:val="auto"/>
        </w:rPr>
      </w:pPr>
    </w:p>
    <w:p>
      <w:pPr>
        <w:ind w:left="2160" w:hanging="212"/>
        <w:spacing w:after="0"/>
        <w:tabs>
          <w:tab w:leader="none" w:pos="21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Company shall pay to the Executive, in a lump sum in cash on the Date of Termination, the Accrued Obligations;</w:t>
      </w:r>
    </w:p>
    <w:p>
      <w:pPr>
        <w:spacing w:after="0" w:line="171" w:lineRule="exact"/>
        <w:rPr>
          <w:rFonts w:ascii="Arial" w:cs="Arial" w:eastAsia="Arial" w:hAnsi="Arial"/>
          <w:sz w:val="18"/>
          <w:szCs w:val="18"/>
          <w:color w:val="auto"/>
        </w:rPr>
      </w:pPr>
    </w:p>
    <w:p>
      <w:pPr>
        <w:ind w:right="20" w:firstLine="1948"/>
        <w:spacing w:after="0" w:line="332" w:lineRule="auto"/>
        <w:tabs>
          <w:tab w:leader="none" w:pos="2222" w:val="left"/>
        </w:tabs>
        <w:numPr>
          <w:ilvl w:val="1"/>
          <w:numId w:val="65"/>
        </w:numPr>
        <w:rPr>
          <w:rFonts w:ascii="Arial" w:cs="Arial" w:eastAsia="Arial" w:hAnsi="Arial"/>
          <w:sz w:val="16"/>
          <w:szCs w:val="16"/>
          <w:color w:val="auto"/>
        </w:rPr>
      </w:pPr>
      <w:r>
        <w:rPr>
          <w:rFonts w:ascii="Arial" w:cs="Arial" w:eastAsia="Arial" w:hAnsi="Arial"/>
          <w:sz w:val="16"/>
          <w:szCs w:val="16"/>
          <w:color w:val="auto"/>
        </w:rPr>
        <w:t>during the Severance Period, the Company shall continue to pay to the Executive, in accordance with the Company’s regular payroll practices, the Executive’s highest annual base salary during the two-year period prior to the Date of Termination; and</w:t>
      </w:r>
    </w:p>
    <w:p>
      <w:pPr>
        <w:spacing w:after="0" w:line="85" w:lineRule="exact"/>
        <w:rPr>
          <w:rFonts w:ascii="Arial" w:cs="Arial" w:eastAsia="Arial" w:hAnsi="Arial"/>
          <w:sz w:val="16"/>
          <w:szCs w:val="16"/>
          <w:color w:val="auto"/>
        </w:rPr>
      </w:pPr>
    </w:p>
    <w:p>
      <w:pPr>
        <w:jc w:val="both"/>
        <w:ind w:firstLine="1948"/>
        <w:spacing w:after="0" w:line="256" w:lineRule="auto"/>
        <w:tabs>
          <w:tab w:leader="none" w:pos="22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during the Severance Period, the Company shall continue to provide to the Executive and the Executive’s family those benefits which would have been provided to them if the Executive’s employment had not been terminated, in accordance with the applicable Benefit Plans in effect on the Date of Termination (to the extent such health benefits can be provided to non-employees, or to the extent such benefits cannot be provided to non-employees, then the cash equivalent thereof, based on the cost thereof to the Company, which</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55" w:name="page56"/>
    <w:bookmarkEnd w:id="55"/>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cash amount shall be paid proportionately over the Severance Period, monthly in advance); </w:t>
      </w:r>
      <w:r>
        <w:rPr>
          <w:rFonts w:ascii="Arial" w:cs="Arial" w:eastAsia="Arial" w:hAnsi="Arial"/>
          <w:sz w:val="18"/>
          <w:szCs w:val="18"/>
          <w:u w:val="single" w:color="auto"/>
          <w:color w:val="auto"/>
        </w:rPr>
        <w:t>provided</w:t>
      </w:r>
      <w:r>
        <w:rPr>
          <w:rFonts w:ascii="Arial" w:cs="Arial" w:eastAsia="Arial" w:hAnsi="Arial"/>
          <w:sz w:val="18"/>
          <w:szCs w:val="18"/>
          <w:color w:val="auto"/>
        </w:rPr>
        <w:t>, however, (1) that if the Executive becomes reemployed with another employer and is eligible to receive a particular type of benefits (e.g., health insurance benefits) from such employer on terms at least as favorable to the Executive and his family as those being provided by the Company, then the Company shall no longer be required to provide those particular benefits to the Executive and his family; and (2) to the extent that such payments are taxable to the Executive and/or extend beyond the COBRA continuation period, then such payments shall be made monthly in advance.</w:t>
      </w:r>
    </w:p>
    <w:p>
      <w:pPr>
        <w:spacing w:after="0" w:line="143" w:lineRule="exact"/>
        <w:rPr>
          <w:sz w:val="20"/>
          <w:szCs w:val="20"/>
          <w:color w:val="auto"/>
        </w:rPr>
      </w:pPr>
    </w:p>
    <w:p>
      <w:pPr>
        <w:jc w:val="both"/>
        <w:ind w:firstLine="1492"/>
        <w:spacing w:after="0" w:line="256" w:lineRule="auto"/>
        <w:tabs>
          <w:tab w:leader="none" w:pos="1722"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Other Terminations</w:t>
      </w:r>
      <w:r>
        <w:rPr>
          <w:rFonts w:ascii="Arial" w:cs="Arial" w:eastAsia="Arial" w:hAnsi="Arial"/>
          <w:sz w:val="18"/>
          <w:szCs w:val="18"/>
          <w:color w:val="auto"/>
        </w:rPr>
        <w:t>. If, following the Change in Control Date, the Executive’s employment with the Company is terminated other than under the circumstances described in Section 4.2(a) or Section 4.2(b), then the Company shall (i) pay the Executive (or his estate, if applicable), in a lump sum in cash on the Date of Termination, the Accrued Obligations and (ii) to the extent not previously paid or provided, timely pay or provide to the Executive the Other Benefits, the distribution of which shall be subject to the provisions of Section 4.7.</w:t>
      </w:r>
    </w:p>
    <w:p>
      <w:pPr>
        <w:spacing w:after="0" w:line="143" w:lineRule="exact"/>
        <w:rPr>
          <w:rFonts w:ascii="Arial" w:cs="Arial" w:eastAsia="Arial" w:hAnsi="Arial"/>
          <w:sz w:val="18"/>
          <w:szCs w:val="18"/>
          <w:color w:val="auto"/>
        </w:rPr>
      </w:pPr>
    </w:p>
    <w:p>
      <w:pPr>
        <w:jc w:val="both"/>
        <w:ind w:firstLine="1492"/>
        <w:spacing w:after="0" w:line="259" w:lineRule="auto"/>
        <w:tabs>
          <w:tab w:leader="none" w:pos="1746"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Subject to Section 4.7, the Company agrees to reimburse the Executive for all legal and other fees and expenses that the Executive reasonably incurs as a result of any claim or dispute regarding the benefits due to the Executive pursuant to this Section 4.2 if the Executive prevails in such claim or dispute.</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Section 280G Provisions</w:t>
      </w:r>
      <w:r>
        <w:rPr>
          <w:rFonts w:ascii="Arial" w:cs="Arial" w:eastAsia="Arial" w:hAnsi="Arial"/>
          <w:sz w:val="18"/>
          <w:szCs w:val="18"/>
          <w:color w:val="auto"/>
        </w:rPr>
        <w:t>.</w:t>
      </w:r>
    </w:p>
    <w:p>
      <w:pPr>
        <w:spacing w:after="0" w:line="90" w:lineRule="exact"/>
        <w:rPr>
          <w:sz w:val="20"/>
          <w:szCs w:val="20"/>
          <w:color w:val="auto"/>
        </w:rPr>
      </w:pPr>
    </w:p>
    <w:p>
      <w:pPr>
        <w:jc w:val="both"/>
        <w:ind w:firstLine="1492"/>
        <w:spacing w:after="0" w:line="291" w:lineRule="auto"/>
        <w:tabs>
          <w:tab w:leader="none" w:pos="1728" w:val="left"/>
        </w:tabs>
        <w:numPr>
          <w:ilvl w:val="0"/>
          <w:numId w:val="67"/>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in the event that the Company undergoes a Change in Ownership or Control (as defined below), the Company shall not be obligated to provide to the Executive a portion of any Contingent Compensation Payments (as defined below) that the Executive would otherwise be entitled to receive to the extent necessary to eliminate Excess Parachute Payments (as defined below) for the Executive, except as set forth in Section 4.3(b). For purposes of this Section 4.3, the Contingent Compensation Payments so eliminated shall be referred to as the “Eliminated Payments” and the aggregate amount (determined in accordance with Treasury Regulation Section 1.280G-1, Q/A-30 or any successor provision) of the Contingent Compensation Payments so eliminated shall be referred to as the “Eliminated Amount.”</w:t>
      </w:r>
    </w:p>
    <w:p>
      <w:pPr>
        <w:spacing w:after="0" w:line="120" w:lineRule="exact"/>
        <w:rPr>
          <w:rFonts w:ascii="Arial" w:cs="Arial" w:eastAsia="Arial" w:hAnsi="Arial"/>
          <w:sz w:val="16"/>
          <w:szCs w:val="16"/>
          <w:color w:val="auto"/>
        </w:rPr>
      </w:pPr>
    </w:p>
    <w:p>
      <w:pPr>
        <w:jc w:val="both"/>
        <w:ind w:firstLine="1492"/>
        <w:spacing w:after="0" w:line="253" w:lineRule="auto"/>
        <w:tabs>
          <w:tab w:leader="none" w:pos="1758"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Notwithstanding the provisions of Section 4.3(a), no such reduction in Contingent Compensation Payments shall be made if (i) the Eliminated Amount (computed without regard to this sentence) exceeds (ii) 110% of the aggregate present value (determined in accordance with Treasury Regulation Section 1.280G-1, Q/A-31, Q/A-32, Q/A-33 or any successor provisions) of the amount of any additional taxes that would be incurred by the Executive if the Eliminated Payments (determined without regard to this sentence) were paid to him (including, state and federal income taxes on the Eliminated Payments, the excise tax imposed by Section 4999 of the Internal Revenue Code of 1986, as amended (the “Code”, which term shall include applicable Treasury Regulations), payable with respect to all of the Contingent Compensation Payments in excess of the Executive’s “base amount” (as defined in Section 280G(b)(3) of the Code), and any withholding taxes). The override of such reduction in Contingent Compensation Payments pursuant to this Section 4.3(b) shall be referred to as a</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56" w:name="page57"/>
    <w:bookmarkEnd w:id="56"/>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4.3(b) Override.” For purposes of this paragraph, if any federal, state or local income taxes would be attributable to the receipt of any Eliminated Payment, the amount of such taxes shall be computed by multiplying the amount of the Eliminated Payment by the maximum combined federal, state and local income tax rate provided by law.</w:t>
      </w:r>
    </w:p>
    <w:p>
      <w:pPr>
        <w:spacing w:after="0" w:line="140" w:lineRule="exact"/>
        <w:rPr>
          <w:sz w:val="20"/>
          <w:szCs w:val="20"/>
          <w:color w:val="auto"/>
        </w:rPr>
      </w:pPr>
    </w:p>
    <w:p>
      <w:pPr>
        <w:ind w:left="1740" w:hanging="248"/>
        <w:spacing w:after="0"/>
        <w:tabs>
          <w:tab w:leader="none" w:pos="1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 purposes of this Section 4.3 the following terms shall have the following respective meanings:</w:t>
      </w:r>
    </w:p>
    <w:p>
      <w:pPr>
        <w:spacing w:after="0" w:line="90" w:lineRule="exact"/>
        <w:rPr>
          <w:rFonts w:ascii="Arial" w:cs="Arial" w:eastAsia="Arial" w:hAnsi="Arial"/>
          <w:sz w:val="18"/>
          <w:szCs w:val="18"/>
          <w:color w:val="auto"/>
        </w:rPr>
      </w:pPr>
    </w:p>
    <w:p>
      <w:pPr>
        <w:ind w:firstLine="1948"/>
        <w:spacing w:after="0" w:line="268" w:lineRule="auto"/>
        <w:tabs>
          <w:tab w:leader="none" w:pos="2157" w:val="left"/>
        </w:tabs>
        <w:numPr>
          <w:ilvl w:val="1"/>
          <w:numId w:val="68"/>
        </w:numPr>
        <w:rPr>
          <w:rFonts w:ascii="Arial" w:cs="Arial" w:eastAsia="Arial" w:hAnsi="Arial"/>
          <w:sz w:val="18"/>
          <w:szCs w:val="18"/>
          <w:color w:val="auto"/>
        </w:rPr>
      </w:pPr>
      <w:r>
        <w:rPr>
          <w:rFonts w:ascii="Arial" w:cs="Arial" w:eastAsia="Arial" w:hAnsi="Arial"/>
          <w:sz w:val="18"/>
          <w:szCs w:val="18"/>
          <w:color w:val="auto"/>
        </w:rPr>
        <w:t>“Change in Ownership or Control” shall mean a change in the ownership or effective control of the Company or in the ownership of a substantial portion of the assets of the Company determined in accordance with Section 280G(b)(2) of the Code.</w:t>
      </w:r>
    </w:p>
    <w:p>
      <w:pPr>
        <w:spacing w:after="0" w:line="131" w:lineRule="exact"/>
        <w:rPr>
          <w:rFonts w:ascii="Arial" w:cs="Arial" w:eastAsia="Arial" w:hAnsi="Arial"/>
          <w:sz w:val="18"/>
          <w:szCs w:val="18"/>
          <w:color w:val="auto"/>
        </w:rPr>
      </w:pPr>
    </w:p>
    <w:p>
      <w:pPr>
        <w:jc w:val="both"/>
        <w:ind w:firstLine="1948"/>
        <w:spacing w:after="0" w:line="259" w:lineRule="auto"/>
        <w:tabs>
          <w:tab w:leader="none" w:pos="2216" w:val="left"/>
        </w:tabs>
        <w:numPr>
          <w:ilvl w:val="1"/>
          <w:numId w:val="68"/>
        </w:numPr>
        <w:rPr>
          <w:rFonts w:ascii="Arial" w:cs="Arial" w:eastAsia="Arial" w:hAnsi="Arial"/>
          <w:sz w:val="18"/>
          <w:szCs w:val="18"/>
          <w:color w:val="auto"/>
        </w:rPr>
      </w:pPr>
      <w:r>
        <w:rPr>
          <w:rFonts w:ascii="Arial" w:cs="Arial" w:eastAsia="Arial" w:hAnsi="Arial"/>
          <w:sz w:val="18"/>
          <w:szCs w:val="18"/>
          <w:color w:val="auto"/>
        </w:rPr>
        <w:t>“Contingent Compensation Payment” shall mean any payment (or benefit) in the nature of compensation that is made or made available (under this Agreement or otherwise) to a “disqualified individual” (as defined in Section 280G(c) of the Code) and that is contingent (within the meaning of Section 280G(b)(2)(A)(i) of the Code) on a Change in Ownership or Control of the Company.</w:t>
      </w:r>
    </w:p>
    <w:p>
      <w:pPr>
        <w:spacing w:after="0" w:line="140" w:lineRule="exact"/>
        <w:rPr>
          <w:rFonts w:ascii="Arial" w:cs="Arial" w:eastAsia="Arial" w:hAnsi="Arial"/>
          <w:sz w:val="18"/>
          <w:szCs w:val="18"/>
          <w:color w:val="auto"/>
        </w:rPr>
      </w:pPr>
    </w:p>
    <w:p>
      <w:pPr>
        <w:ind w:left="2260" w:hanging="312"/>
        <w:spacing w:after="0"/>
        <w:tabs>
          <w:tab w:leader="none" w:pos="22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“Excess Parachute Payment” shall mean a payment described in Section 280G(b)(1) of the Code.</w:t>
      </w:r>
    </w:p>
    <w:p>
      <w:pPr>
        <w:spacing w:after="0" w:line="171" w:lineRule="exact"/>
        <w:rPr>
          <w:rFonts w:ascii="Arial" w:cs="Arial" w:eastAsia="Arial" w:hAnsi="Arial"/>
          <w:sz w:val="18"/>
          <w:szCs w:val="18"/>
          <w:color w:val="auto"/>
        </w:rPr>
      </w:pPr>
    </w:p>
    <w:p>
      <w:pPr>
        <w:jc w:val="both"/>
        <w:ind w:firstLine="1492"/>
        <w:spacing w:after="0" w:line="259" w:lineRule="auto"/>
        <w:tabs>
          <w:tab w:leader="none" w:pos="1746"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payments or other benefits otherwise due to the Executive following a Change in Ownership or Control that could reasonably be characterized (as determined by the Company) as Contingent Compensation Payments (the “Potential Payments”) shall not be made until the dates provided for in this Section 4.3(d).</w:t>
      </w:r>
    </w:p>
    <w:p>
      <w:pPr>
        <w:spacing w:after="0" w:line="140" w:lineRule="exact"/>
        <w:rPr>
          <w:rFonts w:ascii="Arial" w:cs="Arial" w:eastAsia="Arial" w:hAnsi="Arial"/>
          <w:sz w:val="18"/>
          <w:szCs w:val="18"/>
          <w:color w:val="auto"/>
        </w:rPr>
      </w:pPr>
    </w:p>
    <w:p>
      <w:pPr>
        <w:jc w:val="both"/>
        <w:ind w:firstLine="1948"/>
        <w:spacing w:after="0" w:line="253" w:lineRule="auto"/>
        <w:tabs>
          <w:tab w:leader="none" w:pos="2179" w:val="left"/>
        </w:tabs>
        <w:numPr>
          <w:ilvl w:val="1"/>
          <w:numId w:val="68"/>
        </w:numPr>
        <w:rPr>
          <w:rFonts w:ascii="Arial" w:cs="Arial" w:eastAsia="Arial" w:hAnsi="Arial"/>
          <w:sz w:val="18"/>
          <w:szCs w:val="18"/>
          <w:color w:val="auto"/>
        </w:rPr>
      </w:pPr>
      <w:r>
        <w:rPr>
          <w:rFonts w:ascii="Arial" w:cs="Arial" w:eastAsia="Arial" w:hAnsi="Arial"/>
          <w:sz w:val="18"/>
          <w:szCs w:val="18"/>
          <w:color w:val="auto"/>
        </w:rPr>
        <w:t>In the event that the Company undergoes a Change in Ownership or Control, and the Executive becomes entitled to receive Contingent Compensation Payments relating to such Change in Ownership or Control, the Company shall (A) determine at such time or times as may be necessary to comply with the requirements under Section 280G of the Code whether such Contingent Compensation Payments constitute in whole or in part Excess Parachute Payments and (B) in the event the Company determines that such Contingent Compensation Payments constitute in whole or in part Excess Parachute Payments, notify the Executive (within 30 days after each such determination and with reasonable detail regarding the basis for its determinations) of the following: (1) which Potential Payments constitute Contingent Compensation Payments, (2) the Eliminated Amount and (3) whether the Section 4.3(b) Override is applicable.</w:t>
      </w:r>
    </w:p>
    <w:p>
      <w:pPr>
        <w:spacing w:after="0" w:line="147" w:lineRule="exact"/>
        <w:rPr>
          <w:rFonts w:ascii="Arial" w:cs="Arial" w:eastAsia="Arial" w:hAnsi="Arial"/>
          <w:sz w:val="18"/>
          <w:szCs w:val="18"/>
          <w:color w:val="auto"/>
        </w:rPr>
      </w:pPr>
    </w:p>
    <w:p>
      <w:pPr>
        <w:jc w:val="both"/>
        <w:ind w:firstLine="1948"/>
        <w:spacing w:after="0" w:line="256" w:lineRule="auto"/>
        <w:tabs>
          <w:tab w:leader="none" w:pos="2233" w:val="left"/>
        </w:tabs>
        <w:numPr>
          <w:ilvl w:val="1"/>
          <w:numId w:val="68"/>
        </w:numPr>
        <w:rPr>
          <w:rFonts w:ascii="Arial" w:cs="Arial" w:eastAsia="Arial" w:hAnsi="Arial"/>
          <w:sz w:val="18"/>
          <w:szCs w:val="18"/>
          <w:color w:val="auto"/>
        </w:rPr>
      </w:pPr>
      <w:r>
        <w:rPr>
          <w:rFonts w:ascii="Arial" w:cs="Arial" w:eastAsia="Arial" w:hAnsi="Arial"/>
          <w:sz w:val="18"/>
          <w:szCs w:val="18"/>
          <w:color w:val="auto"/>
        </w:rPr>
        <w:t>Within 30 days after delivery of such notice to the Executive, the Executive shall deliver a response to the Company (the “Executive Response”) stating either (A) that he agrees with the Company’s determination pursuant to the preceding sentence, or (B) that he disagrees with such determination, in which case he shall set forth (1) which Potential Payments should be characterized as Contingent Compensation Payments, (2) the Eliminated Amount, or (3) whether the Section 4.3(b) Override is applicable</w:t>
      </w:r>
    </w:p>
    <w:p>
      <w:pPr>
        <w:spacing w:after="0" w:line="143" w:lineRule="exact"/>
        <w:rPr>
          <w:rFonts w:ascii="Arial" w:cs="Arial" w:eastAsia="Arial" w:hAnsi="Arial"/>
          <w:sz w:val="18"/>
          <w:szCs w:val="18"/>
          <w:color w:val="auto"/>
        </w:rPr>
      </w:pPr>
    </w:p>
    <w:p>
      <w:pPr>
        <w:ind w:right="20" w:firstLine="1948"/>
        <w:spacing w:after="0" w:line="332" w:lineRule="auto"/>
        <w:tabs>
          <w:tab w:leader="none" w:pos="2260" w:val="left"/>
        </w:tabs>
        <w:numPr>
          <w:ilvl w:val="1"/>
          <w:numId w:val="68"/>
        </w:numPr>
        <w:rPr>
          <w:rFonts w:ascii="Arial" w:cs="Arial" w:eastAsia="Arial" w:hAnsi="Arial"/>
          <w:sz w:val="16"/>
          <w:szCs w:val="16"/>
          <w:color w:val="auto"/>
        </w:rPr>
      </w:pPr>
      <w:r>
        <w:rPr>
          <w:rFonts w:ascii="Arial" w:cs="Arial" w:eastAsia="Arial" w:hAnsi="Arial"/>
          <w:sz w:val="16"/>
          <w:szCs w:val="16"/>
          <w:color w:val="auto"/>
        </w:rPr>
        <w:t>If and to the extent that any Contingent Compensation Payments are required to be treated as Eliminated Payments pursuant to this Section 4.3, then the Payments shall be reduced or eliminated, as determined by the Company, in the following order:</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57" w:name="page58"/>
    <w:bookmarkEnd w:id="57"/>
    <w:p>
      <w:pPr>
        <w:jc w:val="both"/>
        <w:ind w:firstLine="8"/>
        <w:spacing w:after="0" w:line="259" w:lineRule="auto"/>
        <w:tabs>
          <w:tab w:leader="none" w:pos="292" w:val="left"/>
        </w:tabs>
        <w:numPr>
          <w:ilvl w:val="0"/>
          <w:numId w:val="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cash payments, (B) any taxable benefits, (C) any nontaxable benefits, and (D) any vesting of equity awards, in each case in reverse order beginning with payments or benefits that are to be paid the farthest in time from the date that triggers the applicability of the excise tax, to the extent necessary to maximize the Eliminated Payments.</w:t>
      </w:r>
    </w:p>
    <w:p>
      <w:pPr>
        <w:spacing w:after="0" w:line="140" w:lineRule="exact"/>
        <w:rPr>
          <w:rFonts w:ascii="Arial" w:cs="Arial" w:eastAsia="Arial" w:hAnsi="Arial"/>
          <w:sz w:val="18"/>
          <w:szCs w:val="18"/>
          <w:color w:val="auto"/>
        </w:rPr>
      </w:pPr>
    </w:p>
    <w:p>
      <w:pPr>
        <w:jc w:val="both"/>
        <w:ind w:firstLine="1948"/>
        <w:spacing w:after="0" w:line="256" w:lineRule="auto"/>
        <w:tabs>
          <w:tab w:leader="none" w:pos="2244" w:val="left"/>
        </w:tabs>
        <w:numPr>
          <w:ilvl w:val="1"/>
          <w:numId w:val="69"/>
        </w:numPr>
        <w:rPr>
          <w:rFonts w:ascii="Arial" w:cs="Arial" w:eastAsia="Arial" w:hAnsi="Arial"/>
          <w:sz w:val="18"/>
          <w:szCs w:val="18"/>
          <w:color w:val="auto"/>
        </w:rPr>
      </w:pPr>
      <w:r>
        <w:rPr>
          <w:rFonts w:ascii="Arial" w:cs="Arial" w:eastAsia="Arial" w:hAnsi="Arial"/>
          <w:sz w:val="18"/>
          <w:szCs w:val="18"/>
          <w:color w:val="auto"/>
        </w:rPr>
        <w:t>If the Executive fails to deliver an Executive Response on or before the required date, the Company’s initial determinations shall be final, and the Company shall make the Potential Payments (other than the Eliminated Payments) to the Executive within 10 business days following the due date for delivery to the Company of the Executive Response (except for any Potential Payments which are not due to be made until after such date, which Potential Payments shall be made on the date on which they are due).</w:t>
      </w:r>
    </w:p>
    <w:p>
      <w:pPr>
        <w:spacing w:after="0" w:line="143" w:lineRule="exact"/>
        <w:rPr>
          <w:rFonts w:ascii="Arial" w:cs="Arial" w:eastAsia="Arial" w:hAnsi="Arial"/>
          <w:sz w:val="18"/>
          <w:szCs w:val="18"/>
          <w:color w:val="auto"/>
        </w:rPr>
      </w:pPr>
    </w:p>
    <w:p>
      <w:pPr>
        <w:jc w:val="both"/>
        <w:ind w:firstLine="1948"/>
        <w:spacing w:after="0" w:line="255" w:lineRule="auto"/>
        <w:tabs>
          <w:tab w:leader="none" w:pos="2222" w:val="left"/>
        </w:tabs>
        <w:numPr>
          <w:ilvl w:val="1"/>
          <w:numId w:val="69"/>
        </w:numPr>
        <w:rPr>
          <w:rFonts w:ascii="Arial" w:cs="Arial" w:eastAsia="Arial" w:hAnsi="Arial"/>
          <w:sz w:val="18"/>
          <w:szCs w:val="18"/>
          <w:color w:val="auto"/>
        </w:rPr>
      </w:pPr>
      <w:r>
        <w:rPr>
          <w:rFonts w:ascii="Arial" w:cs="Arial" w:eastAsia="Arial" w:hAnsi="Arial"/>
          <w:sz w:val="18"/>
          <w:szCs w:val="18"/>
          <w:color w:val="auto"/>
        </w:rPr>
        <w:t>If the Executive states in the Executive Response that he agrees with the Company’s determinations, the Company’s initial determinations shall be final, the Contingent Compensation Payments that shall be treated as Eliminated Payments shall be as set forth in the Executive Response, and the Company shall make the Potential Payments (other than the Eliminated Payments) to the Executive within 10 business days following delivery to the Company of the Executive Response (except for any Potential Payments which are not due to be made until after such date, which Potential Payments shall be made on the date on which they are due).</w:t>
      </w:r>
    </w:p>
    <w:p>
      <w:pPr>
        <w:spacing w:after="0" w:line="142" w:lineRule="exact"/>
        <w:rPr>
          <w:rFonts w:ascii="Arial" w:cs="Arial" w:eastAsia="Arial" w:hAnsi="Arial"/>
          <w:sz w:val="18"/>
          <w:szCs w:val="18"/>
          <w:color w:val="auto"/>
        </w:rPr>
      </w:pPr>
    </w:p>
    <w:p>
      <w:pPr>
        <w:jc w:val="both"/>
        <w:ind w:firstLine="1948"/>
        <w:spacing w:after="0" w:line="289" w:lineRule="auto"/>
        <w:tabs>
          <w:tab w:leader="none" w:pos="2249" w:val="left"/>
        </w:tabs>
        <w:numPr>
          <w:ilvl w:val="1"/>
          <w:numId w:val="69"/>
        </w:numPr>
        <w:rPr>
          <w:rFonts w:ascii="Arial" w:cs="Arial" w:eastAsia="Arial" w:hAnsi="Arial"/>
          <w:sz w:val="16"/>
          <w:szCs w:val="16"/>
          <w:color w:val="auto"/>
        </w:rPr>
      </w:pPr>
      <w:r>
        <w:rPr>
          <w:rFonts w:ascii="Arial" w:cs="Arial" w:eastAsia="Arial" w:hAnsi="Arial"/>
          <w:sz w:val="16"/>
          <w:szCs w:val="16"/>
          <w:color w:val="auto"/>
        </w:rPr>
        <w:t>If the Executive states in the Executive Response that he disagrees with the Company’s determinations, then, for a period of 60 days following delivery of the Executive Response, the Executive and the Company shall use good faith efforts to resolve such dispute. If such dispute is not resolved within such 60-day period, such dispute shall be settled exclusively by arbitration in Boston, Massachusetts, in accordance with the rules of the American Arbitration Association then in effect. Judgment may be entered on the arbitrator’s award in any court having jurisdiction. The Company shall, within 10 business days following delivery to the Company of the Executive Response, make to the Executive those Potential Payments as to which there is no dispute between the Company and the Executive regarding whether they should be made (except for any such Potential Payments which are not due to be made until after such date, which Potential Payments shall be made on the date on which they are due). The balance of the Potential Payments (other than Eliminated Payments) shall be made within 10 business days following the resolution of such dispute.</w:t>
      </w:r>
    </w:p>
    <w:p>
      <w:pPr>
        <w:spacing w:after="0" w:line="118" w:lineRule="exact"/>
        <w:rPr>
          <w:rFonts w:ascii="Arial" w:cs="Arial" w:eastAsia="Arial" w:hAnsi="Arial"/>
          <w:sz w:val="16"/>
          <w:szCs w:val="16"/>
          <w:color w:val="auto"/>
        </w:rPr>
      </w:pPr>
    </w:p>
    <w:p>
      <w:pPr>
        <w:jc w:val="both"/>
        <w:ind w:firstLine="1948"/>
        <w:spacing w:after="0" w:line="259" w:lineRule="auto"/>
        <w:tabs>
          <w:tab w:leader="none" w:pos="2297" w:val="left"/>
        </w:tabs>
        <w:numPr>
          <w:ilvl w:val="1"/>
          <w:numId w:val="69"/>
        </w:numPr>
        <w:rPr>
          <w:rFonts w:ascii="Arial" w:cs="Arial" w:eastAsia="Arial" w:hAnsi="Arial"/>
          <w:sz w:val="18"/>
          <w:szCs w:val="18"/>
          <w:color w:val="auto"/>
        </w:rPr>
      </w:pPr>
      <w:r>
        <w:rPr>
          <w:rFonts w:ascii="Arial" w:cs="Arial" w:eastAsia="Arial" w:hAnsi="Arial"/>
          <w:sz w:val="18"/>
          <w:szCs w:val="18"/>
          <w:color w:val="auto"/>
        </w:rPr>
        <w:t>Subject to the limitations contained in Sections 4.3(a) and (b) hereof, the amount of any payments to be made to the Executive following the resolution of such dispute shall be increased by amount of the accrued interest thereon computed at the prime rate announced from time to time by Bank of America, compounded monthly from the date that such payments originally were due.</w:t>
      </w:r>
    </w:p>
    <w:p>
      <w:pPr>
        <w:spacing w:after="0" w:line="140" w:lineRule="exact"/>
        <w:rPr>
          <w:rFonts w:ascii="Arial" w:cs="Arial" w:eastAsia="Arial" w:hAnsi="Arial"/>
          <w:sz w:val="18"/>
          <w:szCs w:val="18"/>
          <w:color w:val="auto"/>
        </w:rPr>
      </w:pPr>
    </w:p>
    <w:p>
      <w:pPr>
        <w:jc w:val="both"/>
        <w:ind w:firstLine="1948"/>
        <w:spacing w:after="0" w:line="298" w:lineRule="auto"/>
        <w:tabs>
          <w:tab w:leader="none" w:pos="2353" w:val="left"/>
        </w:tabs>
        <w:numPr>
          <w:ilvl w:val="1"/>
          <w:numId w:val="69"/>
        </w:numPr>
        <w:rPr>
          <w:rFonts w:ascii="Arial" w:cs="Arial" w:eastAsia="Arial" w:hAnsi="Arial"/>
          <w:sz w:val="16"/>
          <w:szCs w:val="16"/>
          <w:color w:val="auto"/>
        </w:rPr>
      </w:pPr>
      <w:r>
        <w:rPr>
          <w:rFonts w:ascii="Arial" w:cs="Arial" w:eastAsia="Arial" w:hAnsi="Arial"/>
          <w:sz w:val="16"/>
          <w:szCs w:val="16"/>
          <w:color w:val="auto"/>
        </w:rPr>
        <w:t>In the event the Company is required to perform a redetermination in accordance with Treas. Reg. 1.280G-1 Q/A-33(b) with respect to any Contingent Compensation Payments, this Section 4.3(d) shall apply with respect to such redetermination and the parties shall make such adjustments as may be necessary as a result of such redetermination including, if appropriate, the payment by the Company of Contingent Compensation Payments previously treated as Eliminated Payments if the Section 4.3(b) Override applies as a result of such redetermination.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58" w:name="page59"/>
    <w:bookmarkEnd w:id="58"/>
    <w:p>
      <w:pPr>
        <w:ind w:firstLine="1492"/>
        <w:spacing w:after="0" w:line="332" w:lineRule="auto"/>
        <w:tabs>
          <w:tab w:leader="none" w:pos="1752" w:val="left"/>
        </w:tabs>
        <w:numPr>
          <w:ilvl w:val="0"/>
          <w:numId w:val="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provisions of this Section 4.3 are intended to apply to any and all payments or benefits available to the Executive under this Agreement or any other agreement or plan of the Company under which the Executive receives Contingent Compensation Payments.</w:t>
      </w:r>
    </w:p>
    <w:p>
      <w:pPr>
        <w:spacing w:after="0" w:line="85" w:lineRule="exact"/>
        <w:rPr>
          <w:sz w:val="20"/>
          <w:szCs w:val="20"/>
          <w:color w:val="auto"/>
        </w:rPr>
      </w:pPr>
    </w:p>
    <w:p>
      <w:pPr>
        <w:jc w:val="both"/>
        <w:ind w:firstLine="913"/>
        <w:spacing w:after="0" w:line="273"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Release</w:t>
      </w:r>
      <w:r>
        <w:rPr>
          <w:rFonts w:ascii="Arial" w:cs="Arial" w:eastAsia="Arial" w:hAnsi="Arial"/>
          <w:sz w:val="16"/>
          <w:szCs w:val="16"/>
          <w:color w:val="auto"/>
        </w:rPr>
        <w:t xml:space="preserve">. The obligation of the Company to make the payments and provide the benefits to the Executive under Section 4.1(a), Section 4.2(a) or Section 4.2(b) is conditioned upon the Executive signing a release of claims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or such other form as may be agreed to by the Company and the Executive (the “Employee Release”), within 21 days (the “Release Period”) following the Date of Termination and upon the Executive not revoking the Employee Release in a timely manner thereafter. Provided that the Employee Release has become binding, the payments to the Executive under</w:t>
      </w:r>
    </w:p>
    <w:p>
      <w:pPr>
        <w:jc w:val="both"/>
        <w:spacing w:after="0" w:line="230" w:lineRule="auto"/>
        <w:rPr>
          <w:sz w:val="20"/>
          <w:szCs w:val="20"/>
          <w:color w:val="auto"/>
        </w:rPr>
      </w:pPr>
      <w:r>
        <w:rPr>
          <w:rFonts w:ascii="Arial" w:cs="Arial" w:eastAsia="Arial" w:hAnsi="Arial"/>
          <w:sz w:val="18"/>
          <w:szCs w:val="18"/>
          <w:color w:val="auto"/>
        </w:rPr>
        <w:t>Section 4.1(a), Section 4.2(a) or Section 4.2(b) shall be payable or shall commence on the 30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following the Date of Termination. Notwithstanding the foregoing, the provisions of benefits under Section 4.1(a)(iii), Section 4.2(a)(iii) or Section 4.2(b)(iii) shall continue during the Release Period and any applicable revocation period.</w:t>
      </w:r>
    </w:p>
    <w:p>
      <w:pPr>
        <w:spacing w:after="0" w:line="185"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Exclusive Severance Benefits</w:t>
      </w:r>
      <w:r>
        <w:rPr>
          <w:rFonts w:ascii="Arial" w:cs="Arial" w:eastAsia="Arial" w:hAnsi="Arial"/>
          <w:sz w:val="18"/>
          <w:szCs w:val="18"/>
          <w:color w:val="auto"/>
        </w:rPr>
        <w:t>. The making of the payments and the provision of the benefits by the Company to the Executive under Section 4.1(a), Section 4.2(a) or Section 4.2(b) shall constitute the entire obligation of the Company to the Executive as a result of the termination of his employment under the circumstances set forth in such Sections, and the Executive shall not be entitled to additional payments or benefits under any other plan, program, policy, practice, contract or agreement of the Company or its subsidiaries.</w:t>
      </w:r>
    </w:p>
    <w:p>
      <w:pPr>
        <w:spacing w:after="0" w:line="143"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Mitigation</w:t>
      </w:r>
      <w:r>
        <w:rPr>
          <w:rFonts w:ascii="Arial" w:cs="Arial" w:eastAsia="Arial" w:hAnsi="Arial"/>
          <w:sz w:val="18"/>
          <w:szCs w:val="18"/>
          <w:color w:val="auto"/>
        </w:rPr>
        <w:t>. The Executive shall not be required to mitigate the amount of any payment or benefits provided for in Section 4.1(a), Section 4.2(a) or Section 4.2(b) by seeking other employment or otherwise. Further, except as provided in Section 4.1(a)(iii), Section 4.2(a)(iii) or Section 4.2(b)(iii), the amount of any payment or benefits provided for in Section 4.1(a), Section 4.2(a) or Section 4.2(b) shall not be reduced by any compensation earned or benefits received by the Executive as a result of employment by another employer.</w:t>
      </w:r>
    </w:p>
    <w:p>
      <w:pPr>
        <w:spacing w:after="0" w:line="143"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Section 409A</w:t>
      </w:r>
      <w:r>
        <w:rPr>
          <w:rFonts w:ascii="Arial" w:cs="Arial" w:eastAsia="Arial" w:hAnsi="Arial"/>
          <w:sz w:val="16"/>
          <w:szCs w:val="16"/>
          <w:color w:val="auto"/>
        </w:rPr>
        <w:t>. Subject to this Section 4.7, any severance payments or benefits under this Agreement shall begin only upon the date of the Executive’s “separation from service” (as determined below), which occurs on or after the date of the Executive’s termination. The following rules shall apply with respect to distribution of the payments and benefits, if any, to be provided to the Executive under Sections 4.1 or 4.2, as applicable:</w:t>
      </w:r>
    </w:p>
    <w:p>
      <w:pPr>
        <w:spacing w:after="0" w:line="26" w:lineRule="exact"/>
        <w:rPr>
          <w:sz w:val="20"/>
          <w:szCs w:val="20"/>
          <w:color w:val="auto"/>
        </w:rPr>
      </w:pPr>
    </w:p>
    <w:p>
      <w:pPr>
        <w:jc w:val="both"/>
        <w:ind w:firstLine="1492"/>
        <w:spacing w:after="0" w:line="256" w:lineRule="auto"/>
        <w:tabs>
          <w:tab w:leader="none" w:pos="1748" w:val="left"/>
        </w:tabs>
        <w:numPr>
          <w:ilvl w:val="0"/>
          <w:numId w:val="71"/>
        </w:numPr>
        <w:rPr>
          <w:rFonts w:ascii="Arial" w:cs="Arial" w:eastAsia="Arial" w:hAnsi="Arial"/>
          <w:sz w:val="18"/>
          <w:szCs w:val="18"/>
          <w:color w:val="auto"/>
        </w:rPr>
      </w:pPr>
      <w:r>
        <w:rPr>
          <w:rFonts w:ascii="Arial" w:cs="Arial" w:eastAsia="Arial" w:hAnsi="Arial"/>
          <w:sz w:val="18"/>
          <w:szCs w:val="18"/>
          <w:color w:val="auto"/>
        </w:rPr>
        <w:t>It is intended that each installment of the payments and benefits provided under Sections 4.1 and 4.2 shall be treated as a separate “payment” for purposes of Section 409A of the U.S. Internal Revenue Code of 1986, as amended, and the guidance issued thereunder (“Section 409A”). Neither the Company nor the Executive shall have the right to accelerate or defer the delivery of any such payments or benefits except to the extent specifically permitted or required by Section 409A;</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59" w:name="page60"/>
    <w:bookmarkEnd w:id="59"/>
    <w:p>
      <w:pPr>
        <w:jc w:val="both"/>
        <w:ind w:firstLine="1492"/>
        <w:spacing w:after="0" w:line="259" w:lineRule="auto"/>
        <w:tabs>
          <w:tab w:leader="none" w:pos="1739" w:val="left"/>
        </w:tabs>
        <w:numPr>
          <w:ilvl w:val="0"/>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as of the date of the “separation from service” of the Executive from the Company (within the meaning of Section 4.7(d) below), the Executive is not a “specified employee” (within the meaning of Section 409A), then each installment of the payments and benefits shall be made on the dates and terms set forth in Sections 4.1 or 4.2, as applicable; and</w:t>
      </w:r>
    </w:p>
    <w:p>
      <w:pPr>
        <w:spacing w:after="0" w:line="140" w:lineRule="exact"/>
        <w:rPr>
          <w:rFonts w:ascii="Arial" w:cs="Arial" w:eastAsia="Arial" w:hAnsi="Arial"/>
          <w:sz w:val="18"/>
          <w:szCs w:val="18"/>
          <w:color w:val="auto"/>
        </w:rPr>
      </w:pPr>
    </w:p>
    <w:p>
      <w:pPr>
        <w:ind w:left="1740" w:hanging="248"/>
        <w:spacing w:after="0"/>
        <w:tabs>
          <w:tab w:leader="none" w:pos="17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If, as of the date of the separation from service of the Executive from the Company, the Executive is a specified employee, then:</w:t>
      </w:r>
    </w:p>
    <w:p>
      <w:pPr>
        <w:spacing w:after="0" w:line="113" w:lineRule="exact"/>
        <w:rPr>
          <w:rFonts w:ascii="Arial" w:cs="Arial" w:eastAsia="Arial" w:hAnsi="Arial"/>
          <w:sz w:val="16"/>
          <w:szCs w:val="16"/>
          <w:color w:val="auto"/>
        </w:rPr>
      </w:pPr>
    </w:p>
    <w:p>
      <w:pPr>
        <w:jc w:val="both"/>
        <w:ind w:firstLine="1948"/>
        <w:spacing w:after="0" w:line="256" w:lineRule="auto"/>
        <w:tabs>
          <w:tab w:leader="none" w:pos="2158" w:val="left"/>
        </w:tabs>
        <w:numPr>
          <w:ilvl w:val="1"/>
          <w:numId w:val="72"/>
        </w:numPr>
        <w:rPr>
          <w:rFonts w:ascii="Arial" w:cs="Arial" w:eastAsia="Arial" w:hAnsi="Arial"/>
          <w:sz w:val="18"/>
          <w:szCs w:val="18"/>
          <w:color w:val="auto"/>
        </w:rPr>
      </w:pPr>
      <w:r>
        <w:rPr>
          <w:rFonts w:ascii="Arial" w:cs="Arial" w:eastAsia="Arial" w:hAnsi="Arial"/>
          <w:sz w:val="18"/>
          <w:szCs w:val="18"/>
          <w:color w:val="auto"/>
        </w:rPr>
        <w:t>Each installment of the payments and benefits due under Sections 4.1 or 4.2 that, in accordance with the dates and terms set forth herein, will in all circumstances, regardless of when the separation from service occurs, be paid within the short-term deferral period (as defined under Section 409A) shall be treated as a short-term deferral within the meaning of Treasury Regulation Section 1.409A-1(b)(4) to the maximum extent permissible under Section 409A; and</w:t>
      </w:r>
    </w:p>
    <w:p>
      <w:pPr>
        <w:spacing w:after="0" w:line="143" w:lineRule="exact"/>
        <w:rPr>
          <w:rFonts w:ascii="Arial" w:cs="Arial" w:eastAsia="Arial" w:hAnsi="Arial"/>
          <w:sz w:val="18"/>
          <w:szCs w:val="18"/>
          <w:color w:val="auto"/>
        </w:rPr>
      </w:pPr>
    </w:p>
    <w:p>
      <w:pPr>
        <w:jc w:val="both"/>
        <w:ind w:firstLine="1948"/>
        <w:spacing w:after="0" w:line="283" w:lineRule="auto"/>
        <w:tabs>
          <w:tab w:leader="none" w:pos="2209" w:val="left"/>
        </w:tabs>
        <w:numPr>
          <w:ilvl w:val="1"/>
          <w:numId w:val="72"/>
        </w:numPr>
        <w:rPr>
          <w:rFonts w:ascii="Arial" w:cs="Arial" w:eastAsia="Arial" w:hAnsi="Arial"/>
          <w:sz w:val="16"/>
          <w:szCs w:val="16"/>
          <w:color w:val="auto"/>
        </w:rPr>
      </w:pPr>
      <w:r>
        <w:rPr>
          <w:rFonts w:ascii="Arial" w:cs="Arial" w:eastAsia="Arial" w:hAnsi="Arial"/>
          <w:sz w:val="16"/>
          <w:szCs w:val="16"/>
          <w:color w:val="auto"/>
        </w:rPr>
        <w:t xml:space="preserve">Each installment of the payments and benefits due under Sections 4.1 or 4.2 that is not described in Section 4.7(c)(i) above, and that would, absent this subsection, be paid within the six-month period following the separation from service of the Executive from the Company shall not be paid until the date that is six months and one day after such separation from service (or, if earlier, the Executive’s death), with any such installments that are required to be delayed being accumulated during the six-month period and paid in a lump sum on the date that is six months and one day following the Executive’s separation from service and any subsequent installments, if any, being paid in accordance with the dates and terms set forth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preceding provisions of this sentence shall not apply to any installment of payments and benefits if and to the maximum extent that such installment is deemed to be paid under a separation pay plan that does not provide for a deferral of compensation by reason of the application of Treasury Regulation Section 1.409A-1(b)</w:t>
      </w:r>
    </w:p>
    <w:p>
      <w:pPr>
        <w:jc w:val="both"/>
        <w:spacing w:after="0" w:line="255" w:lineRule="auto"/>
        <w:rPr>
          <w:rFonts w:ascii="Arial" w:cs="Arial" w:eastAsia="Arial" w:hAnsi="Arial"/>
          <w:sz w:val="16"/>
          <w:szCs w:val="16"/>
          <w:color w:val="auto"/>
        </w:rPr>
      </w:pPr>
      <w:r>
        <w:rPr>
          <w:rFonts w:ascii="Arial" w:cs="Arial" w:eastAsia="Arial" w:hAnsi="Arial"/>
          <w:sz w:val="18"/>
          <w:szCs w:val="18"/>
          <w:color w:val="auto"/>
        </w:rPr>
        <w:t>(9)(iii) (relating to separation pay upon an involuntary separation from service). Any installments that qualify for the exception under Treasury Regulation Section 1.409A-1(b)(9)(iii) must be paid no later than the last day of the Executive’s second taxable year following his taxable year in which the separation from service occurs.</w:t>
      </w:r>
    </w:p>
    <w:p>
      <w:pPr>
        <w:spacing w:after="0" w:line="144" w:lineRule="exact"/>
        <w:rPr>
          <w:rFonts w:ascii="Arial" w:cs="Arial" w:eastAsia="Arial" w:hAnsi="Arial"/>
          <w:sz w:val="16"/>
          <w:szCs w:val="16"/>
          <w:color w:val="auto"/>
        </w:rPr>
      </w:pPr>
    </w:p>
    <w:p>
      <w:pPr>
        <w:jc w:val="both"/>
        <w:ind w:firstLine="1492"/>
        <w:spacing w:after="0" w:line="306" w:lineRule="auto"/>
        <w:tabs>
          <w:tab w:leader="none" w:pos="1758"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determination of whether and when a separation from service from the Company has occurred shall be made and in a manner consistent with, and based on the presumptions set forth in, Treasury Regulation Section 1.409A-1(h). Solely for purposes of this Section 4.7(d), “Company” shall include all persons with whom the Company would be considered a single employer as determined under Treasury Regulation Section 1.409A-1(h)(3).</w:t>
      </w:r>
    </w:p>
    <w:p>
      <w:pPr>
        <w:spacing w:after="0" w:line="106" w:lineRule="exact"/>
        <w:rPr>
          <w:rFonts w:ascii="Arial" w:cs="Arial" w:eastAsia="Arial" w:hAnsi="Arial"/>
          <w:sz w:val="16"/>
          <w:szCs w:val="16"/>
          <w:color w:val="auto"/>
        </w:rPr>
      </w:pPr>
    </w:p>
    <w:p>
      <w:pPr>
        <w:jc w:val="both"/>
        <w:ind w:firstLine="1492"/>
        <w:spacing w:after="0" w:line="291" w:lineRule="auto"/>
        <w:tabs>
          <w:tab w:leader="none" w:pos="1722" w:val="left"/>
        </w:tabs>
        <w:numPr>
          <w:ilvl w:val="0"/>
          <w:numId w:val="72"/>
        </w:numPr>
        <w:rPr>
          <w:rFonts w:ascii="Arial" w:cs="Arial" w:eastAsia="Arial" w:hAnsi="Arial"/>
          <w:sz w:val="16"/>
          <w:szCs w:val="16"/>
          <w:color w:val="auto"/>
        </w:rPr>
      </w:pPr>
      <w:r>
        <w:rPr>
          <w:rFonts w:ascii="Arial" w:cs="Arial" w:eastAsia="Arial" w:hAnsi="Arial"/>
          <w:sz w:val="16"/>
          <w:szCs w:val="16"/>
          <w:color w:val="auto"/>
        </w:rPr>
        <w:t>All reimbursements and in-kind benefits provided under the Agreement shall be made or provided in accordance with the requirements of Section 409A to the extent that such reimbursements or in-kind benefits are subject to Section 409A, including, where applicable, the requirement that (i) any reimbursement is for expenses incurred during the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60" w:name="page61"/>
    <w:bookmarkEnd w:id="60"/>
    <w:p>
      <w:pPr>
        <w:jc w:val="both"/>
        <w:ind w:firstLine="1492"/>
        <w:spacing w:after="0" w:line="259" w:lineRule="auto"/>
        <w:tabs>
          <w:tab w:leader="none" w:pos="1713" w:val="left"/>
        </w:tabs>
        <w:numPr>
          <w:ilvl w:val="1"/>
          <w:numId w:val="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makes no representation or warranty and shall have no liability to the Executive or any other person if any provisions of this Agreement are determined to constitute deferred compensation subject to Section 409A and do not satisfy an exemption from, or the conditions of, Section 409A.</w:t>
      </w:r>
    </w:p>
    <w:p>
      <w:pPr>
        <w:spacing w:after="0" w:line="140" w:lineRule="exact"/>
        <w:rPr>
          <w:rFonts w:ascii="Arial" w:cs="Arial" w:eastAsia="Arial" w:hAnsi="Arial"/>
          <w:sz w:val="18"/>
          <w:szCs w:val="18"/>
          <w:color w:val="auto"/>
        </w:rPr>
      </w:pPr>
    </w:p>
    <w:p>
      <w:pPr>
        <w:jc w:val="both"/>
        <w:ind w:firstLine="464"/>
        <w:spacing w:after="0" w:line="255" w:lineRule="auto"/>
        <w:tabs>
          <w:tab w:leader="none" w:pos="632"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Settlement of Disputes; Arbitration</w:t>
      </w:r>
      <w:r>
        <w:rPr>
          <w:rFonts w:ascii="Arial" w:cs="Arial" w:eastAsia="Arial" w:hAnsi="Arial"/>
          <w:sz w:val="18"/>
          <w:szCs w:val="18"/>
          <w:color w:val="auto"/>
        </w:rPr>
        <w:t>. All claims by the Executive for benefits under this Agreement shall be directed to the Board and shall be in writing. Any denial by the Board of a claim for benefits under this Agreement shall be delivered to the Executive in writing and shall set forth the reasons for the denial and the provisions of this Agreement relied upon. Any further dispute or controversy arising under or in connection with this Agreement shall be settled exclusively by arbitration in Boston, Massachusetts, in accordance with the rules of the American Arbitration Association then in effect. Judgment may be entered on the arbitrator’s award in any court having jurisdiction.</w:t>
      </w:r>
    </w:p>
    <w:p>
      <w:pPr>
        <w:spacing w:after="0" w:line="142" w:lineRule="exact"/>
        <w:rPr>
          <w:rFonts w:ascii="Arial" w:cs="Arial" w:eastAsia="Arial" w:hAnsi="Arial"/>
          <w:sz w:val="18"/>
          <w:szCs w:val="18"/>
          <w:color w:val="auto"/>
        </w:rPr>
      </w:pPr>
    </w:p>
    <w:p>
      <w:pPr>
        <w:ind w:left="640" w:hanging="176"/>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Successors</w:t>
      </w:r>
      <w:r>
        <w:rPr>
          <w:rFonts w:ascii="Arial" w:cs="Arial" w:eastAsia="Arial" w:hAnsi="Arial"/>
          <w:sz w:val="18"/>
          <w:szCs w:val="18"/>
          <w:color w:val="auto"/>
        </w:rPr>
        <w:t>. This Agreement shall be binding upon the Company and its successors and assigns. This Agreement shall inure to the benefit of and be enforceable by the Executive’s personal or legal representatives, executors, administrators, successors, heirs, distributees, devisees and legatees. If the Executive should die while any amount would still be payable to the Executive or his family hereunder if the Executive had continued to live, all such amounts, unless otherwise provided herein, shall be paid in accordance with the terms of this Agreement to the executors, personal representatives or administrators of the Executive’s estate.</w:t>
      </w:r>
    </w:p>
    <w:p>
      <w:pPr>
        <w:spacing w:after="0" w:line="143" w:lineRule="exact"/>
        <w:rPr>
          <w:sz w:val="20"/>
          <w:szCs w:val="20"/>
          <w:color w:val="auto"/>
        </w:rPr>
      </w:pPr>
    </w:p>
    <w:p>
      <w:pPr>
        <w:jc w:val="both"/>
        <w:ind w:firstLine="913"/>
        <w:spacing w:after="0" w:line="289"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Notice</w:t>
      </w:r>
      <w:r>
        <w:rPr>
          <w:rFonts w:ascii="Arial" w:cs="Arial" w:eastAsia="Arial" w:hAnsi="Arial"/>
          <w:sz w:val="16"/>
          <w:szCs w:val="16"/>
          <w:color w:val="auto"/>
        </w:rPr>
        <w:t>. All notices, instructions and other communications given hereunder or in connection herewith shall be in writing. Any such notice, instruction or communication shall be sent either (i) by registered or certified mail, return receipt requested, postage prepaid, or (ii) prepaid via a reputable nationwide overnight courier service, in each case addressed to the Company, at 64 Jackson Road, Devens, Massachusetts 01434, and to the Executive at the Executive’s address indicated on the signature page of this Agreement (or to such other address as either the Company or the Executive may have furnished to the other in writing in accordance herewith). Any such notice, instruction or communication shall be deemed to have been delivered five business days after it is sent by registered or certified mail, return receipt requested, postage prepaid, or one business day after it is sent via a reputable nationwide overnight courier service. Either party may give any notice, instruction or other communication hereunder using any other means, but no such notice, instruction or other communication shall be deemed to have been duly delivered unless and until it actually is received by the party for whom it is intended.</w:t>
      </w:r>
    </w:p>
    <w:p>
      <w:pPr>
        <w:spacing w:after="0" w:line="118"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Employment by Subsidiary</w:t>
      </w:r>
      <w:r>
        <w:rPr>
          <w:rFonts w:ascii="Arial" w:cs="Arial" w:eastAsia="Arial" w:hAnsi="Arial"/>
          <w:sz w:val="18"/>
          <w:szCs w:val="18"/>
          <w:color w:val="auto"/>
        </w:rPr>
        <w:t>. For purposes of this Agreement, the Executive’s employment with the Company shall not be deemed to have terminated solely as a result of the Executive continuing to be employed by a wholly-owned subsidiary of the Company.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61" w:name="page62"/>
    <w:bookmarkEnd w:id="61"/>
    <w:p>
      <w:pPr>
        <w:jc w:val="both"/>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6.4 </w:t>
      </w: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of this Agreement shall not affect the validity or enforceability of any other provision of this Agreement, which shall remain in full force and effect.</w:t>
      </w:r>
    </w:p>
    <w:p>
      <w:pPr>
        <w:spacing w:after="0" w:line="132"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interpretation, construction and performance of this Agreement shall be governed by the internal laws of the Commonwealth of Massachusetts, without regard to conflicts of law principles.</w:t>
      </w:r>
    </w:p>
    <w:p>
      <w:pPr>
        <w:spacing w:after="0" w:line="132"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Waivers</w:t>
      </w:r>
      <w:r>
        <w:rPr>
          <w:rFonts w:ascii="Arial" w:cs="Arial" w:eastAsia="Arial" w:hAnsi="Arial"/>
          <w:sz w:val="18"/>
          <w:szCs w:val="18"/>
          <w:color w:val="auto"/>
        </w:rPr>
        <w:t>. No waiver by the Executive at any time of any breach of, or compliance with, any provision of this Agreement to be performed by the Company shall be deemed a waiver of that or any other provision at any subsequent time.</w:t>
      </w:r>
    </w:p>
    <w:p>
      <w:pPr>
        <w:spacing w:after="0" w:line="132"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to be an original but both of which together shall constitute one and the same instrument.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Tax Withholding</w:t>
      </w:r>
      <w:r>
        <w:rPr>
          <w:rFonts w:ascii="Arial" w:cs="Arial" w:eastAsia="Arial" w:hAnsi="Arial"/>
          <w:sz w:val="16"/>
          <w:szCs w:val="16"/>
          <w:color w:val="auto"/>
        </w:rPr>
        <w:t>. Any payments provided for hereunder shall be paid net of any applicable tax withholding required under federal, state or local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165" w:lineRule="exact"/>
        <w:rPr>
          <w:sz w:val="20"/>
          <w:szCs w:val="20"/>
          <w:color w:val="auto"/>
        </w:rPr>
      </w:pPr>
    </w:p>
    <w:p>
      <w:pPr>
        <w:jc w:val="both"/>
        <w:ind w:firstLine="913"/>
        <w:spacing w:after="0" w:line="254"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sets forth the entire agreement of the parties hereto in respect of the subject matter contained herein and supersedes all prior agreements, promises, covenants, arrangements, communications, representations or warranties, whether oral or written, by any officer, employee or representative of any party hereto in respect of the subject matter contained herein; and any prior agreement of the parties hereto in respect of the subject matter contained herein is hereby terminated and cancelled. Notwithstanding the foregoing, the provisions of any stock option agreements between the Company and the Executive (including any terms thereof relating to acceleration of vesting) shall not be superseded by or modified by the terms of this Agreement.</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Amendments</w:t>
      </w:r>
      <w:r>
        <w:rPr>
          <w:rFonts w:ascii="Arial" w:cs="Arial" w:eastAsia="Arial" w:hAnsi="Arial"/>
          <w:sz w:val="16"/>
          <w:szCs w:val="16"/>
          <w:color w:val="auto"/>
        </w:rPr>
        <w:t>. This Agreement may be amended or modified only by a written instrument executed by both the Company and the Executive.</w:t>
      </w:r>
    </w:p>
    <w:p>
      <w:pPr>
        <w:spacing w:after="0" w:line="194"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Executive’s Acknowledgements</w:t>
      </w:r>
      <w:r>
        <w:rPr>
          <w:rFonts w:ascii="Arial" w:cs="Arial" w:eastAsia="Arial" w:hAnsi="Arial"/>
          <w:sz w:val="16"/>
          <w:szCs w:val="16"/>
          <w:color w:val="auto"/>
        </w:rPr>
        <w:t>. The Executive acknowledges that he: (a) has read this Agreement; (b) has been represented in the preparation, negotiation, and execution of this Agreement by legal counsel of the Executive’s own choice or has voluntarily declined to seek such counsel; (c) understands the terms and consequences of this Agreement; and (d) understands that the law firm of Wilmer Cutler Pickering Hale and Dorr LLP is acting as counsel to the Company in connection with the transactions contemplated by this Agreement, and is not acting as counsel for the Executive.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executed this Agreement as of the day and year first set forth above.</w:t>
      </w:r>
    </w:p>
    <w:p>
      <w:pPr>
        <w:spacing w:after="0" w:line="212" w:lineRule="exact"/>
        <w:rPr>
          <w:sz w:val="20"/>
          <w:szCs w:val="20"/>
          <w:color w:val="auto"/>
        </w:rPr>
      </w:pPr>
    </w:p>
    <w:p>
      <w:pPr>
        <w:jc w:val="right"/>
        <w:ind w:right="680"/>
        <w:spacing w:after="0"/>
        <w:rPr>
          <w:sz w:val="20"/>
          <w:szCs w:val="20"/>
          <w:color w:val="auto"/>
        </w:rPr>
      </w:pPr>
      <w:r>
        <w:rPr>
          <w:rFonts w:ascii="Arial" w:cs="Arial" w:eastAsia="Arial" w:hAnsi="Arial"/>
          <w:sz w:val="18"/>
          <w:szCs w:val="18"/>
          <w:color w:val="auto"/>
        </w:rPr>
        <w:t>AMERICAN SUPERCONDUCTOR CORPORATION</w:t>
      </w:r>
    </w:p>
    <w:p>
      <w:pPr>
        <w:spacing w:after="0" w:line="225" w:lineRule="exact"/>
        <w:rPr>
          <w:sz w:val="20"/>
          <w:szCs w:val="20"/>
          <w:color w:val="auto"/>
        </w:rPr>
      </w:pPr>
    </w:p>
    <w:tbl>
      <w:tblPr>
        <w:tblLayout w:type="fixed"/>
        <w:tblInd w:w="6400" w:type="dxa"/>
        <w:tblCellMar>
          <w:top w:w="0" w:type="dxa"/>
          <w:left w:w="0" w:type="dxa"/>
          <w:bottom w:w="0" w:type="dxa"/>
          <w:right w:w="0" w:type="dxa"/>
        </w:tblCellMar>
      </w:tblPr>
      <w:tr>
        <w:trPr>
          <w:trHeight w:val="223"/>
        </w:trPr>
        <w:tc>
          <w:tcPr>
            <w:tcW w:w="860" w:type="dxa"/>
            <w:vAlign w:val="bottom"/>
          </w:tcPr>
          <w:p>
            <w:pPr>
              <w:spacing w:after="0"/>
              <w:rPr>
                <w:sz w:val="20"/>
                <w:szCs w:val="20"/>
                <w:color w:val="auto"/>
              </w:rPr>
            </w:pPr>
            <w:r>
              <w:rPr>
                <w:rFonts w:ascii="Arial" w:cs="Arial" w:eastAsia="Arial" w:hAnsi="Arial"/>
                <w:sz w:val="18"/>
                <w:szCs w:val="18"/>
                <w:color w:val="auto"/>
              </w:rPr>
              <w:t>Signature:</w:t>
            </w: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J. Yurek</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Print name: Gregory J. Yurek</w:t>
            </w:r>
          </w:p>
        </w:tc>
      </w:tr>
      <w:tr>
        <w:trPr>
          <w:trHeight w:val="222"/>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EXECUTIVE</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Signature:</w:t>
            </w:r>
          </w:p>
        </w:tc>
        <w:tc>
          <w:tcPr>
            <w:tcW w:w="3700" w:type="dxa"/>
            <w:vAlign w:val="bottom"/>
          </w:tcPr>
          <w:p>
            <w:pPr>
              <w:spacing w:after="0"/>
              <w:rPr>
                <w:sz w:val="20"/>
                <w:szCs w:val="20"/>
                <w:color w:val="auto"/>
              </w:rPr>
            </w:pPr>
            <w:r>
              <w:rPr>
                <w:rFonts w:ascii="Arial" w:cs="Arial" w:eastAsia="Arial" w:hAnsi="Arial"/>
                <w:sz w:val="18"/>
                <w:szCs w:val="18"/>
                <w:color w:val="auto"/>
              </w:rPr>
              <w:t>/s/ David A. Henry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1270</wp:posOffset>
            </wp:positionV>
            <wp:extent cx="2349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Print name: David A. Henry</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Address:</w:t>
      </w:r>
    </w:p>
    <w:p>
      <w:pPr>
        <w:spacing w:after="0" w:line="11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 American Superconductor Corporation</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64 Jackson Road</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Devens, MA 01434</w:t>
      </w:r>
    </w:p>
    <w:p>
      <w:pPr>
        <w:spacing w:after="0" w:line="15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700" w:top="280"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RELEASE</w:t>
      </w:r>
    </w:p>
    <w:p>
      <w:pPr>
        <w:spacing w:after="0" w:line="171"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In consideration of the payment to me of the severance benefits pursuant to Section 4.1(a), 4.2(a) or 4.2(b) of my Amended and Restated Executive</w:t>
      </w:r>
    </w:p>
    <w:p>
      <w:pPr>
        <w:spacing w:after="0" w:line="38" w:lineRule="exact"/>
        <w:rPr>
          <w:sz w:val="20"/>
          <w:szCs w:val="20"/>
          <w:color w:val="auto"/>
        </w:rPr>
      </w:pPr>
    </w:p>
    <w:p>
      <w:pPr>
        <w:spacing w:after="0"/>
        <w:tabs>
          <w:tab w:leader="none" w:pos="7280" w:val="left"/>
          <w:tab w:leader="none" w:pos="7600" w:val="left"/>
          <w:tab w:leader="none" w:pos="8140" w:val="left"/>
        </w:tabs>
        <w:rPr>
          <w:sz w:val="20"/>
          <w:szCs w:val="20"/>
          <w:color w:val="auto"/>
        </w:rPr>
      </w:pPr>
      <w:r>
        <w:rPr>
          <w:rFonts w:ascii="Arial" w:cs="Arial" w:eastAsia="Arial" w:hAnsi="Arial"/>
          <w:sz w:val="18"/>
          <w:szCs w:val="18"/>
          <w:color w:val="auto"/>
        </w:rPr>
        <w:t>Severance Agreement with American Superconductor Corporation (the “Company”) dated</w:t>
      </w:r>
      <w:r>
        <w:rPr>
          <w:sz w:val="20"/>
          <w:szCs w:val="20"/>
          <w:color w:val="auto"/>
        </w:rPr>
        <w:tab/>
      </w:r>
      <w:r>
        <w:rPr>
          <w:rFonts w:ascii="Arial" w:cs="Arial" w:eastAsia="Arial" w:hAnsi="Arial"/>
          <w:sz w:val="18"/>
          <w:szCs w:val="18"/>
          <w:color w:val="auto"/>
        </w:rPr>
        <w:t>, [</w:t>
        <w:tab/>
        <w:t>], 20</w:t>
      </w:r>
      <w:r>
        <w:rPr>
          <w:sz w:val="20"/>
          <w:szCs w:val="20"/>
          <w:color w:val="auto"/>
        </w:rPr>
        <w:tab/>
      </w:r>
      <w:r>
        <w:rPr>
          <w:rFonts w:ascii="Arial" w:cs="Arial" w:eastAsia="Arial" w:hAnsi="Arial"/>
          <w:sz w:val="16"/>
          <w:szCs w:val="16"/>
          <w:color w:val="auto"/>
        </w:rPr>
        <w:t>(the “Agreement”), I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4076065</wp:posOffset>
            </wp:positionH>
            <wp:positionV relativeFrom="paragraph">
              <wp:posOffset>-17780</wp:posOffset>
            </wp:positionV>
            <wp:extent cx="107759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77595" cy="8890"/>
                    </a:xfrm>
                    <a:prstGeom prst="rect">
                      <a:avLst/>
                    </a:prstGeom>
                    <a:noFill/>
                  </pic:spPr>
                </pic:pic>
              </a:graphicData>
            </a:graphic>
          </wp:anchor>
        </w:drawing>
      </w:r>
    </w:p>
    <w:p>
      <w:pPr>
        <w:spacing w:after="0" w:line="64" w:lineRule="exact"/>
        <w:rPr>
          <w:sz w:val="20"/>
          <w:szCs w:val="20"/>
          <w:color w:val="auto"/>
        </w:rPr>
      </w:pPr>
    </w:p>
    <w:p>
      <w:pPr>
        <w:jc w:val="both"/>
        <w:ind w:firstLine="8"/>
        <w:spacing w:after="0" w:line="285" w:lineRule="auto"/>
        <w:tabs>
          <w:tab w:leader="none" w:pos="208" w:val="left"/>
        </w:tabs>
        <w:numPr>
          <w:ilvl w:val="0"/>
          <w:numId w:val="75"/>
        </w:numPr>
        <w:rPr>
          <w:rFonts w:ascii="Arial" w:cs="Arial" w:eastAsia="Arial" w:hAnsi="Arial"/>
          <w:sz w:val="16"/>
          <w:szCs w:val="16"/>
          <w:color w:val="auto"/>
        </w:rPr>
      </w:pPr>
      <w:r>
        <w:rPr>
          <w:rFonts w:ascii="Arial" w:cs="Arial" w:eastAsia="Arial" w:hAnsi="Arial"/>
          <w:sz w:val="16"/>
          <w:szCs w:val="16"/>
          <w:color w:val="auto"/>
        </w:rPr>
        <w:t>I, on behalf of myself and my representatives, agents, estate, heirs, successors and assigns, hereby irrevocably and unconditionally release, remise and discharge the Company, its officers, directors, stockholders, affiliates (within the meaning of the Securities Act of 1933), attorneys, agents and employees, and their respective predecessors, successors and assigns (collectively, the “Company Releasees”), from any and all actions or causes of action, suits, claims, complaints, liabilities, contracts, torts, debts, damages, controversies, rights and demands, whether existing or contingent, known or unknown, arising up to and through the date of this Release out of my employment, or the termination of my employment, with the Company, including, but not limited to, all employment discrimination claims under the Age Discrimination in Employment Act, 29 U.S.C. §621 et seq., Title VII of the Civil Rights Act of 1964, 42 U.S.C. § 2000e et seq., the Americans With Disabilities Act of 1990, 42 U.S.C. § 12101 et seq., the Family and Medical Leave Act, 29 U.S.C. § 2601 et seq., the Worker Adjustment and Retraining Notification Act (“WARN”), 29 U.S.C. § 2101 et seq., the Massachusetts Fair Employment Practices Act, M.G.L. c.151B, § 1 et seq., the Massachusetts Civil Rights Act, M.G.L. c.12, §§ 11H and 11I, the Massachusetts Equal Rights Act, M.G.L. c.93, § 102 and M.G.L. c.214, § 1C, the Massachusetts Labor and Industries Act, M.G.L. c.149, § 1 et seq., and the Massachusetts Privacy Act, M.G.L. c.214, § 1B, all as amended, and all claims arising out of the Fair Credit Reporting Act, 15 U.S.C. § 1681 et seq. and the Employee Retirement Income Security Act of 1974 (“ERISA”), 29 U.S.C. § 1001 et seq., all as amended; and all claims to any non-vested ownership interest in the Company, contractual or otherwise, including, but not limited to, claims to stock or stock options. Notwithstanding the foregoing, (a) nothing in this Release prevents me from filing, cooperating with, or participating in any proceeding before the EEOC or a state Fair Employment Practices Agency (except that I acknowledge that I may not recover any monetary benefits in connection with any such claim, charge or proceeding), (b) this Release does not extend to any rights I have that arise after the date hereof under the Agreement and (c) this Release does not extend to any rights I may have to indemnification as an officer or director of the Company under the provisions of the Company’s By-laws or applicable law.</w:t>
      </w:r>
    </w:p>
    <w:p>
      <w:pPr>
        <w:spacing w:after="0" w:line="123" w:lineRule="exact"/>
        <w:rPr>
          <w:rFonts w:ascii="Arial" w:cs="Arial" w:eastAsia="Arial" w:hAnsi="Arial"/>
          <w:sz w:val="16"/>
          <w:szCs w:val="16"/>
          <w:color w:val="auto"/>
        </w:rPr>
      </w:pPr>
    </w:p>
    <w:p>
      <w:pPr>
        <w:ind w:right="20" w:firstLine="8"/>
        <w:spacing w:after="0" w:line="268" w:lineRule="auto"/>
        <w:tabs>
          <w:tab w:leader="none" w:pos="179"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been advised by the Company to consult with counsel before signing this Release, and have been given the opportunity to consult with my own counsel prior to signing this Release.</w:t>
      </w:r>
    </w:p>
    <w:p>
      <w:pPr>
        <w:spacing w:after="0" w:line="131" w:lineRule="exact"/>
        <w:rPr>
          <w:rFonts w:ascii="Arial" w:cs="Arial" w:eastAsia="Arial" w:hAnsi="Arial"/>
          <w:sz w:val="18"/>
          <w:szCs w:val="18"/>
          <w:color w:val="auto"/>
        </w:rPr>
      </w:pPr>
    </w:p>
    <w:p>
      <w:pPr>
        <w:ind w:left="180" w:hanging="172"/>
        <w:spacing w:after="0"/>
        <w:tabs>
          <w:tab w:leader="none" w:pos="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been given up to twenty-one (21) days from the receipt of this Release to consider whether to execute this Release.</w:t>
      </w:r>
    </w:p>
    <w:p>
      <w:pPr>
        <w:spacing w:after="0" w:line="171" w:lineRule="exact"/>
        <w:rPr>
          <w:rFonts w:ascii="Arial" w:cs="Arial" w:eastAsia="Arial" w:hAnsi="Arial"/>
          <w:sz w:val="18"/>
          <w:szCs w:val="18"/>
          <w:color w:val="auto"/>
        </w:rPr>
      </w:pPr>
    </w:p>
    <w:p>
      <w:pPr>
        <w:jc w:val="both"/>
        <w:ind w:firstLine="8"/>
        <w:spacing w:after="0" w:line="259" w:lineRule="auto"/>
        <w:tabs>
          <w:tab w:leader="none" w:pos="179"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been advised that even after I sign this Release, I may revoke it within seven (7) days of the date of my signing by delivering a signed revocation notice to the Secretary of the Company. Delivery by ordinary mail will effectively revoke my assent to this Release if it is postmarked no later than seven days after I sign this Release.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64" w:name="page65"/>
    <w:bookmarkEnd w:id="64"/>
    <w:p>
      <w:pPr>
        <w:ind w:left="172" w:hanging="172"/>
        <w:spacing w:after="0"/>
        <w:tabs>
          <w:tab w:leader="none" w:pos="172" w:val="left"/>
        </w:tabs>
        <w:numPr>
          <w:ilvl w:val="0"/>
          <w:numId w:val="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Release shall not become effective and in force until eight days after I sign, provided I have not timely revoked my acceptance.</w:t>
      </w:r>
    </w:p>
    <w:p>
      <w:pPr>
        <w:spacing w:after="0" w:line="171" w:lineRule="exact"/>
        <w:rPr>
          <w:rFonts w:ascii="Arial" w:cs="Arial" w:eastAsia="Arial" w:hAnsi="Arial"/>
          <w:sz w:val="18"/>
          <w:szCs w:val="18"/>
          <w:color w:val="auto"/>
        </w:rPr>
      </w:pPr>
    </w:p>
    <w:p>
      <w:pPr>
        <w:ind w:left="172" w:hanging="172"/>
        <w:spacing w:after="0"/>
        <w:tabs>
          <w:tab w:leader="none" w:pos="172" w:val="left"/>
        </w:tabs>
        <w:numPr>
          <w:ilvl w:val="0"/>
          <w:numId w:val="76"/>
        </w:numPr>
        <w:rPr>
          <w:rFonts w:ascii="Arial" w:cs="Arial" w:eastAsia="Arial" w:hAnsi="Arial"/>
          <w:sz w:val="16"/>
          <w:szCs w:val="16"/>
          <w:color w:val="auto"/>
        </w:rPr>
      </w:pPr>
      <w:r>
        <w:rPr>
          <w:rFonts w:ascii="Arial" w:cs="Arial" w:eastAsia="Arial" w:hAnsi="Arial"/>
          <w:sz w:val="16"/>
          <w:szCs w:val="16"/>
          <w:color w:val="auto"/>
        </w:rPr>
        <w:t>I acknowledge and reaffirm my obligations under the American Superconductor Corporation Employee Nondisclosure and Developments Agreement.</w:t>
      </w:r>
    </w:p>
    <w:p>
      <w:pPr>
        <w:spacing w:after="0" w:line="194" w:lineRule="exact"/>
        <w:rPr>
          <w:rFonts w:ascii="Arial" w:cs="Arial" w:eastAsia="Arial" w:hAnsi="Arial"/>
          <w:sz w:val="16"/>
          <w:szCs w:val="16"/>
          <w:color w:val="auto"/>
        </w:rPr>
      </w:pPr>
    </w:p>
    <w:p>
      <w:pPr>
        <w:ind w:left="-8" w:firstLine="8"/>
        <w:spacing w:after="0" w:line="268" w:lineRule="auto"/>
        <w:tabs>
          <w:tab w:leader="none" w:pos="179"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 representation, promise or inducement has been offered or made to induce me to enter into this Release, and I am competent to execute this Release and accept full responsibility therefor.</w:t>
      </w:r>
    </w:p>
    <w:p>
      <w:pPr>
        <w:spacing w:after="0" w:line="199"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4673600</wp:posOffset>
            </wp:positionH>
            <wp:positionV relativeFrom="paragraph">
              <wp:posOffset>-5715</wp:posOffset>
            </wp:positionV>
            <wp:extent cx="25730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24"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4973955</wp:posOffset>
            </wp:positionH>
            <wp:positionV relativeFrom="paragraph">
              <wp:posOffset>-5715</wp:posOffset>
            </wp:positionV>
            <wp:extent cx="227266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124"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Date of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5205730</wp:posOffset>
            </wp:positionH>
            <wp:positionV relativeFrom="paragraph">
              <wp:posOffset>-5715</wp:posOffset>
            </wp:positionV>
            <wp:extent cx="20408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13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92"/>
          </w:cols>
          <w:pgMar w:left="248" w:top="280" w:right="25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10.3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Amended and Restated Executive Severance Agreement</w:t>
      </w:r>
    </w:p>
    <w:p>
      <w:pPr>
        <w:spacing w:after="0" w:line="171"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AMENDED AND RESTATED</w:t>
      </w:r>
      <w:r>
        <w:rPr>
          <w:rFonts w:ascii="Arial" w:cs="Arial" w:eastAsia="Arial" w:hAnsi="Arial"/>
          <w:sz w:val="18"/>
          <w:szCs w:val="18"/>
          <w:color w:val="auto"/>
        </w:rPr>
        <w:t xml:space="preserve"> EXECUTIVE SEVERANCE AGREEMENT by and between American Superconductor Corporation, a Delaware corporation (the “Company”), and Alexis P. Malozemoff (the “Executive”) is made as of December 23, 2008 (the “Effective Date”).</w:t>
      </w:r>
    </w:p>
    <w:p>
      <w:pPr>
        <w:spacing w:after="0" w:line="132"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WHEREAS, the Board of Directors of the Company (the “Board”) has determined that appropriate steps should be taken to reinforce and encourage the continued employment and dedication of the Executive and to minimize the distraction from the possibility of an unwarranted termination of employment.</w:t>
      </w:r>
    </w:p>
    <w:p>
      <w:pPr>
        <w:spacing w:after="0" w:line="8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WHEREAS, the Company and the Executive acknowledge and agree that the benefits described in this Agreement are not intended to, and shall not, constitute a severance plan, and shall confer no benefit on anyone other than the parties hereto.</w:t>
      </w:r>
    </w:p>
    <w:p>
      <w:pPr>
        <w:spacing w:after="0" w:line="132"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WHEREAS, the Company and the Executive originally entered into this Executive Severance Agreement on October 14, 2004, amended and restated it on January 24, 2008 to reflect certain developments in the tax law, and now desire to amend and restate it further to reflect certain developments in the tax law.</w:t>
      </w:r>
    </w:p>
    <w:p>
      <w:pPr>
        <w:spacing w:after="0" w:line="8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NOW, THEREFORE, as an inducement for and in consideration of the Executive remaining in its employ, the Company agrees that the Executive shall receive the severance benefits set forth in this Agreement in the event the Executive’s employment with the Company is terminated under the specific circumstances described below.</w:t>
      </w:r>
    </w:p>
    <w:p>
      <w:pPr>
        <w:spacing w:after="0" w:line="140" w:lineRule="exact"/>
        <w:rPr>
          <w:sz w:val="20"/>
          <w:szCs w:val="20"/>
          <w:color w:val="auto"/>
        </w:rPr>
      </w:pPr>
    </w:p>
    <w:p>
      <w:pPr>
        <w:ind w:left="640" w:hanging="176"/>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Key Definitions</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 the following terms shall have the following respective meanings: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an event or occurrence set forth in any one or more of subsections (a) through (c) below:</w:t>
      </w:r>
    </w:p>
    <w:p>
      <w:pPr>
        <w:spacing w:after="0" w:line="90" w:lineRule="exact"/>
        <w:rPr>
          <w:sz w:val="20"/>
          <w:szCs w:val="20"/>
          <w:color w:val="auto"/>
        </w:rPr>
      </w:pPr>
    </w:p>
    <w:p>
      <w:pPr>
        <w:jc w:val="both"/>
        <w:ind w:firstLine="1492"/>
        <w:spacing w:after="0" w:line="290" w:lineRule="auto"/>
        <w:tabs>
          <w:tab w:leader="none" w:pos="1735"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the acquisition by an individual, entity or group (within the meaning of Section 13(d)(3) or 14(d)(2) of the Securities Exchange Act of 1934, as amended (the “Exchange Act”)) (a “Person”) of beneficial ownership of any capital stock of the Company if, after such acquisition, such Person beneficially owns (within the meaning of Rule 13d-3 promulgated under the Exchange Act) 50% or more of either (x) the then-outstanding shares of common stock of the Company (the “Outstanding Company Common Stock”) or (y) the combined voting power of the then-outstanding securities of the Company entitled to vote generally in the election of directors (the “Outstanding Company Voting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for purposes of this subsection (a), the following acquisitions shall not constitute a Change in Control: (i) any acquisition directly from the Company, or (ii) any acquisition by any employee benefit plan (or related trust) sponsored or maintained by the Company or any corporation controlled by the Company; or</w:t>
      </w:r>
    </w:p>
    <w:p>
      <w:pPr>
        <w:sectPr>
          <w:pgSz w:w="11900" w:h="16838" w:orient="portrait"/>
          <w:cols w:equalWidth="0" w:num="1">
            <w:col w:w="11420"/>
          </w:cols>
          <w:pgMar w:left="240" w:top="125" w:right="239" w:bottom="1440" w:gutter="0" w:footer="0" w:header="0"/>
        </w:sectPr>
      </w:pPr>
    </w:p>
    <w:bookmarkStart w:id="66" w:name="page67"/>
    <w:bookmarkEnd w:id="66"/>
    <w:p>
      <w:pPr>
        <w:jc w:val="both"/>
        <w:ind w:firstLine="1492"/>
        <w:spacing w:after="0" w:line="290" w:lineRule="auto"/>
        <w:tabs>
          <w:tab w:leader="none" w:pos="1738" w:val="left"/>
        </w:tabs>
        <w:numPr>
          <w:ilvl w:val="0"/>
          <w:numId w:val="7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Continuing Directors (as defined below) no longer constituting a majority of the Board (or, if applicable, the Board of Directors of a successor corporation to the Company), where the term “Continuing Director” means at any date a member of the Board (i) who was a member of the Board on the date of the execution of this Agreement or (ii) 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there shall be excluded from this clause (ii)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w:t>
      </w:r>
    </w:p>
    <w:p>
      <w:pPr>
        <w:spacing w:after="0" w:line="118" w:lineRule="exact"/>
        <w:rPr>
          <w:rFonts w:ascii="Arial" w:cs="Arial" w:eastAsia="Arial" w:hAnsi="Arial"/>
          <w:sz w:val="16"/>
          <w:szCs w:val="16"/>
          <w:color w:val="auto"/>
        </w:rPr>
      </w:pPr>
    </w:p>
    <w:p>
      <w:pPr>
        <w:jc w:val="both"/>
        <w:ind w:firstLine="1492"/>
        <w:spacing w:after="0" w:line="288" w:lineRule="auto"/>
        <w:tabs>
          <w:tab w:leader="none" w:pos="1737"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consummation of a merger, consolidation, reorganization, recapitalization or statutory share exchange involving the Company or a sale or other disposition of all or substantially all of the assets of the Company in one or a series of related transactions (a “Business Combination”), other than a Business Combination in which all or substantially all of the individuals and entities who were the beneficial owners of the Outstanding Company Common Stock and Outstanding Company Voting Securities immediately prior to such Business Combination beneficially own, directly or indirectly, immediately following such Business Combination, more than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respectively.</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 “</w:t>
      </w:r>
      <w:r>
        <w:rPr>
          <w:rFonts w:ascii="Arial" w:cs="Arial" w:eastAsia="Arial" w:hAnsi="Arial"/>
          <w:sz w:val="18"/>
          <w:szCs w:val="18"/>
          <w:u w:val="single" w:color="auto"/>
          <w:color w:val="auto"/>
        </w:rPr>
        <w:t>Change in Control Date</w:t>
      </w:r>
      <w:r>
        <w:rPr>
          <w:rFonts w:ascii="Arial" w:cs="Arial" w:eastAsia="Arial" w:hAnsi="Arial"/>
          <w:sz w:val="18"/>
          <w:szCs w:val="18"/>
          <w:color w:val="auto"/>
        </w:rPr>
        <w:t>” means the first date during the Term (as defined in Section 2) on which a Change in Control occurs.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1.3 “</w:t>
      </w:r>
      <w:r>
        <w:rPr>
          <w:rFonts w:ascii="Arial" w:cs="Arial" w:eastAsia="Arial" w:hAnsi="Arial"/>
          <w:sz w:val="18"/>
          <w:szCs w:val="18"/>
          <w:u w:val="single" w:color="auto"/>
          <w:color w:val="auto"/>
        </w:rPr>
        <w:t>Cause</w:t>
      </w:r>
      <w:r>
        <w:rPr>
          <w:rFonts w:ascii="Arial" w:cs="Arial" w:eastAsia="Arial" w:hAnsi="Arial"/>
          <w:sz w:val="18"/>
          <w:szCs w:val="18"/>
          <w:color w:val="auto"/>
        </w:rPr>
        <w:t>” means:</w:t>
      </w:r>
    </w:p>
    <w:p>
      <w:pPr>
        <w:spacing w:after="0" w:line="90" w:lineRule="exact"/>
        <w:rPr>
          <w:sz w:val="20"/>
          <w:szCs w:val="20"/>
          <w:color w:val="auto"/>
        </w:rPr>
      </w:pPr>
    </w:p>
    <w:p>
      <w:pPr>
        <w:jc w:val="both"/>
        <w:ind w:firstLine="1492"/>
        <w:spacing w:after="0" w:line="256" w:lineRule="auto"/>
        <w:tabs>
          <w:tab w:leader="none" w:pos="1736"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Executive’s failure to perform his reasonable assigned duties to the standards reasonably required by the Company (other than any such failure resulting from incapacity due to physical or mental illness), which failure is not cured within 30 days after a written notice is received by the Executive from the Company describing in reasonable detail the manner in which the Board of Directors believes the Executive has not performed the Executive’s duties to the standards reasonably required by the Company; or</w:t>
      </w:r>
    </w:p>
    <w:p>
      <w:pPr>
        <w:spacing w:after="0" w:line="143" w:lineRule="exact"/>
        <w:rPr>
          <w:rFonts w:ascii="Arial" w:cs="Arial" w:eastAsia="Arial" w:hAnsi="Arial"/>
          <w:sz w:val="18"/>
          <w:szCs w:val="18"/>
          <w:color w:val="auto"/>
        </w:rPr>
      </w:pPr>
    </w:p>
    <w:p>
      <w:pPr>
        <w:jc w:val="both"/>
        <w:ind w:firstLine="1492"/>
        <w:spacing w:after="0" w:line="259" w:lineRule="auto"/>
        <w:tabs>
          <w:tab w:leader="none" w:pos="1744"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Executive’s willful engagement in illegal conduct or gross misconduct that is materially injurious to the Company. For purposes of this Section 1.3(b), no act or failure to act by the Executive shall be considered “willful” unless it is done intentionally and without reasonable belief that the Executive’s action was in the best interests of the Company.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67" w:name="page68"/>
    <w:bookmarkEnd w:id="6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1.4 “</w:t>
      </w:r>
      <w:r>
        <w:rPr>
          <w:rFonts w:ascii="Arial" w:cs="Arial" w:eastAsia="Arial" w:hAnsi="Arial"/>
          <w:sz w:val="18"/>
          <w:szCs w:val="18"/>
          <w:u w:val="single" w:color="auto"/>
          <w:color w:val="auto"/>
        </w:rPr>
        <w:t>Good Reason</w:t>
      </w:r>
      <w:r>
        <w:rPr>
          <w:rFonts w:ascii="Arial" w:cs="Arial" w:eastAsia="Arial" w:hAnsi="Arial"/>
          <w:sz w:val="18"/>
          <w:szCs w:val="18"/>
          <w:color w:val="auto"/>
        </w:rPr>
        <w:t>” means the occurrence, without the Executive’s written consent, of any of the following events or circumstances:</w:t>
      </w:r>
    </w:p>
    <w:p>
      <w:pPr>
        <w:spacing w:after="0" w:line="90" w:lineRule="exact"/>
        <w:rPr>
          <w:sz w:val="20"/>
          <w:szCs w:val="20"/>
          <w:color w:val="auto"/>
        </w:rPr>
      </w:pPr>
    </w:p>
    <w:p>
      <w:pPr>
        <w:ind w:left="1740" w:hanging="248"/>
        <w:spacing w:after="0"/>
        <w:tabs>
          <w:tab w:leader="none" w:pos="17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material diminution in the Executive’s base compensation; or</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material diminution in the Executive’s authority, duties, or responsibilities; or</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material change in the geographic location at which the Executive must perform his duties; or</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other action or inaction of the Company which constitutes a material breach by the Company of this Agreement.</w:t>
      </w:r>
    </w:p>
    <w:p>
      <w:pPr>
        <w:spacing w:after="0" w:line="171"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Any termination by the Executive for Good Reason shall be communicated by means of a written notice delivered by the Executive to the Company within 90 days of the initial existence of the occurrence or condition on which the Executive bases his claim for Good Reason. If the condition is capable of being corrected, the Company shall have 30 days during which it may remedy the condition (the “</w:t>
      </w:r>
      <w:r>
        <w:rPr>
          <w:rFonts w:ascii="Arial" w:cs="Arial" w:eastAsia="Arial" w:hAnsi="Arial"/>
          <w:sz w:val="16"/>
          <w:szCs w:val="16"/>
          <w:u w:val="single" w:color="auto"/>
          <w:color w:val="auto"/>
        </w:rPr>
        <w:t>Cure Period</w:t>
      </w:r>
      <w:r>
        <w:rPr>
          <w:rFonts w:ascii="Arial" w:cs="Arial" w:eastAsia="Arial" w:hAnsi="Arial"/>
          <w:sz w:val="16"/>
          <w:szCs w:val="16"/>
          <w:color w:val="auto"/>
        </w:rPr>
        <w:t>”). Notwithstanding the occurrence of any such event or circumstance, such occurrence shall not be deemed to constitute Good Reason if such event or circumstance has been fully corrected within the Cure Period and the Executive has been reasonably compensated for any losses or damages resulting therefrom. If the condition is not corrected, the Executive must leave employment within one (1) year after the Company fails to cure the condition giving rise to the Executive’s claim for Good Reason during the Cure Period.</w:t>
      </w:r>
    </w:p>
    <w:p>
      <w:pPr>
        <w:spacing w:after="0" w:line="12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1.5 “</w:t>
      </w:r>
      <w:r>
        <w:rPr>
          <w:rFonts w:ascii="Arial" w:cs="Arial" w:eastAsia="Arial" w:hAnsi="Arial"/>
          <w:sz w:val="18"/>
          <w:szCs w:val="18"/>
          <w:u w:val="single" w:color="auto"/>
          <w:color w:val="auto"/>
        </w:rPr>
        <w:t>Disability</w:t>
      </w:r>
      <w:r>
        <w:rPr>
          <w:rFonts w:ascii="Arial" w:cs="Arial" w:eastAsia="Arial" w:hAnsi="Arial"/>
          <w:sz w:val="18"/>
          <w:szCs w:val="18"/>
          <w:color w:val="auto"/>
        </w:rPr>
        <w:t>” means the Executive’s absence from the full-time performance of the Executive’s duties with the Company for 180 consecutive calendar days as a result of incapacity due to mental or physical illness which is determined to be total and permanent by a physician selected by the Company or its insurers and acceptable to the Executive or the Executive’s legal representative.</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1.6 “</w:t>
      </w:r>
      <w:r>
        <w:rPr>
          <w:rFonts w:ascii="Arial" w:cs="Arial" w:eastAsia="Arial" w:hAnsi="Arial"/>
          <w:sz w:val="16"/>
          <w:szCs w:val="16"/>
          <w:u w:val="single" w:color="auto"/>
          <w:color w:val="auto"/>
        </w:rPr>
        <w:t>Severance Period</w:t>
      </w:r>
      <w:r>
        <w:rPr>
          <w:rFonts w:ascii="Arial" w:cs="Arial" w:eastAsia="Arial" w:hAnsi="Arial"/>
          <w:sz w:val="16"/>
          <w:szCs w:val="16"/>
          <w:color w:val="auto"/>
        </w:rPr>
        <w:t>” shall mean the period of 18 months immediately following the Date of Termination (as defined in Section 3.2(a) below).</w:t>
      </w:r>
    </w:p>
    <w:p>
      <w:pPr>
        <w:spacing w:after="0" w:line="194" w:lineRule="exact"/>
        <w:rPr>
          <w:sz w:val="20"/>
          <w:szCs w:val="20"/>
          <w:color w:val="auto"/>
        </w:rPr>
      </w:pPr>
    </w:p>
    <w:p>
      <w:pPr>
        <w:jc w:val="both"/>
        <w:ind w:firstLine="464"/>
        <w:spacing w:after="0" w:line="290" w:lineRule="auto"/>
        <w:tabs>
          <w:tab w:leader="none" w:pos="632"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Term of Agreement</w:t>
      </w:r>
      <w:r>
        <w:rPr>
          <w:rFonts w:ascii="Arial" w:cs="Arial" w:eastAsia="Arial" w:hAnsi="Arial"/>
          <w:sz w:val="16"/>
          <w:szCs w:val="16"/>
          <w:color w:val="auto"/>
        </w:rPr>
        <w:t xml:space="preserve">. This Agreement, and all rights and obligations of the parties hereunder, shall take effect upon the Effective Date and shall expire upon the first to occur of (a) the expiration of the Term (as defined below) if neither a termination of employment covered by Section 4.1(a) below nor a Change in Control occurred during the Term, or (b) the fulfillment by the Company of all of its obligations under Section 4 following a termination of the Executive’s employment with the Company. “Term” shall mean the period commencing as of the Effective Date and continuing in effect through March 31, 2011;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commencing on April 1, 2011 and each April 1 thereafter (each hereinafter referred to as a “Renewal Date”), the Term shall be automatically extended for one additional year so as to terminate four years from such Renewal Date, unless at least 90 days prior to such Renewal Date, the Company shall have given the Executive written notice that the Term will not be extended.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68" w:name="page69"/>
    <w:bookmarkEnd w:id="68"/>
    <w:p>
      <w:pPr>
        <w:ind w:left="640" w:hanging="176"/>
        <w:spacing w:after="0"/>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Employment Status; Termination Following Change in Control</w:t>
      </w:r>
      <w:r>
        <w:rPr>
          <w:rFonts w:ascii="Arial" w:cs="Arial" w:eastAsia="Arial" w:hAnsi="Arial"/>
          <w:sz w:val="18"/>
          <w:szCs w:val="18"/>
          <w:color w:val="auto"/>
        </w:rPr>
        <w:t>.</w:t>
      </w:r>
    </w:p>
    <w:p>
      <w:pPr>
        <w:spacing w:after="0" w:line="9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Not an Employment Contract</w:t>
      </w:r>
      <w:r>
        <w:rPr>
          <w:rFonts w:ascii="Arial" w:cs="Arial" w:eastAsia="Arial" w:hAnsi="Arial"/>
          <w:sz w:val="18"/>
          <w:szCs w:val="18"/>
          <w:color w:val="auto"/>
        </w:rPr>
        <w:t>. The Executive acknowledges that this Agreement does not constitute a contract of employment or impose on the Company any obligation to retain the Executive as an employee and that this Agreement does not prevent the Company or the Executive from terminating his employment at any time, before or after a Change in Control.</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90" w:lineRule="exact"/>
        <w:rPr>
          <w:sz w:val="20"/>
          <w:szCs w:val="20"/>
          <w:color w:val="auto"/>
        </w:rPr>
      </w:pPr>
    </w:p>
    <w:p>
      <w:pPr>
        <w:jc w:val="both"/>
        <w:ind w:firstLine="1492"/>
        <w:spacing w:after="0" w:line="288" w:lineRule="auto"/>
        <w:tabs>
          <w:tab w:leader="none" w:pos="1727" w:val="left"/>
        </w:tabs>
        <w:numPr>
          <w:ilvl w:val="1"/>
          <w:numId w:val="84"/>
        </w:numPr>
        <w:rPr>
          <w:rFonts w:ascii="Arial" w:cs="Arial" w:eastAsia="Arial" w:hAnsi="Arial"/>
          <w:sz w:val="16"/>
          <w:szCs w:val="16"/>
          <w:color w:val="auto"/>
        </w:rPr>
      </w:pPr>
      <w:r>
        <w:rPr>
          <w:rFonts w:ascii="Arial" w:cs="Arial" w:eastAsia="Arial" w:hAnsi="Arial"/>
          <w:sz w:val="16"/>
          <w:szCs w:val="16"/>
          <w:color w:val="auto"/>
        </w:rPr>
        <w:t>Any termination of the Executive’s employment by the Company at any time during the Term or at any time after the Change in Control Date, or by the Executive within 12 months following the Change in Control Date (other than due to the death of the Executive) shall be communicated by a written notice to the other party hereto (the “Notice of Termination”), given in accordance with Section 6.2. Any Notice of Termination shall: (i) indicate (in the case of a termination by the Company) whether such termination is for Cause and (in the case of a termination by the Executive within 12 months following the Change in Control Date) whether such termination is for Good Reason, (ii) to the extent applicable, set forth in reasonable detail the facts and circumstances claimed to provide a basis for termination of the Executive’s employment for Cause or for Good Reason and (iii) specify the Date of Termination (as defined below). The effective date of an employment termination (the “Date of Termination”) shall be the close of business on the date specified in the Notice of Termination (which date may not be less than 15 days or more than 120 days after the date of delivery of such Notice of Termination), in the case of a termination other than one due to the Executive’s death, or the date of the Executive’s death, as the case may be.</w:t>
      </w:r>
    </w:p>
    <w:p>
      <w:pPr>
        <w:spacing w:after="0" w:line="119" w:lineRule="exact"/>
        <w:rPr>
          <w:rFonts w:ascii="Arial" w:cs="Arial" w:eastAsia="Arial" w:hAnsi="Arial"/>
          <w:sz w:val="16"/>
          <w:szCs w:val="16"/>
          <w:color w:val="auto"/>
        </w:rPr>
      </w:pPr>
    </w:p>
    <w:p>
      <w:pPr>
        <w:jc w:val="both"/>
        <w:ind w:firstLine="1492"/>
        <w:spacing w:after="0" w:line="306" w:lineRule="auto"/>
        <w:tabs>
          <w:tab w:leader="none" w:pos="1744" w:val="left"/>
        </w:tabs>
        <w:numPr>
          <w:ilvl w:val="1"/>
          <w:numId w:val="84"/>
        </w:numPr>
        <w:rPr>
          <w:rFonts w:ascii="Arial" w:cs="Arial" w:eastAsia="Arial" w:hAnsi="Arial"/>
          <w:sz w:val="16"/>
          <w:szCs w:val="16"/>
          <w:color w:val="auto"/>
        </w:rPr>
      </w:pPr>
      <w:r>
        <w:rPr>
          <w:rFonts w:ascii="Arial" w:cs="Arial" w:eastAsia="Arial" w:hAnsi="Arial"/>
          <w:sz w:val="16"/>
          <w:szCs w:val="16"/>
          <w:color w:val="auto"/>
        </w:rPr>
        <w:t>The failure by the Executive or the Company to set forth in the Notice of Termination any fact or circumstance which contributes to a showing of Good Reason or Cause shall not waive any right of the Executive or the Company, respectively, hereunder or preclude the Executive or the Company, respectively, from asserting any such fact or circumstance in enforcing the Executive’s or the Company’s rights hereunder.</w:t>
      </w:r>
    </w:p>
    <w:p>
      <w:pPr>
        <w:spacing w:after="0" w:line="106" w:lineRule="exact"/>
        <w:rPr>
          <w:rFonts w:ascii="Arial" w:cs="Arial" w:eastAsia="Arial" w:hAnsi="Arial"/>
          <w:sz w:val="16"/>
          <w:szCs w:val="16"/>
          <w:color w:val="auto"/>
        </w:rPr>
      </w:pPr>
    </w:p>
    <w:p>
      <w:pPr>
        <w:ind w:right="20" w:firstLine="1492"/>
        <w:spacing w:after="0" w:line="268" w:lineRule="auto"/>
        <w:tabs>
          <w:tab w:leader="none" w:pos="1757"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Notice of Termination for Cause given by the Company must be given within 90 days of the occurrence of the event(s) or circumstance(s) that constitute(s) Cause.</w:t>
      </w:r>
    </w:p>
    <w:p>
      <w:pPr>
        <w:spacing w:after="0" w:line="131" w:lineRule="exact"/>
        <w:rPr>
          <w:rFonts w:ascii="Arial" w:cs="Arial" w:eastAsia="Arial" w:hAnsi="Arial"/>
          <w:sz w:val="18"/>
          <w:szCs w:val="18"/>
          <w:color w:val="auto"/>
        </w:rPr>
      </w:pPr>
    </w:p>
    <w:p>
      <w:pPr>
        <w:ind w:firstLine="1492"/>
        <w:spacing w:after="0" w:line="268" w:lineRule="auto"/>
        <w:tabs>
          <w:tab w:leader="none" w:pos="1743"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Notice of Termination for Good Reason given by the Executive must be given within 90 days of the occurrence of the event(s) or circumstance(s) that constitute(s) Good Reason.</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Benefits to Executive</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Termination Prior to Change in Control Date</w:t>
      </w:r>
      <w:r>
        <w:rPr>
          <w:rFonts w:ascii="Arial" w:cs="Arial" w:eastAsia="Arial" w:hAnsi="Arial"/>
          <w:sz w:val="18"/>
          <w:szCs w:val="18"/>
          <w:color w:val="auto"/>
        </w:rPr>
        <w:t>.</w:t>
      </w:r>
    </w:p>
    <w:p>
      <w:pPr>
        <w:spacing w:after="0" w:line="90" w:lineRule="exact"/>
        <w:rPr>
          <w:sz w:val="20"/>
          <w:szCs w:val="20"/>
          <w:color w:val="auto"/>
        </w:rPr>
      </w:pPr>
    </w:p>
    <w:p>
      <w:pPr>
        <w:jc w:val="both"/>
        <w:ind w:firstLine="1492"/>
        <w:spacing w:after="0" w:line="259" w:lineRule="auto"/>
        <w:tabs>
          <w:tab w:leader="none" w:pos="1722"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w:t>
      </w:r>
      <w:r>
        <w:rPr>
          <w:rFonts w:ascii="Arial" w:cs="Arial" w:eastAsia="Arial" w:hAnsi="Arial"/>
          <w:sz w:val="18"/>
          <w:szCs w:val="18"/>
          <w:color w:val="auto"/>
        </w:rPr>
        <w:t>. If, prior to a Change in Control Date (including a situation in which a Change in Control Date never occurs), the Company terminates the Executive’s employment other than for Cause, Disability or death, then the Executive shall be entitled to the following benefits, the distribution of which shall be subject to the provisions of Sections 4.4 and 4.7:</w:t>
      </w:r>
    </w:p>
    <w:p>
      <w:pPr>
        <w:spacing w:after="0" w:line="59" w:lineRule="exact"/>
        <w:rPr>
          <w:rFonts w:ascii="Arial" w:cs="Arial" w:eastAsia="Arial" w:hAnsi="Arial"/>
          <w:sz w:val="18"/>
          <w:szCs w:val="18"/>
          <w:color w:val="auto"/>
        </w:rPr>
      </w:pPr>
    </w:p>
    <w:p>
      <w:pPr>
        <w:ind w:left="2180" w:hanging="232"/>
        <w:spacing w:after="0"/>
        <w:tabs>
          <w:tab w:leader="none" w:pos="2180" w:val="left"/>
        </w:tabs>
        <w:numPr>
          <w:ilvl w:val="2"/>
          <w:numId w:val="86"/>
        </w:numPr>
        <w:rPr>
          <w:rFonts w:ascii="Arial" w:cs="Arial" w:eastAsia="Arial" w:hAnsi="Arial"/>
          <w:sz w:val="16"/>
          <w:szCs w:val="16"/>
          <w:color w:val="auto"/>
        </w:rPr>
      </w:pPr>
      <w:r>
        <w:rPr>
          <w:rFonts w:ascii="Arial" w:cs="Arial" w:eastAsia="Arial" w:hAnsi="Arial"/>
          <w:sz w:val="16"/>
          <w:szCs w:val="16"/>
          <w:color w:val="auto"/>
        </w:rPr>
        <w:t>the Company shall pay to the Executive, in a lump sum in cash on the Date of Termination, the sum of the following amounts:</w:t>
      </w:r>
    </w:p>
    <w:p>
      <w:pPr>
        <w:spacing w:after="0" w:line="38" w:lineRule="exact"/>
        <w:rPr>
          <w:rFonts w:ascii="Arial" w:cs="Arial" w:eastAsia="Arial" w:hAnsi="Arial"/>
          <w:sz w:val="16"/>
          <w:szCs w:val="16"/>
          <w:color w:val="auto"/>
        </w:rPr>
      </w:pPr>
    </w:p>
    <w:p>
      <w:pPr>
        <w:jc w:val="both"/>
        <w:ind w:firstLine="8"/>
        <w:spacing w:after="0" w:line="281" w:lineRule="auto"/>
        <w:tabs>
          <w:tab w:leader="none" w:pos="25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Executive’s base salary through the Date of Termination, (2) any compensation previously deferred by the Executive (together with any accrued interest or earnings thereon) and (3) any accrued vacation pay, in each case to the extent not previously paid (the sum of the amounts described in clauses (1) through</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shall be hereinafter referred to as the “Accrued Obligations”);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69" w:name="page70"/>
    <w:bookmarkEnd w:id="69"/>
    <w:p>
      <w:pPr>
        <w:ind w:right="20" w:firstLine="1948"/>
        <w:spacing w:after="0" w:line="332" w:lineRule="auto"/>
        <w:tabs>
          <w:tab w:leader="none" w:pos="2222" w:val="left"/>
        </w:tabs>
        <w:numPr>
          <w:ilvl w:val="1"/>
          <w:numId w:val="8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the Severance Period, the Company shall continue to pay to the Executive, in accordance with the Company’s regular payroll practices, the Executive’s highest annual base salary during the two-year period prior to the Date of Termination; and</w:t>
      </w:r>
    </w:p>
    <w:p>
      <w:pPr>
        <w:spacing w:after="0" w:line="85" w:lineRule="exact"/>
        <w:rPr>
          <w:rFonts w:ascii="Arial" w:cs="Arial" w:eastAsia="Arial" w:hAnsi="Arial"/>
          <w:sz w:val="16"/>
          <w:szCs w:val="16"/>
          <w:color w:val="auto"/>
        </w:rPr>
      </w:pPr>
    </w:p>
    <w:p>
      <w:pPr>
        <w:jc w:val="both"/>
        <w:ind w:firstLine="1948"/>
        <w:spacing w:after="0" w:line="289" w:lineRule="auto"/>
        <w:tabs>
          <w:tab w:leader="none" w:pos="2260" w:val="left"/>
        </w:tabs>
        <w:numPr>
          <w:ilvl w:val="1"/>
          <w:numId w:val="89"/>
        </w:numPr>
        <w:rPr>
          <w:rFonts w:ascii="Arial" w:cs="Arial" w:eastAsia="Arial" w:hAnsi="Arial"/>
          <w:sz w:val="16"/>
          <w:szCs w:val="16"/>
          <w:color w:val="auto"/>
        </w:rPr>
      </w:pPr>
      <w:r>
        <w:rPr>
          <w:rFonts w:ascii="Arial" w:cs="Arial" w:eastAsia="Arial" w:hAnsi="Arial"/>
          <w:sz w:val="16"/>
          <w:szCs w:val="16"/>
          <w:color w:val="auto"/>
        </w:rPr>
        <w:t xml:space="preserve">during the Severance Period, the Company shall continue to provide to the Executive and the Executive’s family those benefits which would have been provided to them if the Executive’s employment had not been terminated, in accordance with the applicable Benefit Plans in effect on the Date of Termination (to the extent such benefits can be provided to non-employees, or to the extent such health insurance benefits cannot be provided to non-employees, then the cash equivalent thereof, based on the cost thereof to the Company, which cash amount shall be paid proportionately over the Severance Period, monthly in advance);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(1) that if the Executive becomes reemployed with another employer and is eligible to receive a particular type of benefits (e.g., health insurance benefits) from such employer on terms at least as favorable to the Executive and his family as those being provided by the Company, then the Company shall no longer be required to provide those particular benefits to the Executive and his family; and (2) to the extent that such payments are taxable to the Executive and/or extend beyond the COBRA continuation period, then such payments shall be made monthly in advance.</w:t>
      </w:r>
    </w:p>
    <w:p>
      <w:pPr>
        <w:spacing w:after="0" w:line="118" w:lineRule="exact"/>
        <w:rPr>
          <w:rFonts w:ascii="Arial" w:cs="Arial" w:eastAsia="Arial" w:hAnsi="Arial"/>
          <w:sz w:val="16"/>
          <w:szCs w:val="16"/>
          <w:color w:val="auto"/>
        </w:rPr>
      </w:pPr>
    </w:p>
    <w:p>
      <w:pPr>
        <w:jc w:val="both"/>
        <w:ind w:firstLine="1492"/>
        <w:spacing w:after="0" w:line="291" w:lineRule="auto"/>
        <w:tabs>
          <w:tab w:leader="none" w:pos="1746"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Other Terminations</w:t>
      </w:r>
      <w:r>
        <w:rPr>
          <w:rFonts w:ascii="Arial" w:cs="Arial" w:eastAsia="Arial" w:hAnsi="Arial"/>
          <w:sz w:val="16"/>
          <w:szCs w:val="16"/>
          <w:color w:val="auto"/>
        </w:rPr>
        <w:t>. If, prior to the Change in Control Date, the Executive’s employment with the Company is terminated other than under the circumstances described in Section 4.1(a), then the Company shall (i) pay the Executive (or his estate, if applicable), in a lump sum in cash on the Date of Termination, the Accrued Obligations and (ii) to the extent not previously paid or provided, timely pay or provide to the Executive any other amounts or benefits required to be paid or provided or which the Executive is eligible to receive following the Executive’s termination of employment under any plan, program, policy, practice, contract or agreement of the Company and its subsidiaries (such other amounts and benefits shall be hereinafter referred to as the “Other Benefits”), the distribution of which shall be subject to the provisions of Section 4.7.</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Termination Following Change in Control Date</w:t>
      </w:r>
      <w:r>
        <w:rPr>
          <w:rFonts w:ascii="Arial" w:cs="Arial" w:eastAsia="Arial" w:hAnsi="Arial"/>
          <w:sz w:val="18"/>
          <w:szCs w:val="18"/>
          <w:color w:val="auto"/>
        </w:rPr>
        <w:t>.</w:t>
      </w:r>
    </w:p>
    <w:p>
      <w:pPr>
        <w:spacing w:after="0" w:line="90" w:lineRule="exact"/>
        <w:rPr>
          <w:sz w:val="20"/>
          <w:szCs w:val="20"/>
          <w:color w:val="auto"/>
        </w:rPr>
      </w:pPr>
    </w:p>
    <w:p>
      <w:pPr>
        <w:jc w:val="both"/>
        <w:ind w:firstLine="1492"/>
        <w:spacing w:after="0" w:line="256" w:lineRule="auto"/>
        <w:tabs>
          <w:tab w:leader="none" w:pos="1722"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Termination within 12 Months Following Change in Control Date</w:t>
      </w:r>
      <w:r>
        <w:rPr>
          <w:rFonts w:ascii="Arial" w:cs="Arial" w:eastAsia="Arial" w:hAnsi="Arial"/>
          <w:sz w:val="18"/>
          <w:szCs w:val="18"/>
          <w:color w:val="auto"/>
        </w:rPr>
        <w:t>. If the Company terminates the Executive’s employment other than for Cause, Disability or death within 12 months following the Change in Control Date, or if the Executive terminates his employment for Good Reason within 12 months following the Change in Control Date, then the Executive shall be entitled to the following benefits, the distribution of which shall be subject to the provisions of Sections 4.4 and 4.7:</w:t>
      </w:r>
    </w:p>
    <w:p>
      <w:pPr>
        <w:spacing w:after="0" w:line="62" w:lineRule="exact"/>
        <w:rPr>
          <w:rFonts w:ascii="Arial" w:cs="Arial" w:eastAsia="Arial" w:hAnsi="Arial"/>
          <w:sz w:val="18"/>
          <w:szCs w:val="18"/>
          <w:color w:val="auto"/>
        </w:rPr>
      </w:pPr>
    </w:p>
    <w:p>
      <w:pPr>
        <w:ind w:left="2180" w:hanging="232"/>
        <w:spacing w:after="0"/>
        <w:tabs>
          <w:tab w:leader="none" w:pos="2180" w:val="left"/>
        </w:tabs>
        <w:numPr>
          <w:ilvl w:val="2"/>
          <w:numId w:val="91"/>
        </w:numPr>
        <w:rPr>
          <w:rFonts w:ascii="Arial" w:cs="Arial" w:eastAsia="Arial" w:hAnsi="Arial"/>
          <w:sz w:val="16"/>
          <w:szCs w:val="16"/>
          <w:color w:val="auto"/>
        </w:rPr>
      </w:pPr>
      <w:r>
        <w:rPr>
          <w:rFonts w:ascii="Arial" w:cs="Arial" w:eastAsia="Arial" w:hAnsi="Arial"/>
          <w:sz w:val="16"/>
          <w:szCs w:val="16"/>
          <w:color w:val="auto"/>
        </w:rPr>
        <w:t>the Company shall pay to the Executive, in a lump sum in cash on the Date of Termination, (A) the Accrued Obligations and</w:t>
      </w:r>
    </w:p>
    <w:p>
      <w:pPr>
        <w:spacing w:after="0" w:line="38" w:lineRule="exact"/>
        <w:rPr>
          <w:rFonts w:ascii="Arial" w:cs="Arial" w:eastAsia="Arial" w:hAnsi="Arial"/>
          <w:sz w:val="16"/>
          <w:szCs w:val="16"/>
          <w:color w:val="auto"/>
        </w:rPr>
      </w:pPr>
    </w:p>
    <w:p>
      <w:pPr>
        <w:jc w:val="both"/>
        <w:ind w:firstLine="8"/>
        <w:spacing w:after="0" w:line="255" w:lineRule="auto"/>
        <w:tabs>
          <w:tab w:leader="none" w:pos="304"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product of (x) the annual target bonus payable to the Executive for the fiscal year in which the Date of Termination occurs and (y) a fraction, the numerator of which is the number of days in the then-current fiscal year through the Date of Termination, and the denominator of which is 365, less any portion of such bonus previously paid to the Executive;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70" w:name="page71"/>
    <w:bookmarkEnd w:id="70"/>
    <w:p>
      <w:pPr>
        <w:ind w:right="20" w:firstLine="1948"/>
        <w:spacing w:after="0" w:line="332" w:lineRule="auto"/>
        <w:tabs>
          <w:tab w:leader="none" w:pos="2222" w:val="left"/>
        </w:tabs>
        <w:numPr>
          <w:ilvl w:val="1"/>
          <w:numId w:val="9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the Severance Period, the Company shall continue to pay to the Executive, in accordance with the Company’s regular payroll practices, the Executive’s highest annual base salary during the two-year period prior to the Date of Termination; and</w:t>
      </w:r>
    </w:p>
    <w:p>
      <w:pPr>
        <w:spacing w:after="0" w:line="85" w:lineRule="exact"/>
        <w:rPr>
          <w:rFonts w:ascii="Arial" w:cs="Arial" w:eastAsia="Arial" w:hAnsi="Arial"/>
          <w:sz w:val="16"/>
          <w:szCs w:val="16"/>
          <w:color w:val="auto"/>
        </w:rPr>
      </w:pPr>
    </w:p>
    <w:p>
      <w:pPr>
        <w:jc w:val="both"/>
        <w:ind w:firstLine="1948"/>
        <w:spacing w:after="0" w:line="289" w:lineRule="auto"/>
        <w:tabs>
          <w:tab w:leader="none" w:pos="2260" w:val="left"/>
        </w:tabs>
        <w:numPr>
          <w:ilvl w:val="1"/>
          <w:numId w:val="93"/>
        </w:numPr>
        <w:rPr>
          <w:rFonts w:ascii="Arial" w:cs="Arial" w:eastAsia="Arial" w:hAnsi="Arial"/>
          <w:sz w:val="16"/>
          <w:szCs w:val="16"/>
          <w:color w:val="auto"/>
        </w:rPr>
      </w:pPr>
      <w:r>
        <w:rPr>
          <w:rFonts w:ascii="Arial" w:cs="Arial" w:eastAsia="Arial" w:hAnsi="Arial"/>
          <w:sz w:val="16"/>
          <w:szCs w:val="16"/>
          <w:color w:val="auto"/>
        </w:rPr>
        <w:t xml:space="preserve">during the Severance Period, the Company shall continue to provide to the Executive and the Executive’s family those benefits which would have been provided to them if the Executive’s employment had not been terminated, in accordance with the applicable Benefit Plans in effect on the Date of Termination (to the extent such benefits can be provided to non-employees, or to the extent such health benefits cannot be provided to non-employees, then the cash equivalent thereof, based on the cost thereof to the Company, which cash amount shall be paid proportionately over the Severance Period, monthly in advance); </w:t>
      </w:r>
      <w:r>
        <w:rPr>
          <w:rFonts w:ascii="Arial" w:cs="Arial" w:eastAsia="Arial" w:hAnsi="Arial"/>
          <w:sz w:val="16"/>
          <w:szCs w:val="16"/>
          <w:u w:val="single" w:color="auto"/>
          <w:color w:val="auto"/>
        </w:rPr>
        <w:t>provided</w:t>
      </w:r>
      <w:r>
        <w:rPr>
          <w:rFonts w:ascii="Arial" w:cs="Arial" w:eastAsia="Arial" w:hAnsi="Arial"/>
          <w:sz w:val="16"/>
          <w:szCs w:val="16"/>
          <w:color w:val="auto"/>
        </w:rPr>
        <w:t>, however: (1) that if the Executive becomes reemployed with another employer and is eligible to receive a particular type of benefits (e.g., health insurance benefits) from such employer on terms at least as favorable to the Executive and his family as those being provided by the Company, then the Company shall no longer be required to provide those particular benefits to the Executive and his family; and (2) to the extent that such payments are taxable to the Executive and/or extend beyond the COBRA continuation period, then such payments shall be made monthly in advance.</w:t>
      </w:r>
    </w:p>
    <w:p>
      <w:pPr>
        <w:spacing w:after="0" w:line="118" w:lineRule="exact"/>
        <w:rPr>
          <w:rFonts w:ascii="Arial" w:cs="Arial" w:eastAsia="Arial" w:hAnsi="Arial"/>
          <w:sz w:val="16"/>
          <w:szCs w:val="16"/>
          <w:color w:val="auto"/>
        </w:rPr>
      </w:pPr>
    </w:p>
    <w:p>
      <w:pPr>
        <w:jc w:val="both"/>
        <w:ind w:firstLine="1492"/>
        <w:spacing w:after="0" w:line="259" w:lineRule="auto"/>
        <w:tabs>
          <w:tab w:leader="none" w:pos="1746"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Termination More Than 12 Months Following Change in Control Date</w:t>
      </w:r>
      <w:r>
        <w:rPr>
          <w:rFonts w:ascii="Arial" w:cs="Arial" w:eastAsia="Arial" w:hAnsi="Arial"/>
          <w:sz w:val="18"/>
          <w:szCs w:val="18"/>
          <w:color w:val="auto"/>
        </w:rPr>
        <w:t>. If the Company terminates the Executive’s employment other than for Cause, Disability or death more than 12 months following the Change in Control Date, then the Executive shall be entitled to the following benefits, the distribution of which shall be subject to the provisions of Sections 4.4 and 4.7:</w:t>
      </w:r>
    </w:p>
    <w:p>
      <w:pPr>
        <w:spacing w:after="0" w:line="59" w:lineRule="exact"/>
        <w:rPr>
          <w:rFonts w:ascii="Arial" w:cs="Arial" w:eastAsia="Arial" w:hAnsi="Arial"/>
          <w:sz w:val="18"/>
          <w:szCs w:val="18"/>
          <w:color w:val="auto"/>
        </w:rPr>
      </w:pPr>
    </w:p>
    <w:p>
      <w:pPr>
        <w:ind w:left="2160" w:hanging="212"/>
        <w:spacing w:after="0"/>
        <w:tabs>
          <w:tab w:leader="none" w:pos="21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Company shall pay to the Executive, in a lump sum in cash on the Date of Termination, the Accrued Obligations;</w:t>
      </w:r>
    </w:p>
    <w:p>
      <w:pPr>
        <w:spacing w:after="0" w:line="171" w:lineRule="exact"/>
        <w:rPr>
          <w:rFonts w:ascii="Arial" w:cs="Arial" w:eastAsia="Arial" w:hAnsi="Arial"/>
          <w:sz w:val="18"/>
          <w:szCs w:val="18"/>
          <w:color w:val="auto"/>
        </w:rPr>
      </w:pPr>
    </w:p>
    <w:p>
      <w:pPr>
        <w:ind w:right="20" w:firstLine="1948"/>
        <w:spacing w:after="0" w:line="332" w:lineRule="auto"/>
        <w:tabs>
          <w:tab w:leader="none" w:pos="2222" w:val="left"/>
        </w:tabs>
        <w:numPr>
          <w:ilvl w:val="1"/>
          <w:numId w:val="94"/>
        </w:numPr>
        <w:rPr>
          <w:rFonts w:ascii="Arial" w:cs="Arial" w:eastAsia="Arial" w:hAnsi="Arial"/>
          <w:sz w:val="16"/>
          <w:szCs w:val="16"/>
          <w:color w:val="auto"/>
        </w:rPr>
      </w:pPr>
      <w:r>
        <w:rPr>
          <w:rFonts w:ascii="Arial" w:cs="Arial" w:eastAsia="Arial" w:hAnsi="Arial"/>
          <w:sz w:val="16"/>
          <w:szCs w:val="16"/>
          <w:color w:val="auto"/>
        </w:rPr>
        <w:t>during the Severance Period, the Company shall continue to pay to the Executive, in accordance with the Company’s regular payroll practices, the Executive’s highest annual base salary during the two-year period prior to the Date of Termination; and</w:t>
      </w:r>
    </w:p>
    <w:p>
      <w:pPr>
        <w:spacing w:after="0" w:line="85" w:lineRule="exact"/>
        <w:rPr>
          <w:rFonts w:ascii="Arial" w:cs="Arial" w:eastAsia="Arial" w:hAnsi="Arial"/>
          <w:sz w:val="16"/>
          <w:szCs w:val="16"/>
          <w:color w:val="auto"/>
        </w:rPr>
      </w:pPr>
    </w:p>
    <w:p>
      <w:pPr>
        <w:jc w:val="both"/>
        <w:ind w:firstLine="1948"/>
        <w:spacing w:after="0" w:line="256" w:lineRule="auto"/>
        <w:tabs>
          <w:tab w:leader="none" w:pos="22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during the Severance Period, the Company shall continue to provide to the Executive and the Executive’s family those benefits which would have been provided to them if the Executive’s employment had not been terminated, in accordance with the applicable Benefit Plans in effect on the Date of Termination (to the extent such health benefits can be provided to non-employees, or to the extent such benefits cannot be provided to non-employees, then the cash equivalent thereof, based on the cost thereof to the Company, which</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71" w:name="page72"/>
    <w:bookmarkEnd w:id="71"/>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cash amount shall be paid proportionately over the Severance Period, monthly in advance); </w:t>
      </w:r>
      <w:r>
        <w:rPr>
          <w:rFonts w:ascii="Arial" w:cs="Arial" w:eastAsia="Arial" w:hAnsi="Arial"/>
          <w:sz w:val="18"/>
          <w:szCs w:val="18"/>
          <w:u w:val="single" w:color="auto"/>
          <w:color w:val="auto"/>
        </w:rPr>
        <w:t>provided</w:t>
      </w:r>
      <w:r>
        <w:rPr>
          <w:rFonts w:ascii="Arial" w:cs="Arial" w:eastAsia="Arial" w:hAnsi="Arial"/>
          <w:sz w:val="18"/>
          <w:szCs w:val="18"/>
          <w:color w:val="auto"/>
        </w:rPr>
        <w:t>, however: (1) that if the Executive becomes reemployed with another employer and is eligible to receive a particular type of benefits (e.g., health insurance benefits) from such employer on terms at least as favorable to the Executive and his family as those being provided by the Company, then the Company shall no longer be required to provide those particular benefits to the Executive and his family; and (2) to the extent that such payments are taxable to the Executive and/or extend beyond the COBRA continuation period, then such payments shall be made monthly in advance.</w:t>
      </w:r>
    </w:p>
    <w:p>
      <w:pPr>
        <w:spacing w:after="0" w:line="143" w:lineRule="exact"/>
        <w:rPr>
          <w:sz w:val="20"/>
          <w:szCs w:val="20"/>
          <w:color w:val="auto"/>
        </w:rPr>
      </w:pPr>
    </w:p>
    <w:p>
      <w:pPr>
        <w:jc w:val="both"/>
        <w:ind w:firstLine="1492"/>
        <w:spacing w:after="0" w:line="256" w:lineRule="auto"/>
        <w:tabs>
          <w:tab w:leader="none" w:pos="1722"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Other Terminations</w:t>
      </w:r>
      <w:r>
        <w:rPr>
          <w:rFonts w:ascii="Arial" w:cs="Arial" w:eastAsia="Arial" w:hAnsi="Arial"/>
          <w:sz w:val="18"/>
          <w:szCs w:val="18"/>
          <w:color w:val="auto"/>
        </w:rPr>
        <w:t>. If, following the Change in Control Date, the Executive’s employment with the Company is terminated other than under the circumstances described in Section 4.2(a) or Section 4.2(b), then the Company shall (i) pay the Executive (or his estate, if applicable), in a lump sum in cash on the Date of Termination, the Accrued Obligations and (ii) to the extent not previously paid or provided, timely pay or provide to the Executive the Other Benefits, the distribution of which shall be subject to the provisions of Section 4.7.</w:t>
      </w:r>
    </w:p>
    <w:p>
      <w:pPr>
        <w:spacing w:after="0" w:line="143" w:lineRule="exact"/>
        <w:rPr>
          <w:rFonts w:ascii="Arial" w:cs="Arial" w:eastAsia="Arial" w:hAnsi="Arial"/>
          <w:sz w:val="18"/>
          <w:szCs w:val="18"/>
          <w:color w:val="auto"/>
        </w:rPr>
      </w:pPr>
    </w:p>
    <w:p>
      <w:pPr>
        <w:jc w:val="both"/>
        <w:ind w:firstLine="1492"/>
        <w:spacing w:after="0" w:line="259" w:lineRule="auto"/>
        <w:tabs>
          <w:tab w:leader="none" w:pos="1746"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Subject to Section 4.7, the Company agrees to reimburse the Executive for all legal and other fees and expenses that the Executive reasonably incurs as a result of any claim or dispute regarding the benefits due to the Executive pursuant to this Section 4.2 if the Executive prevails in such claim or dispute.</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Section 280G Provisions</w:t>
      </w:r>
      <w:r>
        <w:rPr>
          <w:rFonts w:ascii="Arial" w:cs="Arial" w:eastAsia="Arial" w:hAnsi="Arial"/>
          <w:sz w:val="18"/>
          <w:szCs w:val="18"/>
          <w:color w:val="auto"/>
        </w:rPr>
        <w:t>.</w:t>
      </w:r>
    </w:p>
    <w:p>
      <w:pPr>
        <w:spacing w:after="0" w:line="90" w:lineRule="exact"/>
        <w:rPr>
          <w:sz w:val="20"/>
          <w:szCs w:val="20"/>
          <w:color w:val="auto"/>
        </w:rPr>
      </w:pPr>
    </w:p>
    <w:p>
      <w:pPr>
        <w:jc w:val="both"/>
        <w:ind w:firstLine="1492"/>
        <w:spacing w:after="0" w:line="291" w:lineRule="auto"/>
        <w:tabs>
          <w:tab w:leader="none" w:pos="1728" w:val="left"/>
        </w:tabs>
        <w:numPr>
          <w:ilvl w:val="0"/>
          <w:numId w:val="96"/>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in the event that the Company undergoes a Change in Ownership or Control (as defined below), the Company shall not be obligated to provide to the Executive a portion of any Contingent Compensation Payments (as defined below) that the Executive would otherwise be entitled to receive to the extent necessary to eliminate Excess Parachute Payments (as defined below) for the Executive, except as set forth in Section 4.3(b). For purposes of this Section 4.3, the Contingent Compensation Payments so eliminated shall be referred to as the “Eliminated Payments” and the aggregate amount (determined in accordance with Treasury Regulation Section 1.280G-1, Q/A-30 or any successor provision) of the Contingent Compensation Payments so eliminated shall be referred to as the “Eliminated Amount.”</w:t>
      </w:r>
    </w:p>
    <w:p>
      <w:pPr>
        <w:spacing w:after="0" w:line="120" w:lineRule="exact"/>
        <w:rPr>
          <w:rFonts w:ascii="Arial" w:cs="Arial" w:eastAsia="Arial" w:hAnsi="Arial"/>
          <w:sz w:val="16"/>
          <w:szCs w:val="16"/>
          <w:color w:val="auto"/>
        </w:rPr>
      </w:pPr>
    </w:p>
    <w:p>
      <w:pPr>
        <w:jc w:val="both"/>
        <w:ind w:firstLine="1492"/>
        <w:spacing w:after="0" w:line="253" w:lineRule="auto"/>
        <w:tabs>
          <w:tab w:leader="none" w:pos="1758" w:val="left"/>
        </w:tabs>
        <w:numPr>
          <w:ilvl w:val="0"/>
          <w:numId w:val="96"/>
        </w:numPr>
        <w:rPr>
          <w:rFonts w:ascii="Arial" w:cs="Arial" w:eastAsia="Arial" w:hAnsi="Arial"/>
          <w:sz w:val="18"/>
          <w:szCs w:val="18"/>
          <w:color w:val="auto"/>
        </w:rPr>
      </w:pPr>
      <w:r>
        <w:rPr>
          <w:rFonts w:ascii="Arial" w:cs="Arial" w:eastAsia="Arial" w:hAnsi="Arial"/>
          <w:sz w:val="18"/>
          <w:szCs w:val="18"/>
          <w:color w:val="auto"/>
        </w:rPr>
        <w:t>Notwithstanding the provisions of Section 4.3(a), no such reduction in Contingent Compensation Payments shall be made if (i) the Eliminated Amount (computed without regard to this sentence) exceeds (ii) 110% of the aggregate present value (determined in accordance with Treasury Regulation Section 1.280G-1, Q/A-31, Q/A-32, Q/A-33 or any successor provisions) of the amount of any additional taxes that would be incurred by the Executive if the Eliminated Payments (determined without regard to this sentence) were paid to him (including, state and federal income taxes on the Eliminated Payments, the excise tax imposed by Section 4999 of the Internal Revenue Code of 1986, as amended (the “Code”, which term shall include applicable Treasury Regulations), payable with respect to all of the Contingent Compensation Payments in excess of the Executive’s “base amount” (as defined in Section 280G(b)(3) of the Code), and any withholding taxes). The override of such reduction in Contingent Compensation Payments pursuant to this Section 4.3(b) shall be referred to as a</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72" w:name="page73"/>
    <w:bookmarkEnd w:id="72"/>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4.3(b) Override.” For purposes of this paragraph, if any federal, state or local income taxes would be attributable to the receipt of any Eliminated Payment, the amount of such taxes shall be computed by multiplying the amount of the Eliminated Payment by the maximum combined federal, state and local income tax rate provided by law.</w:t>
      </w:r>
    </w:p>
    <w:p>
      <w:pPr>
        <w:spacing w:after="0" w:line="140" w:lineRule="exact"/>
        <w:rPr>
          <w:sz w:val="20"/>
          <w:szCs w:val="20"/>
          <w:color w:val="auto"/>
        </w:rPr>
      </w:pPr>
    </w:p>
    <w:p>
      <w:pPr>
        <w:ind w:left="1740" w:hanging="248"/>
        <w:spacing w:after="0"/>
        <w:tabs>
          <w:tab w:leader="none" w:pos="17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For purposes of this Section 4.3 the following terms shall have the following respective meanings:</w:t>
      </w:r>
    </w:p>
    <w:p>
      <w:pPr>
        <w:spacing w:after="0" w:line="90" w:lineRule="exact"/>
        <w:rPr>
          <w:rFonts w:ascii="Arial" w:cs="Arial" w:eastAsia="Arial" w:hAnsi="Arial"/>
          <w:sz w:val="18"/>
          <w:szCs w:val="18"/>
          <w:color w:val="auto"/>
        </w:rPr>
      </w:pPr>
    </w:p>
    <w:p>
      <w:pPr>
        <w:ind w:firstLine="1948"/>
        <w:spacing w:after="0" w:line="268" w:lineRule="auto"/>
        <w:tabs>
          <w:tab w:leader="none" w:pos="2157" w:val="left"/>
        </w:tabs>
        <w:numPr>
          <w:ilvl w:val="1"/>
          <w:numId w:val="97"/>
        </w:numPr>
        <w:rPr>
          <w:rFonts w:ascii="Arial" w:cs="Arial" w:eastAsia="Arial" w:hAnsi="Arial"/>
          <w:sz w:val="18"/>
          <w:szCs w:val="18"/>
          <w:color w:val="auto"/>
        </w:rPr>
      </w:pPr>
      <w:r>
        <w:rPr>
          <w:rFonts w:ascii="Arial" w:cs="Arial" w:eastAsia="Arial" w:hAnsi="Arial"/>
          <w:sz w:val="18"/>
          <w:szCs w:val="18"/>
          <w:color w:val="auto"/>
        </w:rPr>
        <w:t>“Change in Ownership or Control” shall mean a change in the ownership or effective control of the Company or in the ownership of a substantial portion of the assets of the Company determined in accordance with Section 280G(b)(2) of the Code.</w:t>
      </w:r>
    </w:p>
    <w:p>
      <w:pPr>
        <w:spacing w:after="0" w:line="131" w:lineRule="exact"/>
        <w:rPr>
          <w:rFonts w:ascii="Arial" w:cs="Arial" w:eastAsia="Arial" w:hAnsi="Arial"/>
          <w:sz w:val="18"/>
          <w:szCs w:val="18"/>
          <w:color w:val="auto"/>
        </w:rPr>
      </w:pPr>
    </w:p>
    <w:p>
      <w:pPr>
        <w:jc w:val="both"/>
        <w:ind w:firstLine="1948"/>
        <w:spacing w:after="0" w:line="259" w:lineRule="auto"/>
        <w:tabs>
          <w:tab w:leader="none" w:pos="2216" w:val="left"/>
        </w:tabs>
        <w:numPr>
          <w:ilvl w:val="1"/>
          <w:numId w:val="97"/>
        </w:numPr>
        <w:rPr>
          <w:rFonts w:ascii="Arial" w:cs="Arial" w:eastAsia="Arial" w:hAnsi="Arial"/>
          <w:sz w:val="18"/>
          <w:szCs w:val="18"/>
          <w:color w:val="auto"/>
        </w:rPr>
      </w:pPr>
      <w:r>
        <w:rPr>
          <w:rFonts w:ascii="Arial" w:cs="Arial" w:eastAsia="Arial" w:hAnsi="Arial"/>
          <w:sz w:val="18"/>
          <w:szCs w:val="18"/>
          <w:color w:val="auto"/>
        </w:rPr>
        <w:t>“Contingent Compensation Payment” shall mean any payment (or benefit) in the nature of compensation that is made or made available (under this Agreement or otherwise) to a “disqualified individual” (as defined in Section 280G(c) of the Code) and that is contingent (within the meaning of Section 280G(b)(2)(A)(i) of the Code) on a Change in Ownership or Control of the Company.</w:t>
      </w:r>
    </w:p>
    <w:p>
      <w:pPr>
        <w:spacing w:after="0" w:line="140" w:lineRule="exact"/>
        <w:rPr>
          <w:rFonts w:ascii="Arial" w:cs="Arial" w:eastAsia="Arial" w:hAnsi="Arial"/>
          <w:sz w:val="18"/>
          <w:szCs w:val="18"/>
          <w:color w:val="auto"/>
        </w:rPr>
      </w:pPr>
    </w:p>
    <w:p>
      <w:pPr>
        <w:ind w:left="2260" w:hanging="312"/>
        <w:spacing w:after="0"/>
        <w:tabs>
          <w:tab w:leader="none" w:pos="22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“Excess Parachute Payment” shall mean a payment described in Section 280G(b)(1) of the Code.</w:t>
      </w:r>
    </w:p>
    <w:p>
      <w:pPr>
        <w:spacing w:after="0" w:line="171" w:lineRule="exact"/>
        <w:rPr>
          <w:rFonts w:ascii="Arial" w:cs="Arial" w:eastAsia="Arial" w:hAnsi="Arial"/>
          <w:sz w:val="18"/>
          <w:szCs w:val="18"/>
          <w:color w:val="auto"/>
        </w:rPr>
      </w:pPr>
    </w:p>
    <w:p>
      <w:pPr>
        <w:jc w:val="both"/>
        <w:ind w:firstLine="1492"/>
        <w:spacing w:after="0" w:line="259" w:lineRule="auto"/>
        <w:tabs>
          <w:tab w:leader="none" w:pos="1746"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payments or other benefits otherwise due to the Executive following a Change in Ownership or Control that could reasonably be characterized (as determined by the Company) as Contingent Compensation Payments (the “Potential Payments”) shall not be made until the dates provided for in this Section 4.3(d).</w:t>
      </w:r>
    </w:p>
    <w:p>
      <w:pPr>
        <w:spacing w:after="0" w:line="140" w:lineRule="exact"/>
        <w:rPr>
          <w:rFonts w:ascii="Arial" w:cs="Arial" w:eastAsia="Arial" w:hAnsi="Arial"/>
          <w:sz w:val="18"/>
          <w:szCs w:val="18"/>
          <w:color w:val="auto"/>
        </w:rPr>
      </w:pPr>
    </w:p>
    <w:p>
      <w:pPr>
        <w:jc w:val="both"/>
        <w:ind w:firstLine="1948"/>
        <w:spacing w:after="0" w:line="253" w:lineRule="auto"/>
        <w:tabs>
          <w:tab w:leader="none" w:pos="2179" w:val="left"/>
        </w:tabs>
        <w:numPr>
          <w:ilvl w:val="1"/>
          <w:numId w:val="97"/>
        </w:numPr>
        <w:rPr>
          <w:rFonts w:ascii="Arial" w:cs="Arial" w:eastAsia="Arial" w:hAnsi="Arial"/>
          <w:sz w:val="18"/>
          <w:szCs w:val="18"/>
          <w:color w:val="auto"/>
        </w:rPr>
      </w:pPr>
      <w:r>
        <w:rPr>
          <w:rFonts w:ascii="Arial" w:cs="Arial" w:eastAsia="Arial" w:hAnsi="Arial"/>
          <w:sz w:val="18"/>
          <w:szCs w:val="18"/>
          <w:color w:val="auto"/>
        </w:rPr>
        <w:t>In the event that the Company undergoes a Change in Ownership or Control, and the Executive becomes entitled to receive Contingent Compensation Payments relating to such Change in Ownership or Control, the Company shall (A) determine at such time or times as may be necessary to comply with the requirements under Section 280G of the Code whether such Contingent Compensation Payments constitute in whole or in part Excess Parachute Payments and (B) in the event the Company determines that such Contingent Compensation Payments constitute in whole or in part Excess Parachute Payments, notify the Executive (within 30 days after each such determination and with reasonable detail regarding the basis for its determinations) of the following: (1) which Potential Payments constitute Contingent Compensation Payments, (2) the Eliminated Amount and (3) whether the Section 4.3(b) Override is applicable.</w:t>
      </w:r>
    </w:p>
    <w:p>
      <w:pPr>
        <w:spacing w:after="0" w:line="147" w:lineRule="exact"/>
        <w:rPr>
          <w:rFonts w:ascii="Arial" w:cs="Arial" w:eastAsia="Arial" w:hAnsi="Arial"/>
          <w:sz w:val="18"/>
          <w:szCs w:val="18"/>
          <w:color w:val="auto"/>
        </w:rPr>
      </w:pPr>
    </w:p>
    <w:p>
      <w:pPr>
        <w:jc w:val="both"/>
        <w:ind w:firstLine="1948"/>
        <w:spacing w:after="0" w:line="256" w:lineRule="auto"/>
        <w:tabs>
          <w:tab w:leader="none" w:pos="2233" w:val="left"/>
        </w:tabs>
        <w:numPr>
          <w:ilvl w:val="1"/>
          <w:numId w:val="97"/>
        </w:numPr>
        <w:rPr>
          <w:rFonts w:ascii="Arial" w:cs="Arial" w:eastAsia="Arial" w:hAnsi="Arial"/>
          <w:sz w:val="18"/>
          <w:szCs w:val="18"/>
          <w:color w:val="auto"/>
        </w:rPr>
      </w:pPr>
      <w:r>
        <w:rPr>
          <w:rFonts w:ascii="Arial" w:cs="Arial" w:eastAsia="Arial" w:hAnsi="Arial"/>
          <w:sz w:val="18"/>
          <w:szCs w:val="18"/>
          <w:color w:val="auto"/>
        </w:rPr>
        <w:t>Within 30 days after delivery of such notice to the Executive, the Executive shall deliver a response to the Company (the “Executive Response”) stating either (A) that he agrees with the Company’s determination pursuant to the preceding sentence, or (B) that he disagrees with such determination, in which case he shall set forth (1) which Potential Payments should be characterized as Contingent Compensation Payments, (2) the Eliminated Amount, or (3) whether the Section 4.3(b) Override is applicable.</w:t>
      </w:r>
    </w:p>
    <w:p>
      <w:pPr>
        <w:spacing w:after="0" w:line="143" w:lineRule="exact"/>
        <w:rPr>
          <w:rFonts w:ascii="Arial" w:cs="Arial" w:eastAsia="Arial" w:hAnsi="Arial"/>
          <w:sz w:val="18"/>
          <w:szCs w:val="18"/>
          <w:color w:val="auto"/>
        </w:rPr>
      </w:pPr>
    </w:p>
    <w:p>
      <w:pPr>
        <w:ind w:right="20" w:firstLine="1948"/>
        <w:spacing w:after="0" w:line="332" w:lineRule="auto"/>
        <w:tabs>
          <w:tab w:leader="none" w:pos="2260" w:val="left"/>
        </w:tabs>
        <w:numPr>
          <w:ilvl w:val="1"/>
          <w:numId w:val="97"/>
        </w:numPr>
        <w:rPr>
          <w:rFonts w:ascii="Arial" w:cs="Arial" w:eastAsia="Arial" w:hAnsi="Arial"/>
          <w:sz w:val="16"/>
          <w:szCs w:val="16"/>
          <w:color w:val="auto"/>
        </w:rPr>
      </w:pPr>
      <w:r>
        <w:rPr>
          <w:rFonts w:ascii="Arial" w:cs="Arial" w:eastAsia="Arial" w:hAnsi="Arial"/>
          <w:sz w:val="16"/>
          <w:szCs w:val="16"/>
          <w:color w:val="auto"/>
        </w:rPr>
        <w:t>If and to the extent that any Contingent Compensation Payments are required to be treated as Eliminated Payments pursuant to this Section 4.3, then the Payments shall be reduced or eliminated, as determined by the Company, in the following order:</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73" w:name="page74"/>
    <w:bookmarkEnd w:id="73"/>
    <w:p>
      <w:pPr>
        <w:jc w:val="both"/>
        <w:ind w:firstLine="8"/>
        <w:spacing w:after="0" w:line="259" w:lineRule="auto"/>
        <w:tabs>
          <w:tab w:leader="none" w:pos="292" w:val="left"/>
        </w:tabs>
        <w:numPr>
          <w:ilvl w:val="0"/>
          <w:numId w:val="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cash payments, (B) any taxable benefits, (C) any nontaxable benefits, and (D) any vesting of equity awards, in each case in reverse order beginning with payments or benefits that are to be paid the farthest in time from the date that triggers the applicability of the excise tax, to the extent necessary to maximize the Eliminated Payments.</w:t>
      </w:r>
    </w:p>
    <w:p>
      <w:pPr>
        <w:spacing w:after="0" w:line="140" w:lineRule="exact"/>
        <w:rPr>
          <w:rFonts w:ascii="Arial" w:cs="Arial" w:eastAsia="Arial" w:hAnsi="Arial"/>
          <w:sz w:val="18"/>
          <w:szCs w:val="18"/>
          <w:color w:val="auto"/>
        </w:rPr>
      </w:pPr>
    </w:p>
    <w:p>
      <w:pPr>
        <w:jc w:val="both"/>
        <w:ind w:firstLine="1948"/>
        <w:spacing w:after="0" w:line="256" w:lineRule="auto"/>
        <w:tabs>
          <w:tab w:leader="none" w:pos="2244" w:val="left"/>
        </w:tabs>
        <w:numPr>
          <w:ilvl w:val="1"/>
          <w:numId w:val="98"/>
        </w:numPr>
        <w:rPr>
          <w:rFonts w:ascii="Arial" w:cs="Arial" w:eastAsia="Arial" w:hAnsi="Arial"/>
          <w:sz w:val="18"/>
          <w:szCs w:val="18"/>
          <w:color w:val="auto"/>
        </w:rPr>
      </w:pPr>
      <w:r>
        <w:rPr>
          <w:rFonts w:ascii="Arial" w:cs="Arial" w:eastAsia="Arial" w:hAnsi="Arial"/>
          <w:sz w:val="18"/>
          <w:szCs w:val="18"/>
          <w:color w:val="auto"/>
        </w:rPr>
        <w:t>If the Executive fails to deliver an Executive Response on or before the required date, the Company’s initial determinations shall be final, the Company shall make the Potential Payments (other than the Eliminated Payments) to the Executive within 10 business days following the due date for delivery to the Company of the Executive Response (except for any Potential Payments which are not due to be made until after such date, which Potential Payments shall be made on the date on which they are due).</w:t>
      </w:r>
    </w:p>
    <w:p>
      <w:pPr>
        <w:spacing w:after="0" w:line="143" w:lineRule="exact"/>
        <w:rPr>
          <w:rFonts w:ascii="Arial" w:cs="Arial" w:eastAsia="Arial" w:hAnsi="Arial"/>
          <w:sz w:val="18"/>
          <w:szCs w:val="18"/>
          <w:color w:val="auto"/>
        </w:rPr>
      </w:pPr>
    </w:p>
    <w:p>
      <w:pPr>
        <w:jc w:val="both"/>
        <w:ind w:firstLine="1948"/>
        <w:spacing w:after="0" w:line="255" w:lineRule="auto"/>
        <w:tabs>
          <w:tab w:leader="none" w:pos="2222" w:val="left"/>
        </w:tabs>
        <w:numPr>
          <w:ilvl w:val="1"/>
          <w:numId w:val="98"/>
        </w:numPr>
        <w:rPr>
          <w:rFonts w:ascii="Arial" w:cs="Arial" w:eastAsia="Arial" w:hAnsi="Arial"/>
          <w:sz w:val="18"/>
          <w:szCs w:val="18"/>
          <w:color w:val="auto"/>
        </w:rPr>
      </w:pPr>
      <w:r>
        <w:rPr>
          <w:rFonts w:ascii="Arial" w:cs="Arial" w:eastAsia="Arial" w:hAnsi="Arial"/>
          <w:sz w:val="18"/>
          <w:szCs w:val="18"/>
          <w:color w:val="auto"/>
        </w:rPr>
        <w:t>If the Executive states in the Executive Response that he agrees with the Company’s determinations, the Company’s initial determinations shall be final, the Contingent Compensation Payments that shall be treated as Eliminated Payments shall be as set forth in the Executive Response, and the Company shall make the Potential Payments (other than the Eliminated Payments) to the Executive within 10 business days following delivery to the Company of the Executive Response (except for any Potential Payments which are not due to be made until after such date, which Potential Payments shall be made on the date on which they are due).</w:t>
      </w:r>
    </w:p>
    <w:p>
      <w:pPr>
        <w:spacing w:after="0" w:line="142" w:lineRule="exact"/>
        <w:rPr>
          <w:rFonts w:ascii="Arial" w:cs="Arial" w:eastAsia="Arial" w:hAnsi="Arial"/>
          <w:sz w:val="18"/>
          <w:szCs w:val="18"/>
          <w:color w:val="auto"/>
        </w:rPr>
      </w:pPr>
    </w:p>
    <w:p>
      <w:pPr>
        <w:jc w:val="both"/>
        <w:ind w:firstLine="1948"/>
        <w:spacing w:after="0" w:line="289" w:lineRule="auto"/>
        <w:tabs>
          <w:tab w:leader="none" w:pos="2249" w:val="left"/>
        </w:tabs>
        <w:numPr>
          <w:ilvl w:val="1"/>
          <w:numId w:val="98"/>
        </w:numPr>
        <w:rPr>
          <w:rFonts w:ascii="Arial" w:cs="Arial" w:eastAsia="Arial" w:hAnsi="Arial"/>
          <w:sz w:val="16"/>
          <w:szCs w:val="16"/>
          <w:color w:val="auto"/>
        </w:rPr>
      </w:pPr>
      <w:r>
        <w:rPr>
          <w:rFonts w:ascii="Arial" w:cs="Arial" w:eastAsia="Arial" w:hAnsi="Arial"/>
          <w:sz w:val="16"/>
          <w:szCs w:val="16"/>
          <w:color w:val="auto"/>
        </w:rPr>
        <w:t>If the Executive states in the Executive Response that he disagrees with the Company’s determinations, then, for a period of 60 days following delivery of the Executive Response, the Executive and the Company shall use good faith efforts to resolve such dispute. If such dispute is not resolved within such 60-day period, such dispute shall be settled exclusively by arbitration in Boston, Massachusetts, in accordance with the rules of the American Arbitration Association then in effect. Judgment may be entered on the arbitrator’s award in any court having jurisdiction. The Company shall, within 10 business days following delivery to the Company of the Executive Response, make to the Executive those Potential Payments as to which there is no dispute between the Company and the Executive regarding whether they should be made (except for any such Potential Payments which are not due to be made until after such date, which Potential Payments shall be made on the date on which they are due). The balance of the Potential Payments (other than Eliminated Payments) shall be made within 10 business days following the resolution of such dispute.</w:t>
      </w:r>
    </w:p>
    <w:p>
      <w:pPr>
        <w:spacing w:after="0" w:line="118" w:lineRule="exact"/>
        <w:rPr>
          <w:rFonts w:ascii="Arial" w:cs="Arial" w:eastAsia="Arial" w:hAnsi="Arial"/>
          <w:sz w:val="16"/>
          <w:szCs w:val="16"/>
          <w:color w:val="auto"/>
        </w:rPr>
      </w:pPr>
    </w:p>
    <w:p>
      <w:pPr>
        <w:jc w:val="both"/>
        <w:ind w:firstLine="1948"/>
        <w:spacing w:after="0" w:line="259" w:lineRule="auto"/>
        <w:tabs>
          <w:tab w:leader="none" w:pos="2297" w:val="left"/>
        </w:tabs>
        <w:numPr>
          <w:ilvl w:val="1"/>
          <w:numId w:val="98"/>
        </w:numPr>
        <w:rPr>
          <w:rFonts w:ascii="Arial" w:cs="Arial" w:eastAsia="Arial" w:hAnsi="Arial"/>
          <w:sz w:val="18"/>
          <w:szCs w:val="18"/>
          <w:color w:val="auto"/>
        </w:rPr>
      </w:pPr>
      <w:r>
        <w:rPr>
          <w:rFonts w:ascii="Arial" w:cs="Arial" w:eastAsia="Arial" w:hAnsi="Arial"/>
          <w:sz w:val="18"/>
          <w:szCs w:val="18"/>
          <w:color w:val="auto"/>
        </w:rPr>
        <w:t>Subject to the limitations contained in Sections 4.3(a) and (b) hereof, the amount of any payments to be made to the Executive following the resolution of such dispute shall be increased by amount of the accrued interest thereon computed at the prime rate announced from time to time by Bank of America, compounded monthly from the date that such payments originally were due.</w:t>
      </w:r>
    </w:p>
    <w:p>
      <w:pPr>
        <w:spacing w:after="0" w:line="140" w:lineRule="exact"/>
        <w:rPr>
          <w:rFonts w:ascii="Arial" w:cs="Arial" w:eastAsia="Arial" w:hAnsi="Arial"/>
          <w:sz w:val="18"/>
          <w:szCs w:val="18"/>
          <w:color w:val="auto"/>
        </w:rPr>
      </w:pPr>
    </w:p>
    <w:p>
      <w:pPr>
        <w:jc w:val="both"/>
        <w:ind w:firstLine="1948"/>
        <w:spacing w:after="0" w:line="298" w:lineRule="auto"/>
        <w:tabs>
          <w:tab w:leader="none" w:pos="2353" w:val="left"/>
        </w:tabs>
        <w:numPr>
          <w:ilvl w:val="1"/>
          <w:numId w:val="98"/>
        </w:numPr>
        <w:rPr>
          <w:rFonts w:ascii="Arial" w:cs="Arial" w:eastAsia="Arial" w:hAnsi="Arial"/>
          <w:sz w:val="16"/>
          <w:szCs w:val="16"/>
          <w:color w:val="auto"/>
        </w:rPr>
      </w:pPr>
      <w:r>
        <w:rPr>
          <w:rFonts w:ascii="Arial" w:cs="Arial" w:eastAsia="Arial" w:hAnsi="Arial"/>
          <w:sz w:val="16"/>
          <w:szCs w:val="16"/>
          <w:color w:val="auto"/>
        </w:rPr>
        <w:t>In the event the Company is required to perform a redetermination in accordance with Treas. Reg. 1.280G-1 Q/A-33(b) with respect to any Contingent Compensation Payments, this Section 4.3(d) shall apply with respect to such redetermination and the parties shall make such adjustments as may be necessary as a result of such redetermination including, if appropriate, the payment by the Company of Contingent Compensation Payments previously treated as Eliminated Payments if the Section 4.3(b) Override applies as a result of such redetermination.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74" w:name="page75"/>
    <w:bookmarkEnd w:id="74"/>
    <w:p>
      <w:pPr>
        <w:ind w:firstLine="1492"/>
        <w:spacing w:after="0" w:line="332" w:lineRule="auto"/>
        <w:tabs>
          <w:tab w:leader="none" w:pos="1752" w:val="left"/>
        </w:tabs>
        <w:numPr>
          <w:ilvl w:val="0"/>
          <w:numId w:val="9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provisions of this Section 4.3 are intended to apply to any and all payments or benefits available to the Executive under this Agreement or any other agreement or plan of the Company under which the Executive receives Contingent Compensation Payments.</w:t>
      </w:r>
    </w:p>
    <w:p>
      <w:pPr>
        <w:spacing w:after="0" w:line="85" w:lineRule="exact"/>
        <w:rPr>
          <w:sz w:val="20"/>
          <w:szCs w:val="20"/>
          <w:color w:val="auto"/>
        </w:rPr>
      </w:pPr>
    </w:p>
    <w:p>
      <w:pPr>
        <w:jc w:val="both"/>
        <w:ind w:firstLine="913"/>
        <w:spacing w:after="0" w:line="273"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Release</w:t>
      </w:r>
      <w:r>
        <w:rPr>
          <w:rFonts w:ascii="Arial" w:cs="Arial" w:eastAsia="Arial" w:hAnsi="Arial"/>
          <w:sz w:val="16"/>
          <w:szCs w:val="16"/>
          <w:color w:val="auto"/>
        </w:rPr>
        <w:t xml:space="preserve">. The obligation of the Company to make the payments and provide the benefits to the Executive under Section 4.1(a), Section 4.2(a) or Section 4.2(b) is conditioned upon the Executive signing a release of claims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or such other form as may be agreed to by the Company and the Executive (the “Employee Release”), within 21 days (the “Release Period”) following the Date of Termination and upon the Executive not revoking the Employee Release in a timely manner thereafter. Provided that the Employee Release has become binding, the payments to the Executive under</w:t>
      </w:r>
    </w:p>
    <w:p>
      <w:pPr>
        <w:jc w:val="both"/>
        <w:spacing w:after="0" w:line="230" w:lineRule="auto"/>
        <w:rPr>
          <w:sz w:val="20"/>
          <w:szCs w:val="20"/>
          <w:color w:val="auto"/>
        </w:rPr>
      </w:pPr>
      <w:r>
        <w:rPr>
          <w:rFonts w:ascii="Arial" w:cs="Arial" w:eastAsia="Arial" w:hAnsi="Arial"/>
          <w:sz w:val="18"/>
          <w:szCs w:val="18"/>
          <w:color w:val="auto"/>
        </w:rPr>
        <w:t>Section 4.1(a), Section 4.2(a) or Section 4.2(b) shall be payable or shall commence on the 30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following the Date of Termination. Notwithstanding the foregoing, the provisions of benefits under Section 4.1(a)(iii), Section 4.2(a)(iii) or Section 4.2(b)(iii) shall continue during the Release Period and any applicable revocation period.</w:t>
      </w:r>
    </w:p>
    <w:p>
      <w:pPr>
        <w:spacing w:after="0" w:line="185"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Exclusive Severance Benefits</w:t>
      </w:r>
      <w:r>
        <w:rPr>
          <w:rFonts w:ascii="Arial" w:cs="Arial" w:eastAsia="Arial" w:hAnsi="Arial"/>
          <w:sz w:val="18"/>
          <w:szCs w:val="18"/>
          <w:color w:val="auto"/>
        </w:rPr>
        <w:t>. The making of the payments and the provision of the benefits by the Company to the Executive under Section 4.1(a), Section 4.2(a) or Section 4.2(b) shall constitute the entire obligation of the Company to the Executive as a result of the termination of his employment under the circumstances set forth in such Sections, and the Executive shall not be entitled to additional payments or benefits under any other plan, program, policy, practice, contract or agreement of the Company or its subsidiaries.</w:t>
      </w:r>
    </w:p>
    <w:p>
      <w:pPr>
        <w:spacing w:after="0" w:line="143"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Mitigation</w:t>
      </w:r>
      <w:r>
        <w:rPr>
          <w:rFonts w:ascii="Arial" w:cs="Arial" w:eastAsia="Arial" w:hAnsi="Arial"/>
          <w:sz w:val="18"/>
          <w:szCs w:val="18"/>
          <w:color w:val="auto"/>
        </w:rPr>
        <w:t>. The Executive shall not be required to mitigate the amount of any payment or benefits provided for in Section 4.1(a), Section 4.2(a) or Section 4.2(b) by seeking other employment or otherwise. Further, except as provided in Section 4.1(a)(iii), Section 4.2(a)(iii) or Section 4.2(b)(iii), the amount of any payment or benefits provided for in Section 4.1(a), Section 4.2(a) or Section 4.2(b) shall not be reduced by any compensation earned or benefits received by the Executive as a result of employment by another employer.</w:t>
      </w:r>
    </w:p>
    <w:p>
      <w:pPr>
        <w:spacing w:after="0" w:line="143"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Section 409A</w:t>
      </w:r>
      <w:r>
        <w:rPr>
          <w:rFonts w:ascii="Arial" w:cs="Arial" w:eastAsia="Arial" w:hAnsi="Arial"/>
          <w:sz w:val="16"/>
          <w:szCs w:val="16"/>
          <w:color w:val="auto"/>
        </w:rPr>
        <w:t>. Subject to this Section 4.7, any severance payments or benefits under this Agreement shall begin only upon the date of the Executive’s “separation from service” (as determined below), which occurs on or after the date of the Executive’s termination. The following rules shall apply with respect to distribution of the payments and benefits, if any, to be provided to the Executive under Sections 4.1 or 4.2, as applicable:</w:t>
      </w:r>
    </w:p>
    <w:p>
      <w:pPr>
        <w:spacing w:after="0" w:line="26" w:lineRule="exact"/>
        <w:rPr>
          <w:sz w:val="20"/>
          <w:szCs w:val="20"/>
          <w:color w:val="auto"/>
        </w:rPr>
      </w:pPr>
    </w:p>
    <w:p>
      <w:pPr>
        <w:jc w:val="both"/>
        <w:ind w:firstLine="1492"/>
        <w:spacing w:after="0" w:line="256" w:lineRule="auto"/>
        <w:tabs>
          <w:tab w:leader="none" w:pos="174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It is intended that each installment of the payments and benefits provided under Sections 4.1 and 4.2 shall be treated as a separate “payment” for purposes of Section 409A of the U.S. Internal Revenue Code of 1986, as amended, and the guidance issued thereunder (“Section 409A”). Neither the Company nor the Executive shall have the right to accelerate or defer the delivery of any such payments or benefits except to the extent specifically permitted or required by Section 409A;</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75" w:name="page76"/>
    <w:bookmarkEnd w:id="75"/>
    <w:p>
      <w:pPr>
        <w:jc w:val="both"/>
        <w:ind w:firstLine="1492"/>
        <w:spacing w:after="0" w:line="259" w:lineRule="auto"/>
        <w:tabs>
          <w:tab w:leader="none" w:pos="1739" w:val="left"/>
        </w:tabs>
        <w:numPr>
          <w:ilvl w:val="0"/>
          <w:numId w:val="1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as of the date of the “separation from service” of the Executive from the Company (within the meaning of Section 4.7(d) below), the Executive is not a “specified employee” (within the meaning of Section 409A), then each installment of the payments and benefits shall be made on the dates and terms set forth in Sections 4.1 or 4.2, as applicable; and</w:t>
      </w:r>
    </w:p>
    <w:p>
      <w:pPr>
        <w:spacing w:after="0" w:line="140" w:lineRule="exact"/>
        <w:rPr>
          <w:rFonts w:ascii="Arial" w:cs="Arial" w:eastAsia="Arial" w:hAnsi="Arial"/>
          <w:sz w:val="18"/>
          <w:szCs w:val="18"/>
          <w:color w:val="auto"/>
        </w:rPr>
      </w:pPr>
    </w:p>
    <w:p>
      <w:pPr>
        <w:ind w:left="1740" w:hanging="248"/>
        <w:spacing w:after="0"/>
        <w:tabs>
          <w:tab w:leader="none" w:pos="17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If, as of the date of the separation from service of the Executive from the Company, the Executive is a specified employee, then:</w:t>
      </w:r>
    </w:p>
    <w:p>
      <w:pPr>
        <w:spacing w:after="0" w:line="113" w:lineRule="exact"/>
        <w:rPr>
          <w:rFonts w:ascii="Arial" w:cs="Arial" w:eastAsia="Arial" w:hAnsi="Arial"/>
          <w:sz w:val="16"/>
          <w:szCs w:val="16"/>
          <w:color w:val="auto"/>
        </w:rPr>
      </w:pPr>
    </w:p>
    <w:p>
      <w:pPr>
        <w:jc w:val="both"/>
        <w:ind w:firstLine="1948"/>
        <w:spacing w:after="0" w:line="256" w:lineRule="auto"/>
        <w:tabs>
          <w:tab w:leader="none" w:pos="2158" w:val="left"/>
        </w:tabs>
        <w:numPr>
          <w:ilvl w:val="1"/>
          <w:numId w:val="101"/>
        </w:numPr>
        <w:rPr>
          <w:rFonts w:ascii="Arial" w:cs="Arial" w:eastAsia="Arial" w:hAnsi="Arial"/>
          <w:sz w:val="18"/>
          <w:szCs w:val="18"/>
          <w:color w:val="auto"/>
        </w:rPr>
      </w:pPr>
      <w:r>
        <w:rPr>
          <w:rFonts w:ascii="Arial" w:cs="Arial" w:eastAsia="Arial" w:hAnsi="Arial"/>
          <w:sz w:val="18"/>
          <w:szCs w:val="18"/>
          <w:color w:val="auto"/>
        </w:rPr>
        <w:t>Each installment of the payments and benefits due under Sections 4.1 or 4.2 that, in accordance with the dates and terms set forth herein, will in all circumstances, regardless of when the separation from service occurs, be paid within the short-term deferral period (as defined under Section 409A) shall be treated as a short-term deferral within the meaning of Treasury Regulation Section 1.409A-1(b)(4) to the maximum extent permissible under Section 409A;</w:t>
      </w:r>
    </w:p>
    <w:p>
      <w:pPr>
        <w:spacing w:after="0" w:line="143" w:lineRule="exact"/>
        <w:rPr>
          <w:rFonts w:ascii="Arial" w:cs="Arial" w:eastAsia="Arial" w:hAnsi="Arial"/>
          <w:sz w:val="18"/>
          <w:szCs w:val="18"/>
          <w:color w:val="auto"/>
        </w:rPr>
      </w:pPr>
    </w:p>
    <w:p>
      <w:pPr>
        <w:jc w:val="both"/>
        <w:ind w:firstLine="1948"/>
        <w:spacing w:after="0" w:line="287" w:lineRule="auto"/>
        <w:tabs>
          <w:tab w:leader="none" w:pos="2209" w:val="left"/>
        </w:tabs>
        <w:numPr>
          <w:ilvl w:val="1"/>
          <w:numId w:val="101"/>
        </w:numPr>
        <w:rPr>
          <w:rFonts w:ascii="Arial" w:cs="Arial" w:eastAsia="Arial" w:hAnsi="Arial"/>
          <w:sz w:val="16"/>
          <w:szCs w:val="16"/>
          <w:color w:val="auto"/>
        </w:rPr>
      </w:pPr>
      <w:r>
        <w:rPr>
          <w:rFonts w:ascii="Arial" w:cs="Arial" w:eastAsia="Arial" w:hAnsi="Arial"/>
          <w:sz w:val="16"/>
          <w:szCs w:val="16"/>
          <w:color w:val="auto"/>
        </w:rPr>
        <w:t xml:space="preserve">Each installment of the payments and benefits due under Sections 4.1 or 4.2 that is not described in Section 4.7(c)(i) above, and that would, absent this subsection, be paid within the six-month period following the separation from service of the Executive from the Company shall not be paid until the date that is six months and one day after such separation from service (or, if earlier, the Executive’s death), with any such installments that are required to be delayed being accumulated during the six-month period and paid in a lump sum on the date that is six months and one day following the Executive’s separation from service and any subsequent installments, if any, being paid in accordance with the dates and terms set forth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preceding provisions of this sentence shall not apply to any installment of payments and benefits if and to the maximum extent that that such installment is deemed to be paid under a separation pay plan that does not provide for a deferral of compensation by reason of the application of Treasury Regulation Section 1.409A-1(b)(9)(iii) (relating to separation pay upon an involuntary separation from service). Any installments that qualify for the exception under Treasury Regulation Section 1.409A-1(b)(9)(iii) must be paid no later than the last day of the Executive’s second taxable year following his taxable year in which the separation from service occurs.</w:t>
      </w:r>
    </w:p>
    <w:p>
      <w:pPr>
        <w:spacing w:after="0" w:line="122" w:lineRule="exact"/>
        <w:rPr>
          <w:rFonts w:ascii="Arial" w:cs="Arial" w:eastAsia="Arial" w:hAnsi="Arial"/>
          <w:sz w:val="16"/>
          <w:szCs w:val="16"/>
          <w:color w:val="auto"/>
        </w:rPr>
      </w:pPr>
    </w:p>
    <w:p>
      <w:pPr>
        <w:jc w:val="both"/>
        <w:ind w:firstLine="1492"/>
        <w:spacing w:after="0" w:line="306" w:lineRule="auto"/>
        <w:tabs>
          <w:tab w:leader="none" w:pos="1758"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determination of whether and when a separation from service from the Company has occurred shall be made and in a manner consistent with, and based on the presumptions set forth in, Treasury Regulation Section 1.409A-1(h). Solely for purposes of this Section 4.7(d), “Company” shall include all persons with whom the Company would be considered a single employer as determined under Treasury Regulation Section 1.409A-1(h)(3).</w:t>
      </w:r>
    </w:p>
    <w:p>
      <w:pPr>
        <w:spacing w:after="0" w:line="106" w:lineRule="exact"/>
        <w:rPr>
          <w:rFonts w:ascii="Arial" w:cs="Arial" w:eastAsia="Arial" w:hAnsi="Arial"/>
          <w:sz w:val="16"/>
          <w:szCs w:val="16"/>
          <w:color w:val="auto"/>
        </w:rPr>
      </w:pPr>
    </w:p>
    <w:p>
      <w:pPr>
        <w:jc w:val="both"/>
        <w:ind w:firstLine="1492"/>
        <w:spacing w:after="0" w:line="291" w:lineRule="auto"/>
        <w:tabs>
          <w:tab w:leader="none" w:pos="1722"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All reimbursements and in-kind benefits provided under the Agreement shall be made or provided in accordance with the requirements of Section 409A to the extent that such reimbursements or in-kind benefits are subject to Section 409A, including, where applicable, the requirement that (i) any reimbursement is for expenses incurred during the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76" w:name="page77"/>
    <w:bookmarkEnd w:id="76"/>
    <w:p>
      <w:pPr>
        <w:jc w:val="both"/>
        <w:ind w:firstLine="1492"/>
        <w:spacing w:after="0" w:line="259" w:lineRule="auto"/>
        <w:tabs>
          <w:tab w:leader="none" w:pos="1713" w:val="left"/>
        </w:tabs>
        <w:numPr>
          <w:ilvl w:val="1"/>
          <w:numId w:val="1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makes no representation or warranty and shall have no liability to the Executive or any other person if any provisions of this Agreement are determined to constitute deferred compensation subject to Section 409A and do not satisfy an exemption from, or the conditions of, Section 409A.</w:t>
      </w:r>
    </w:p>
    <w:p>
      <w:pPr>
        <w:spacing w:after="0" w:line="140" w:lineRule="exact"/>
        <w:rPr>
          <w:rFonts w:ascii="Arial" w:cs="Arial" w:eastAsia="Arial" w:hAnsi="Arial"/>
          <w:sz w:val="18"/>
          <w:szCs w:val="18"/>
          <w:color w:val="auto"/>
        </w:rPr>
      </w:pPr>
    </w:p>
    <w:p>
      <w:pPr>
        <w:jc w:val="both"/>
        <w:ind w:firstLine="464"/>
        <w:spacing w:after="0" w:line="255" w:lineRule="auto"/>
        <w:tabs>
          <w:tab w:leader="none" w:pos="632"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Settlement of Disputes; Arbitration</w:t>
      </w:r>
      <w:r>
        <w:rPr>
          <w:rFonts w:ascii="Arial" w:cs="Arial" w:eastAsia="Arial" w:hAnsi="Arial"/>
          <w:sz w:val="18"/>
          <w:szCs w:val="18"/>
          <w:color w:val="auto"/>
        </w:rPr>
        <w:t>. All claims by the Executive for benefits under this Agreement shall be directed to the Board and shall be in writing. Any denial by the Board of a claim for benefits under this Agreement shall be delivered to the Executive in writing and shall set forth the reasons for the denial and the provisions of this Agreement relied upon. Any further dispute or controversy arising under or in connection with this Agreement shall be settled exclusively by arbitration in Boston, Massachusetts, in accordance with the rules of the American Arbitration Association then in effect. Judgment may be entered on the arbitrator’s award in any court having jurisdiction.</w:t>
      </w:r>
    </w:p>
    <w:p>
      <w:pPr>
        <w:spacing w:after="0" w:line="142" w:lineRule="exact"/>
        <w:rPr>
          <w:rFonts w:ascii="Arial" w:cs="Arial" w:eastAsia="Arial" w:hAnsi="Arial"/>
          <w:sz w:val="18"/>
          <w:szCs w:val="18"/>
          <w:color w:val="auto"/>
        </w:rPr>
      </w:pPr>
    </w:p>
    <w:p>
      <w:pPr>
        <w:ind w:left="640" w:hanging="176"/>
        <w:spacing w:after="0"/>
        <w:tabs>
          <w:tab w:leader="none" w:pos="64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Successors</w:t>
      </w:r>
      <w:r>
        <w:rPr>
          <w:rFonts w:ascii="Arial" w:cs="Arial" w:eastAsia="Arial" w:hAnsi="Arial"/>
          <w:sz w:val="18"/>
          <w:szCs w:val="18"/>
          <w:color w:val="auto"/>
        </w:rPr>
        <w:t>. This Agreement shall be binding upon the Company and its successors and assigns. This Agreement shall inure to the benefit of and be enforceable by the Executive’s personal or legal representatives, executors, administrators, successors, heirs, distributees, devisees and legatees. If the Executive should die while any amount would still be payable to the Executive or his family hereunder if the Executive had continued to live, all such amounts, unless otherwise provided herein, shall be paid in accordance with the terms of this Agreement to the executors, personal representatives or administrators of the Executive’s estate.</w:t>
      </w:r>
    </w:p>
    <w:p>
      <w:pPr>
        <w:spacing w:after="0" w:line="143" w:lineRule="exact"/>
        <w:rPr>
          <w:sz w:val="20"/>
          <w:szCs w:val="20"/>
          <w:color w:val="auto"/>
        </w:rPr>
      </w:pPr>
    </w:p>
    <w:p>
      <w:pPr>
        <w:jc w:val="both"/>
        <w:ind w:firstLine="913"/>
        <w:spacing w:after="0" w:line="289"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Notice</w:t>
      </w:r>
      <w:r>
        <w:rPr>
          <w:rFonts w:ascii="Arial" w:cs="Arial" w:eastAsia="Arial" w:hAnsi="Arial"/>
          <w:sz w:val="16"/>
          <w:szCs w:val="16"/>
          <w:color w:val="auto"/>
        </w:rPr>
        <w:t>. All notices, instructions and other communications given hereunder or in connection herewith shall be in writing. Any such notice, instruction or communication shall be sent either (i) by registered or certified mail, return receipt requested, postage prepaid, or (ii) prepaid via a reputable nationwide overnight courier service, in each case addressed to the Company, at 64 Jackson Road, Devens, Massachusetts 01434, and to the Executive at the Executive’s address indicated on the signature page of this Agreement (or to such other address as either the Company or the Executive may have furnished to the other in writing in accordance herewith). Any such notice, instruction or communication shall be deemed to have been delivered five business days after it is sent by registered or certified mail, return receipt requested, postage prepaid, or one business day after it is sent via a reputable nationwide overnight courier service. Either party may give any notice, instruction or other communication hereunder using any other means, but no such notice, instruction or other communication shall be deemed to have been duly delivered unless and until it actually is received by the party for whom it is intended.</w:t>
      </w:r>
    </w:p>
    <w:p>
      <w:pPr>
        <w:spacing w:after="0" w:line="118"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Employment by Subsidiary</w:t>
      </w:r>
      <w:r>
        <w:rPr>
          <w:rFonts w:ascii="Arial" w:cs="Arial" w:eastAsia="Arial" w:hAnsi="Arial"/>
          <w:sz w:val="18"/>
          <w:szCs w:val="18"/>
          <w:color w:val="auto"/>
        </w:rPr>
        <w:t>. For purposes of this Agreement, the Executive’s employment with the Company shall not be deemed to have terminated solely as a result of the Executive continuing to be employed by a wholly-owned subsidiary of the Company.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77" w:name="page78"/>
    <w:bookmarkEnd w:id="77"/>
    <w:p>
      <w:pPr>
        <w:jc w:val="both"/>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6.4 </w:t>
      </w: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of this Agreement shall not affect the validity or enforceability of any other provision of this Agreement, which shall remain in full force and effect.</w:t>
      </w:r>
    </w:p>
    <w:p>
      <w:pPr>
        <w:spacing w:after="0" w:line="132"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interpretation, construction and performance of this Agreement shall be governed by the internal laws of the Commonwealth of Massachusetts, without regard to conflicts of law principles.</w:t>
      </w:r>
    </w:p>
    <w:p>
      <w:pPr>
        <w:spacing w:after="0" w:line="132"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Waivers</w:t>
      </w:r>
      <w:r>
        <w:rPr>
          <w:rFonts w:ascii="Arial" w:cs="Arial" w:eastAsia="Arial" w:hAnsi="Arial"/>
          <w:sz w:val="18"/>
          <w:szCs w:val="18"/>
          <w:color w:val="auto"/>
        </w:rPr>
        <w:t>. No waiver by the Executive at any time of any breach of, or compliance with, any provision of this Agreement to be performed by the Company shall be deemed a waiver of that or any other provision at any subsequent time.</w:t>
      </w:r>
    </w:p>
    <w:p>
      <w:pPr>
        <w:spacing w:after="0" w:line="132"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to be an original but both of which together shall constitute one and the same instrument.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Tax Withholding</w:t>
      </w:r>
      <w:r>
        <w:rPr>
          <w:rFonts w:ascii="Arial" w:cs="Arial" w:eastAsia="Arial" w:hAnsi="Arial"/>
          <w:sz w:val="16"/>
          <w:szCs w:val="16"/>
          <w:color w:val="auto"/>
        </w:rPr>
        <w:t>. Any payments provided for hereunder shall be paid net of any applicable tax withholding required under federal, state or local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165" w:lineRule="exact"/>
        <w:rPr>
          <w:sz w:val="20"/>
          <w:szCs w:val="20"/>
          <w:color w:val="auto"/>
        </w:rPr>
      </w:pPr>
    </w:p>
    <w:p>
      <w:pPr>
        <w:jc w:val="both"/>
        <w:ind w:firstLine="913"/>
        <w:spacing w:after="0" w:line="254"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sets forth the entire agreement of the parties hereto in respect of the subject matter contained herein and supersedes all prior agreements, promises, covenants, arrangements, communications, representations or warranties, whether oral or written, by any officer, employee or representative of any party hereto in respect of the subject matter contained herein; and any prior agreement of the parties hereto in respect of the subject matter contained herein is hereby terminated and cancelled. Notwithstanding the foregoing, the provisions of any stock option agreements between the Company and the Executive (including any terms thereof relating to acceleration of vesting) shall not be superseded by or modified by the terms of this Agreement.</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Amendments</w:t>
      </w:r>
      <w:r>
        <w:rPr>
          <w:rFonts w:ascii="Arial" w:cs="Arial" w:eastAsia="Arial" w:hAnsi="Arial"/>
          <w:sz w:val="16"/>
          <w:szCs w:val="16"/>
          <w:color w:val="auto"/>
        </w:rPr>
        <w:t>. This Agreement may be amended or modified only by a written instrument executed by both the Company and the Executive.</w:t>
      </w:r>
    </w:p>
    <w:p>
      <w:pPr>
        <w:spacing w:after="0" w:line="194"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Executive’s Acknowledgements</w:t>
      </w:r>
      <w:r>
        <w:rPr>
          <w:rFonts w:ascii="Arial" w:cs="Arial" w:eastAsia="Arial" w:hAnsi="Arial"/>
          <w:sz w:val="16"/>
          <w:szCs w:val="16"/>
          <w:color w:val="auto"/>
        </w:rPr>
        <w:t>. The Executive acknowledges that he: (a) has read this Agreement; (b) has been represented in the preparation, negotiation, and execution of this Agreement by legal counsel of the Executive’s own choice or has voluntarily declined to seek such counsel; (c) understands the terms and consequences of this Agreement; and (d) understands that the law firm of Wilmer Cutler Pickering Hale and Dorr LLP is acting as counsel to the Company in connection with the transactions contemplated by this Agreement, and is not acting as counsel for the Executive.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executed this Agreement as of the day and year first set forth above.</w:t>
      </w:r>
    </w:p>
    <w:p>
      <w:pPr>
        <w:spacing w:after="0" w:line="212" w:lineRule="exact"/>
        <w:rPr>
          <w:sz w:val="20"/>
          <w:szCs w:val="20"/>
          <w:color w:val="auto"/>
        </w:rPr>
      </w:pPr>
    </w:p>
    <w:p>
      <w:pPr>
        <w:jc w:val="right"/>
        <w:ind w:right="680"/>
        <w:spacing w:after="0"/>
        <w:rPr>
          <w:sz w:val="20"/>
          <w:szCs w:val="20"/>
          <w:color w:val="auto"/>
        </w:rPr>
      </w:pPr>
      <w:r>
        <w:rPr>
          <w:rFonts w:ascii="Arial" w:cs="Arial" w:eastAsia="Arial" w:hAnsi="Arial"/>
          <w:sz w:val="18"/>
          <w:szCs w:val="18"/>
          <w:color w:val="auto"/>
        </w:rPr>
        <w:t>AMERICAN SUPERCONDUCTOR CORPORATION</w:t>
      </w:r>
    </w:p>
    <w:p>
      <w:pPr>
        <w:spacing w:after="0" w:line="225"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1100" w:type="dxa"/>
            <w:vAlign w:val="bottom"/>
          </w:tcPr>
          <w:p>
            <w:pPr>
              <w:spacing w:after="0"/>
              <w:rPr>
                <w:sz w:val="20"/>
                <w:szCs w:val="20"/>
                <w:color w:val="auto"/>
              </w:rPr>
            </w:pPr>
            <w:r>
              <w:rPr>
                <w:rFonts w:ascii="Arial" w:cs="Arial" w:eastAsia="Arial" w:hAnsi="Arial"/>
                <w:sz w:val="18"/>
                <w:szCs w:val="18"/>
                <w:color w:val="auto"/>
              </w:rPr>
              <w:t>Signature:</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Yurek</w:t>
            </w:r>
          </w:p>
        </w:tc>
      </w:tr>
      <w:tr>
        <w:trPr>
          <w:trHeight w:val="217"/>
        </w:trPr>
        <w:tc>
          <w:tcPr>
            <w:tcW w:w="1100" w:type="dxa"/>
            <w:vAlign w:val="bottom"/>
          </w:tcPr>
          <w:p>
            <w:pPr>
              <w:spacing w:after="0"/>
              <w:rPr>
                <w:sz w:val="20"/>
                <w:szCs w:val="20"/>
                <w:color w:val="auto"/>
              </w:rPr>
            </w:pPr>
            <w:r>
              <w:rPr>
                <w:rFonts w:ascii="Arial" w:cs="Arial" w:eastAsia="Arial" w:hAnsi="Arial"/>
                <w:sz w:val="18"/>
                <w:szCs w:val="18"/>
                <w:color w:val="auto"/>
              </w:rPr>
              <w:t>Print name:</w:t>
            </w:r>
          </w:p>
        </w:tc>
        <w:tc>
          <w:tcPr>
            <w:tcW w:w="3460" w:type="dxa"/>
            <w:vAlign w:val="bottom"/>
          </w:tcPr>
          <w:p>
            <w:pPr>
              <w:spacing w:after="0"/>
              <w:rPr>
                <w:sz w:val="20"/>
                <w:szCs w:val="20"/>
                <w:color w:val="auto"/>
              </w:rPr>
            </w:pPr>
            <w:r>
              <w:rPr>
                <w:rFonts w:ascii="Arial" w:cs="Arial" w:eastAsia="Arial" w:hAnsi="Arial"/>
                <w:sz w:val="18"/>
                <w:szCs w:val="18"/>
                <w:color w:val="auto"/>
              </w:rPr>
              <w:t>Gregory Yurek</w:t>
            </w:r>
          </w:p>
        </w:tc>
      </w:tr>
      <w:tr>
        <w:trPr>
          <w:trHeight w:val="222"/>
        </w:trPr>
        <w:tc>
          <w:tcPr>
            <w:tcW w:w="1100" w:type="dxa"/>
            <w:vAlign w:val="bottom"/>
          </w:tcPr>
          <w:p>
            <w:pPr>
              <w:spacing w:after="0"/>
              <w:rPr>
                <w:sz w:val="20"/>
                <w:szCs w:val="20"/>
                <w:color w:val="auto"/>
              </w:rPr>
            </w:pPr>
            <w:r>
              <w:rPr>
                <w:rFonts w:ascii="Arial" w:cs="Arial" w:eastAsia="Arial" w:hAnsi="Arial"/>
                <w:sz w:val="18"/>
                <w:szCs w:val="18"/>
                <w:color w:val="auto"/>
              </w:rPr>
              <w:t>Title:</w:t>
            </w:r>
          </w:p>
        </w:tc>
        <w:tc>
          <w:tcPr>
            <w:tcW w:w="34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EXECUTIVE</w:t>
            </w:r>
          </w:p>
        </w:tc>
        <w:tc>
          <w:tcPr>
            <w:tcW w:w="3460" w:type="dxa"/>
            <w:vAlign w:val="bottom"/>
          </w:tcPr>
          <w:p>
            <w:pPr>
              <w:spacing w:after="0"/>
              <w:rPr>
                <w:sz w:val="24"/>
                <w:szCs w:val="24"/>
                <w:color w:val="auto"/>
              </w:rPr>
            </w:pP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Signature:</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Alexis P. Malozemoff</w:t>
            </w:r>
          </w:p>
        </w:tc>
      </w:tr>
      <w:tr>
        <w:trPr>
          <w:trHeight w:val="223"/>
        </w:trPr>
        <w:tc>
          <w:tcPr>
            <w:tcW w:w="1100" w:type="dxa"/>
            <w:vAlign w:val="bottom"/>
          </w:tcPr>
          <w:p>
            <w:pPr>
              <w:spacing w:after="0"/>
              <w:rPr>
                <w:sz w:val="20"/>
                <w:szCs w:val="20"/>
                <w:color w:val="auto"/>
              </w:rPr>
            </w:pPr>
            <w:r>
              <w:rPr>
                <w:rFonts w:ascii="Arial" w:cs="Arial" w:eastAsia="Arial" w:hAnsi="Arial"/>
                <w:sz w:val="18"/>
                <w:szCs w:val="18"/>
                <w:color w:val="auto"/>
              </w:rPr>
              <w:t>Print name:</w:t>
            </w:r>
          </w:p>
        </w:tc>
        <w:tc>
          <w:tcPr>
            <w:tcW w:w="3460" w:type="dxa"/>
            <w:vAlign w:val="bottom"/>
          </w:tcPr>
          <w:p>
            <w:pPr>
              <w:spacing w:after="0"/>
              <w:rPr>
                <w:sz w:val="20"/>
                <w:szCs w:val="20"/>
                <w:color w:val="auto"/>
              </w:rPr>
            </w:pPr>
            <w:r>
              <w:rPr>
                <w:rFonts w:ascii="Arial" w:cs="Arial" w:eastAsia="Arial" w:hAnsi="Arial"/>
                <w:sz w:val="18"/>
                <w:szCs w:val="18"/>
                <w:color w:val="auto"/>
              </w:rPr>
              <w:t>Alexis P. Malozemoff</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Address:</w:t>
            </w:r>
          </w:p>
        </w:tc>
        <w:tc>
          <w:tcPr>
            <w:tcW w:w="3460" w:type="dxa"/>
            <w:vAlign w:val="bottom"/>
          </w:tcPr>
          <w:p>
            <w:pPr>
              <w:spacing w:after="0"/>
              <w:rPr>
                <w:sz w:val="24"/>
                <w:szCs w:val="24"/>
                <w:color w:val="auto"/>
              </w:rPr>
            </w:pPr>
          </w:p>
        </w:tc>
      </w:tr>
    </w:tbl>
    <w:p>
      <w:pPr>
        <w:spacing w:after="0" w:line="21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 American Superconductor Corporation</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64 Jackson Road</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Devens, MA 01434</w:t>
      </w:r>
    </w:p>
    <w:p>
      <w:pPr>
        <w:spacing w:after="0" w:line="15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700" w:top="280"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RELEASE</w:t>
      </w:r>
    </w:p>
    <w:p>
      <w:pPr>
        <w:spacing w:after="0" w:line="171"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In consideration of the payment to me of the severance benefits pursuant to Section 4.1(a), 4.2(a) or 4.2(b) of my Amended and Restated Executive</w:t>
      </w:r>
    </w:p>
    <w:p>
      <w:pPr>
        <w:spacing w:after="0" w:line="38" w:lineRule="exact"/>
        <w:rPr>
          <w:sz w:val="20"/>
          <w:szCs w:val="20"/>
          <w:color w:val="auto"/>
        </w:rPr>
      </w:pPr>
    </w:p>
    <w:p>
      <w:pPr>
        <w:spacing w:after="0"/>
        <w:tabs>
          <w:tab w:leader="none" w:pos="7320" w:val="left"/>
          <w:tab w:leader="none" w:pos="7560" w:val="left"/>
          <w:tab w:leader="none" w:pos="8100" w:val="left"/>
        </w:tabs>
        <w:rPr>
          <w:sz w:val="20"/>
          <w:szCs w:val="20"/>
          <w:color w:val="auto"/>
        </w:rPr>
      </w:pPr>
      <w:r>
        <w:rPr>
          <w:rFonts w:ascii="Arial" w:cs="Arial" w:eastAsia="Arial" w:hAnsi="Arial"/>
          <w:sz w:val="18"/>
          <w:szCs w:val="18"/>
          <w:color w:val="auto"/>
        </w:rPr>
        <w:t>Severance Agreement with American Superconductor Corporation (the “Company”) dated</w:t>
      </w:r>
      <w:r>
        <w:rPr>
          <w:sz w:val="20"/>
          <w:szCs w:val="20"/>
          <w:color w:val="auto"/>
        </w:rPr>
        <w:tab/>
      </w:r>
      <w:r>
        <w:rPr>
          <w:rFonts w:ascii="Arial" w:cs="Arial" w:eastAsia="Arial" w:hAnsi="Arial"/>
          <w:sz w:val="18"/>
          <w:szCs w:val="18"/>
          <w:color w:val="auto"/>
        </w:rPr>
        <w:t>[</w:t>
        <w:tab/>
        <w:t>], 20</w:t>
      </w:r>
      <w:r>
        <w:rPr>
          <w:sz w:val="20"/>
          <w:szCs w:val="20"/>
          <w:color w:val="auto"/>
        </w:rPr>
        <w:tab/>
      </w:r>
      <w:r>
        <w:rPr>
          <w:rFonts w:ascii="Arial" w:cs="Arial" w:eastAsia="Arial" w:hAnsi="Arial"/>
          <w:sz w:val="16"/>
          <w:szCs w:val="16"/>
          <w:color w:val="auto"/>
        </w:rPr>
        <w:t>(the “Agreement”), I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4076065</wp:posOffset>
            </wp:positionH>
            <wp:positionV relativeFrom="paragraph">
              <wp:posOffset>-17780</wp:posOffset>
            </wp:positionV>
            <wp:extent cx="104965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49655" cy="8890"/>
                    </a:xfrm>
                    <a:prstGeom prst="rect">
                      <a:avLst/>
                    </a:prstGeom>
                    <a:noFill/>
                  </pic:spPr>
                </pic:pic>
              </a:graphicData>
            </a:graphic>
          </wp:anchor>
        </w:drawing>
      </w:r>
    </w:p>
    <w:p>
      <w:pPr>
        <w:spacing w:after="0" w:line="64" w:lineRule="exact"/>
        <w:rPr>
          <w:sz w:val="20"/>
          <w:szCs w:val="20"/>
          <w:color w:val="auto"/>
        </w:rPr>
      </w:pPr>
    </w:p>
    <w:p>
      <w:pPr>
        <w:jc w:val="both"/>
        <w:ind w:firstLine="8"/>
        <w:spacing w:after="0" w:line="285" w:lineRule="auto"/>
        <w:tabs>
          <w:tab w:leader="none" w:pos="208"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 on behalf of myself and my representatives, agents, estate, heirs, successors and assigns, hereby irrevocably and unconditionally release, remise and discharge the Company, its officers, directors, stockholders, affiliates (within the meaning of the Securities Act of 1933), attorneys, agents and employees, and their respective predecessors, successors and assigns (collectively, the “Company Releasees”), from any and all actions or causes of action, suits, claims, complaints, liabilities, contracts, torts, debts, damages, controversies, rights and demands, whether existing or contingent, known or unknown, arising up to and through the date of this Release out of my employment, or the termination of my employment, with the Company, including, but not limited to, all employment discrimination claims under the Age Discrimination in Employment Act, 29 U.S.C. §621 et seq., Title VII of the Civil Rights Act of 1964, 42 U.S.C. § 2000e et seq., the Americans With Disabilities Act of 1990, 42 U.S.C. § 12101 et seq., the Family and Medical Leave Act, 29 U.S.C. § 2601 et seq., the Worker Adjustment and Retraining Notification Act (“WARN”), 29 U.S.C. § 2101 et seq., the Massachusetts Fair Employment Practices Act, M.G.L. c.151B, § 1 et seq., the Massachusetts Civil Rights Act, M.G.L. c.12, §§ 11H and 11I, the Massachusetts Equal Rights Act, M.G.L. c.93, § 102 and M.G.L. c.214, § 1C, the Massachusetts Labor and Industries Act, M.G.L. c.149, § 1 et seq., and the Massachusetts Privacy Act, M.G.L. c.214, § 1B, all as amended, and all claims arising out of the Fair Credit Reporting Act, 15 U.S.C. § 1681 et seq. and the Employee Retirement Income Security Act of 1974 (“ERISA”), 29 U.S.C. § 1001 et seq., all as amended; and all claims to any non-vested ownership interest in the Company, contractual or otherwise, including, but not limited to, claims to stock or stock options. Notwithstanding the foregoing, (a) nothing in this Release prevents me from filing, cooperating with, or participating in any proceeding before the EEOC or a state Fair Employment Practices Agency (except that I acknowledge that I may not recover any monetary benefits in connection with any such claim, charge or proceeding), (b) this Release does not extend to any rights I have that arise after the date hereof under the Agreement and (c) this Release does not extend to any rights I may have to indemnification as an officer or director of the Company under the provisions of the Company’s By-laws or applicable law.</w:t>
      </w:r>
    </w:p>
    <w:p>
      <w:pPr>
        <w:spacing w:after="0" w:line="123" w:lineRule="exact"/>
        <w:rPr>
          <w:rFonts w:ascii="Arial" w:cs="Arial" w:eastAsia="Arial" w:hAnsi="Arial"/>
          <w:sz w:val="16"/>
          <w:szCs w:val="16"/>
          <w:color w:val="auto"/>
        </w:rPr>
      </w:pPr>
    </w:p>
    <w:p>
      <w:pPr>
        <w:ind w:right="20" w:firstLine="8"/>
        <w:spacing w:after="0" w:line="268" w:lineRule="auto"/>
        <w:tabs>
          <w:tab w:leader="none" w:pos="17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 have been advised by the Company to consult with counsel before signing this Release, and have been given the opportunity to consult with my own counsel prior to signing this Release.</w:t>
      </w:r>
    </w:p>
    <w:p>
      <w:pPr>
        <w:spacing w:after="0" w:line="131" w:lineRule="exact"/>
        <w:rPr>
          <w:rFonts w:ascii="Arial" w:cs="Arial" w:eastAsia="Arial" w:hAnsi="Arial"/>
          <w:sz w:val="18"/>
          <w:szCs w:val="18"/>
          <w:color w:val="auto"/>
        </w:rPr>
      </w:pPr>
    </w:p>
    <w:p>
      <w:pPr>
        <w:ind w:left="180" w:hanging="172"/>
        <w:spacing w:after="0"/>
        <w:tabs>
          <w:tab w:leader="none" w:pos="1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 have been given up to twenty-one (21) days from the receipt of this Release to consider whether to execute this Release.</w:t>
      </w:r>
    </w:p>
    <w:p>
      <w:pPr>
        <w:spacing w:after="0" w:line="171" w:lineRule="exact"/>
        <w:rPr>
          <w:rFonts w:ascii="Arial" w:cs="Arial" w:eastAsia="Arial" w:hAnsi="Arial"/>
          <w:sz w:val="18"/>
          <w:szCs w:val="18"/>
          <w:color w:val="auto"/>
        </w:rPr>
      </w:pPr>
    </w:p>
    <w:p>
      <w:pPr>
        <w:jc w:val="both"/>
        <w:ind w:firstLine="8"/>
        <w:spacing w:after="0" w:line="259" w:lineRule="auto"/>
        <w:tabs>
          <w:tab w:leader="none" w:pos="17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 have been advised that even after I sign this Release, I may revoke it within seven (7) days of the date of my signing by delivering a signed revocation notice to the Secretary of the Company. Delivery by ordinary mail will effectively revoke my assent to this Release if it is postmarked no later than seven days after I sign this Release.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80" w:name="page81"/>
    <w:bookmarkEnd w:id="80"/>
    <w:p>
      <w:pPr>
        <w:ind w:left="172" w:hanging="172"/>
        <w:spacing w:after="0"/>
        <w:tabs>
          <w:tab w:leader="none" w:pos="172" w:val="left"/>
        </w:tabs>
        <w:numPr>
          <w:ilvl w:val="0"/>
          <w:numId w:val="1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Release shall not become effective and in force until eight days after I sign, provided I have not timely revoked my acceptance.</w:t>
      </w:r>
    </w:p>
    <w:p>
      <w:pPr>
        <w:spacing w:after="0" w:line="171" w:lineRule="exact"/>
        <w:rPr>
          <w:rFonts w:ascii="Arial" w:cs="Arial" w:eastAsia="Arial" w:hAnsi="Arial"/>
          <w:sz w:val="18"/>
          <w:szCs w:val="18"/>
          <w:color w:val="auto"/>
        </w:rPr>
      </w:pPr>
    </w:p>
    <w:p>
      <w:pPr>
        <w:ind w:left="172" w:hanging="172"/>
        <w:spacing w:after="0"/>
        <w:tabs>
          <w:tab w:leader="none" w:pos="172"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 acknowledge and reaffirm my obligations under the American Superconductor Corporation Employee Nondisclosure and Developments Agreement.</w:t>
      </w:r>
    </w:p>
    <w:p>
      <w:pPr>
        <w:spacing w:after="0" w:line="194" w:lineRule="exact"/>
        <w:rPr>
          <w:rFonts w:ascii="Arial" w:cs="Arial" w:eastAsia="Arial" w:hAnsi="Arial"/>
          <w:sz w:val="16"/>
          <w:szCs w:val="16"/>
          <w:color w:val="auto"/>
        </w:rPr>
      </w:pPr>
    </w:p>
    <w:p>
      <w:pPr>
        <w:ind w:left="-8" w:firstLine="8"/>
        <w:spacing w:after="0" w:line="268" w:lineRule="auto"/>
        <w:tabs>
          <w:tab w:leader="none" w:pos="17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No representation, promise or inducement has been offered or made to induce me to enter into this Release, and I am competent to execute this Release and accept full responsibility therefor.</w:t>
      </w:r>
    </w:p>
    <w:p>
      <w:pPr>
        <w:spacing w:after="0" w:line="172"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4725035</wp:posOffset>
            </wp:positionH>
            <wp:positionV relativeFrom="paragraph">
              <wp:posOffset>10795</wp:posOffset>
            </wp:positionV>
            <wp:extent cx="252158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19"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4931410</wp:posOffset>
            </wp:positionH>
            <wp:positionV relativeFrom="paragraph">
              <wp:posOffset>10795</wp:posOffset>
            </wp:positionV>
            <wp:extent cx="231521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19"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Date of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5368290</wp:posOffset>
            </wp:positionH>
            <wp:positionV relativeFrom="paragraph">
              <wp:posOffset>10795</wp:posOffset>
            </wp:positionV>
            <wp:extent cx="187833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6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92"/>
          </w:cols>
          <w:pgMar w:left="248" w:top="280" w:right="25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10.4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Amended and Restated Executive Severance Agreement</w:t>
      </w:r>
    </w:p>
    <w:p>
      <w:pPr>
        <w:spacing w:after="0" w:line="171"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AMENDED AND RESTATED</w:t>
      </w:r>
      <w:r>
        <w:rPr>
          <w:rFonts w:ascii="Arial" w:cs="Arial" w:eastAsia="Arial" w:hAnsi="Arial"/>
          <w:sz w:val="18"/>
          <w:szCs w:val="18"/>
          <w:color w:val="auto"/>
        </w:rPr>
        <w:t xml:space="preserve"> EXECUTIVE SEVERANCE AGREEMENT by and between American Superconductor Corporation, a Delaware corporation (the “Company”), and Charles W. Stankiewicz (the “Executive”) is made as of December 23, 2008 (the “Effective Date”).</w:t>
      </w:r>
    </w:p>
    <w:p>
      <w:pPr>
        <w:spacing w:after="0" w:line="132"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WHEREAS, the Board of Directors of the Company (the “Board”) has determined that appropriate steps should be taken to reinforce and encourage the continued employment and dedication of the Executive and to minimize the distraction from the possibility of an unwarranted termination of employment.</w:t>
      </w:r>
    </w:p>
    <w:p>
      <w:pPr>
        <w:spacing w:after="0" w:line="8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WHEREAS, the Company and the Executive acknowledge and agree that the benefits described in this Agreement are not intended to, and shall not, constitute a severance plan, and shall confer no benefit on anyone other than the parties hereto.</w:t>
      </w:r>
    </w:p>
    <w:p>
      <w:pPr>
        <w:spacing w:after="0" w:line="132"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WHEREAS, the Company and the Executive originally entered into this Executive Severance Agreement on May 4, 2006, amended and restated on January 24, 2008 to reflect certain developments in the tax law, and now desire to amend and restate it further to reflect certain developments in the tax law.</w:t>
      </w:r>
    </w:p>
    <w:p>
      <w:pPr>
        <w:spacing w:after="0" w:line="8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NOW, THEREFORE, as an inducement for and in consideration of the Executive remaining in its employ, the Company agrees that the Executive shall receive the severance benefits set forth in this Agreement in the event the Executive’s employment with the Company is terminated under the specific circumstances described below.</w:t>
      </w:r>
    </w:p>
    <w:p>
      <w:pPr>
        <w:spacing w:after="0" w:line="140" w:lineRule="exact"/>
        <w:rPr>
          <w:sz w:val="20"/>
          <w:szCs w:val="20"/>
          <w:color w:val="auto"/>
        </w:rPr>
      </w:pPr>
    </w:p>
    <w:p>
      <w:pPr>
        <w:ind w:left="640" w:hanging="176"/>
        <w:spacing w:after="0"/>
        <w:tabs>
          <w:tab w:leader="none" w:pos="64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Key Definitions</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 the following terms shall have the following respective meanings: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an event or occurrence set forth in any one or more of subsections (a) through (c) below:</w:t>
      </w:r>
    </w:p>
    <w:p>
      <w:pPr>
        <w:spacing w:after="0" w:line="90" w:lineRule="exact"/>
        <w:rPr>
          <w:sz w:val="20"/>
          <w:szCs w:val="20"/>
          <w:color w:val="auto"/>
        </w:rPr>
      </w:pPr>
    </w:p>
    <w:p>
      <w:pPr>
        <w:jc w:val="both"/>
        <w:ind w:firstLine="1492"/>
        <w:spacing w:after="0" w:line="290" w:lineRule="auto"/>
        <w:tabs>
          <w:tab w:leader="none" w:pos="173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the acquisition by an individual, entity or group (within the meaning of Section 13(d)(3) or 14(d)(2) of the Securities Exchange Act of 1934, as amended (the “Exchange Act”)) (a “Person”) of beneficial ownership of any capital stock of the Company if, after such acquisition, such Person beneficially owns (within the meaning of Rule 13d-3 promulgated under the Exchange Act) 50% or more of either (x) the then-outstanding shares of common stock of the Company (the “Outstanding Company Common Stock”) or (y) the combined voting power of the then-outstanding securities of the Company entitled to vote generally in the election of directors (the “Outstanding Company Voting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for purposes of this subsection (a), the following acquisitions shall not constitute a Change in Control: (i) any acquisition directly from the Company, or (ii) any acquisition by any employee benefit plan (or related trust) sponsored or maintained by the Company or any corporation controlled by the Company; or</w:t>
      </w:r>
    </w:p>
    <w:p>
      <w:pPr>
        <w:sectPr>
          <w:pgSz w:w="11900" w:h="16838" w:orient="portrait"/>
          <w:cols w:equalWidth="0" w:num="1">
            <w:col w:w="11420"/>
          </w:cols>
          <w:pgMar w:left="240" w:top="125" w:right="239" w:bottom="1440" w:gutter="0" w:footer="0" w:header="0"/>
        </w:sectPr>
      </w:pPr>
    </w:p>
    <w:bookmarkStart w:id="82" w:name="page83"/>
    <w:bookmarkEnd w:id="82"/>
    <w:p>
      <w:pPr>
        <w:jc w:val="both"/>
        <w:ind w:firstLine="1492"/>
        <w:spacing w:after="0" w:line="290" w:lineRule="auto"/>
        <w:tabs>
          <w:tab w:leader="none" w:pos="1738" w:val="left"/>
        </w:tabs>
        <w:numPr>
          <w:ilvl w:val="0"/>
          <w:numId w:val="10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Continuing Directors (as defined below) no longer constituting a majority of the Board (or, if applicable, the Board of Directors of a successor corporation to the Company), where the term “Continuing Director” means at any date a member of the Board (i) who was a member of the Board on the date of the execution of this Agreement or (ii) 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there shall be excluded from this clause (ii)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w:t>
      </w:r>
    </w:p>
    <w:p>
      <w:pPr>
        <w:spacing w:after="0" w:line="118" w:lineRule="exact"/>
        <w:rPr>
          <w:rFonts w:ascii="Arial" w:cs="Arial" w:eastAsia="Arial" w:hAnsi="Arial"/>
          <w:sz w:val="16"/>
          <w:szCs w:val="16"/>
          <w:color w:val="auto"/>
        </w:rPr>
      </w:pPr>
    </w:p>
    <w:p>
      <w:pPr>
        <w:jc w:val="both"/>
        <w:ind w:firstLine="1492"/>
        <w:spacing w:after="0" w:line="288" w:lineRule="auto"/>
        <w:tabs>
          <w:tab w:leader="none" w:pos="1737"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consummation of a merger, consolidation, reorganization, recapitalization or statutory share exchange involving the Company or a sale or other disposition of all or substantially all of the assets of the Company in one or a series of related transactions (a “Business Combination”), other than a Business Combination in which all or substantially all of the individuals and entities who were the beneficial owners of the Outstanding Company Common Stock and Outstanding Company Voting Securities immediately prior to such Business Combination beneficially own, directly or indirectly, immediately following such Business Combination, more than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respectively.</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 “</w:t>
      </w:r>
      <w:r>
        <w:rPr>
          <w:rFonts w:ascii="Arial" w:cs="Arial" w:eastAsia="Arial" w:hAnsi="Arial"/>
          <w:sz w:val="18"/>
          <w:szCs w:val="18"/>
          <w:u w:val="single" w:color="auto"/>
          <w:color w:val="auto"/>
        </w:rPr>
        <w:t>Change in Control Date</w:t>
      </w:r>
      <w:r>
        <w:rPr>
          <w:rFonts w:ascii="Arial" w:cs="Arial" w:eastAsia="Arial" w:hAnsi="Arial"/>
          <w:sz w:val="18"/>
          <w:szCs w:val="18"/>
          <w:color w:val="auto"/>
        </w:rPr>
        <w:t>” means the first date during the Term (as defined in Section 2) on which a Change in Control occurs.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1.3 “</w:t>
      </w:r>
      <w:r>
        <w:rPr>
          <w:rFonts w:ascii="Arial" w:cs="Arial" w:eastAsia="Arial" w:hAnsi="Arial"/>
          <w:sz w:val="18"/>
          <w:szCs w:val="18"/>
          <w:u w:val="single" w:color="auto"/>
          <w:color w:val="auto"/>
        </w:rPr>
        <w:t>Cause</w:t>
      </w:r>
      <w:r>
        <w:rPr>
          <w:rFonts w:ascii="Arial" w:cs="Arial" w:eastAsia="Arial" w:hAnsi="Arial"/>
          <w:sz w:val="18"/>
          <w:szCs w:val="18"/>
          <w:color w:val="auto"/>
        </w:rPr>
        <w:t>” means:</w:t>
      </w:r>
    </w:p>
    <w:p>
      <w:pPr>
        <w:spacing w:after="0" w:line="90" w:lineRule="exact"/>
        <w:rPr>
          <w:sz w:val="20"/>
          <w:szCs w:val="20"/>
          <w:color w:val="auto"/>
        </w:rPr>
      </w:pPr>
    </w:p>
    <w:p>
      <w:pPr>
        <w:jc w:val="both"/>
        <w:ind w:firstLine="1492"/>
        <w:spacing w:after="0" w:line="256" w:lineRule="auto"/>
        <w:tabs>
          <w:tab w:leader="none" w:pos="173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Executive’s failure to perform his reasonable assigned duties to the standards reasonably required by the Company (other than any such failure resulting from incapacity due to physical or mental illness), which failure is not cured within 30 days after a written notice is received by the Executive from the Company describing in reasonable detail the manner in which the Board of Directors believes the Executive has not performed the Executive’s duties to the standards reasonably required by the Company; or</w:t>
      </w:r>
    </w:p>
    <w:p>
      <w:pPr>
        <w:spacing w:after="0" w:line="143" w:lineRule="exact"/>
        <w:rPr>
          <w:rFonts w:ascii="Arial" w:cs="Arial" w:eastAsia="Arial" w:hAnsi="Arial"/>
          <w:sz w:val="18"/>
          <w:szCs w:val="18"/>
          <w:color w:val="auto"/>
        </w:rPr>
      </w:pPr>
    </w:p>
    <w:p>
      <w:pPr>
        <w:jc w:val="both"/>
        <w:ind w:firstLine="1492"/>
        <w:spacing w:after="0" w:line="259" w:lineRule="auto"/>
        <w:tabs>
          <w:tab w:leader="none" w:pos="174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Executive’s willful engagement in illegal conduct or gross misconduct that is materially injurious to the Company. For purposes of this Section 1.3(b), no act or failure to act by the Executive shall be considered “willful” unless it is done intentionally and without reasonable belief that the Executive’s action was in the best interests of the Company.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83" w:name="page84"/>
    <w:bookmarkEnd w:id="8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1.4 </w:t>
      </w:r>
      <w:r>
        <w:rPr>
          <w:rFonts w:ascii="Arial" w:cs="Arial" w:eastAsia="Arial" w:hAnsi="Arial"/>
          <w:sz w:val="18"/>
          <w:szCs w:val="18"/>
          <w:u w:val="single" w:color="auto"/>
          <w:color w:val="auto"/>
        </w:rPr>
        <w:t>Good Reason</w:t>
      </w:r>
      <w:r>
        <w:rPr>
          <w:rFonts w:ascii="Arial" w:cs="Arial" w:eastAsia="Arial" w:hAnsi="Arial"/>
          <w:sz w:val="18"/>
          <w:szCs w:val="18"/>
          <w:color w:val="auto"/>
        </w:rPr>
        <w:t>” means the occurrence, without the Executive’s written consent, of any of the following events or circumstances:</w:t>
      </w:r>
    </w:p>
    <w:p>
      <w:pPr>
        <w:spacing w:after="0" w:line="90" w:lineRule="exact"/>
        <w:rPr>
          <w:sz w:val="20"/>
          <w:szCs w:val="20"/>
          <w:color w:val="auto"/>
        </w:rPr>
      </w:pPr>
    </w:p>
    <w:p>
      <w:pPr>
        <w:ind w:left="1740" w:hanging="248"/>
        <w:spacing w:after="0"/>
        <w:tabs>
          <w:tab w:leader="none" w:pos="17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material diminution in the Executive’s base compensation; or</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material diminution in the Executive’s authority, duties, or responsibilities; or</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material change in the geographic location at which the Executive must perform his duties; or</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other action or inaction of the Company which constitutes a material breach by the Company of this Agreement.</w:t>
      </w:r>
    </w:p>
    <w:p>
      <w:pPr>
        <w:spacing w:after="0" w:line="171"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Any termination by the Executive for Good Reason shall be communicated by means of a written notice delivered by the Executive to the Company within 90 days of the initial existence of the occurrence or condition on which the Executive bases his claim for Good Reason. If the condition is capable of being corrected, the Company shall have 30 days during which it may remedy the condition (the “Cure Period”). Notwithstanding the occurrence of any such event or circumstance, such occurrence shall not be deemed to constitute Good Reason if such event or circumstance has been fully corrected within the Cure Period and the Executive has been reasonably compensated for any losses or damages resulting therefrom. If the condition is not corrected, the Executive must leave employment within one (1) year after the Company fails to cure the condition giving rise to the Executive’s claim for Good Reason during the Cure Period.</w:t>
      </w:r>
    </w:p>
    <w:p>
      <w:pPr>
        <w:spacing w:after="0" w:line="12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1.5 “</w:t>
      </w:r>
      <w:r>
        <w:rPr>
          <w:rFonts w:ascii="Arial" w:cs="Arial" w:eastAsia="Arial" w:hAnsi="Arial"/>
          <w:sz w:val="18"/>
          <w:szCs w:val="18"/>
          <w:u w:val="single" w:color="auto"/>
          <w:color w:val="auto"/>
        </w:rPr>
        <w:t>Disability</w:t>
      </w:r>
      <w:r>
        <w:rPr>
          <w:rFonts w:ascii="Arial" w:cs="Arial" w:eastAsia="Arial" w:hAnsi="Arial"/>
          <w:sz w:val="18"/>
          <w:szCs w:val="18"/>
          <w:color w:val="auto"/>
        </w:rPr>
        <w:t>” means the Executive’s absence from the full-time performance of the Executive’s duties with the Company for 180 consecutive calendar days as a result of incapacity due to mental or physical illness which is determined to be total and permanent by a physician selected by the Company or its insurers and acceptable to the Executive or the Executive’s legal representative.</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1.6 “</w:t>
      </w:r>
      <w:r>
        <w:rPr>
          <w:rFonts w:ascii="Arial" w:cs="Arial" w:eastAsia="Arial" w:hAnsi="Arial"/>
          <w:sz w:val="16"/>
          <w:szCs w:val="16"/>
          <w:u w:val="single" w:color="auto"/>
          <w:color w:val="auto"/>
        </w:rPr>
        <w:t>Severance Period</w:t>
      </w:r>
      <w:r>
        <w:rPr>
          <w:rFonts w:ascii="Arial" w:cs="Arial" w:eastAsia="Arial" w:hAnsi="Arial"/>
          <w:sz w:val="16"/>
          <w:szCs w:val="16"/>
          <w:color w:val="auto"/>
        </w:rPr>
        <w:t>” shall mean the period of 18 months immediately following the Date of Termination (as defined in Section 3.2(a) below).</w:t>
      </w:r>
    </w:p>
    <w:p>
      <w:pPr>
        <w:spacing w:after="0" w:line="194" w:lineRule="exact"/>
        <w:rPr>
          <w:sz w:val="20"/>
          <w:szCs w:val="20"/>
          <w:color w:val="auto"/>
        </w:rPr>
      </w:pPr>
    </w:p>
    <w:p>
      <w:pPr>
        <w:jc w:val="both"/>
        <w:ind w:firstLine="464"/>
        <w:spacing w:after="0" w:line="290" w:lineRule="auto"/>
        <w:tabs>
          <w:tab w:leader="none" w:pos="632"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Term of Agreement</w:t>
      </w:r>
      <w:r>
        <w:rPr>
          <w:rFonts w:ascii="Arial" w:cs="Arial" w:eastAsia="Arial" w:hAnsi="Arial"/>
          <w:sz w:val="16"/>
          <w:szCs w:val="16"/>
          <w:color w:val="auto"/>
        </w:rPr>
        <w:t xml:space="preserve">. This Agreement, and all rights and obligations of the parties hereunder, shall take effect upon the Effective Date and shall expire upon the first to occur of (a) the expiration of the Term (as defined below) if neither a termination of employment covered by Section 4.1(a) below nor a Change in Control occurred during the Term, or (b) the fulfillment by the Company of all of its obligations under Section 4 following a termination of the Executive’s employment with the Company. “Term” shall mean the period commencing as of the Effective Date and continuing in effect through March 31, 2011;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commencing on April 1, 2011 and each April 1 thereafter (each hereinafter referred to as a “Renewal Date”), the Term shall be automatically extended for one additional year so as to terminate four years from such Renewal Date, unless at least 90 days prior to such Renewal Date, the Company shall have given the Executive written notice that the Term will not be extended.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84" w:name="page85"/>
    <w:bookmarkEnd w:id="84"/>
    <w:p>
      <w:pPr>
        <w:ind w:left="640" w:hanging="176"/>
        <w:spacing w:after="0"/>
        <w:tabs>
          <w:tab w:leader="none" w:pos="64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Employment Status; Termination Following Change in Control</w:t>
      </w:r>
      <w:r>
        <w:rPr>
          <w:rFonts w:ascii="Arial" w:cs="Arial" w:eastAsia="Arial" w:hAnsi="Arial"/>
          <w:sz w:val="18"/>
          <w:szCs w:val="18"/>
          <w:color w:val="auto"/>
        </w:rPr>
        <w:t>.</w:t>
      </w:r>
    </w:p>
    <w:p>
      <w:pPr>
        <w:spacing w:after="0" w:line="9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Not an Employment Contract</w:t>
      </w:r>
      <w:r>
        <w:rPr>
          <w:rFonts w:ascii="Arial" w:cs="Arial" w:eastAsia="Arial" w:hAnsi="Arial"/>
          <w:sz w:val="18"/>
          <w:szCs w:val="18"/>
          <w:color w:val="auto"/>
        </w:rPr>
        <w:t>. The Executive acknowledges that this Agreement does not constitute a contract of employment or impose on the Company any obligation to retain the Executive as an employee and that this Agreement does not prevent the Company or the Executive from terminating his employment at any time, before or after a Change in Control.</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90" w:lineRule="exact"/>
        <w:rPr>
          <w:sz w:val="20"/>
          <w:szCs w:val="20"/>
          <w:color w:val="auto"/>
        </w:rPr>
      </w:pPr>
    </w:p>
    <w:p>
      <w:pPr>
        <w:jc w:val="both"/>
        <w:ind w:firstLine="1492"/>
        <w:spacing w:after="0" w:line="288" w:lineRule="auto"/>
        <w:tabs>
          <w:tab w:leader="none" w:pos="1727" w:val="left"/>
        </w:tabs>
        <w:numPr>
          <w:ilvl w:val="1"/>
          <w:numId w:val="113"/>
        </w:numPr>
        <w:rPr>
          <w:rFonts w:ascii="Arial" w:cs="Arial" w:eastAsia="Arial" w:hAnsi="Arial"/>
          <w:sz w:val="16"/>
          <w:szCs w:val="16"/>
          <w:color w:val="auto"/>
        </w:rPr>
      </w:pPr>
      <w:r>
        <w:rPr>
          <w:rFonts w:ascii="Arial" w:cs="Arial" w:eastAsia="Arial" w:hAnsi="Arial"/>
          <w:sz w:val="16"/>
          <w:szCs w:val="16"/>
          <w:color w:val="auto"/>
        </w:rPr>
        <w:t>Any termination of the Executive’s employment by the Company at any time during the Term or at any time after the Change in Control Date, or by the Executive within 12 months following the Change in Control Date (other than due to the death of the Executive) shall be communicated by a written notice to the other party hereto (the “Notice of Termination”), given in accordance with Section 6.2. Any Notice of Termination shall: (i) indicate (in the case of a termination by the Company) whether such termination is for Cause and (in the case of a termination by the Executive within 12 months following the Change in Control Date) whether such termination is for Good Reason, (ii) to the extent applicable, set forth in reasonable detail the facts and circumstances claimed to provide a basis for termination of the Executive’s employment for Cause or for Good Reason and (iii) specify the Date of Termination (as defined below). The effective date of an employment termination (the “Date of Termination”) shall be the close of business on the date specified in the Notice of Termination (which date may not be less than 15 days or more than 120 days after the date of delivery of such Notice of Termination), in the case of a termination other than one due to the Executive’s death, or the date of the Executive’s death, as the case may be.</w:t>
      </w:r>
    </w:p>
    <w:p>
      <w:pPr>
        <w:spacing w:after="0" w:line="119" w:lineRule="exact"/>
        <w:rPr>
          <w:rFonts w:ascii="Arial" w:cs="Arial" w:eastAsia="Arial" w:hAnsi="Arial"/>
          <w:sz w:val="16"/>
          <w:szCs w:val="16"/>
          <w:color w:val="auto"/>
        </w:rPr>
      </w:pPr>
    </w:p>
    <w:p>
      <w:pPr>
        <w:jc w:val="both"/>
        <w:ind w:firstLine="1492"/>
        <w:spacing w:after="0" w:line="306" w:lineRule="auto"/>
        <w:tabs>
          <w:tab w:leader="none" w:pos="1744" w:val="left"/>
        </w:tabs>
        <w:numPr>
          <w:ilvl w:val="1"/>
          <w:numId w:val="113"/>
        </w:numPr>
        <w:rPr>
          <w:rFonts w:ascii="Arial" w:cs="Arial" w:eastAsia="Arial" w:hAnsi="Arial"/>
          <w:sz w:val="16"/>
          <w:szCs w:val="16"/>
          <w:color w:val="auto"/>
        </w:rPr>
      </w:pPr>
      <w:r>
        <w:rPr>
          <w:rFonts w:ascii="Arial" w:cs="Arial" w:eastAsia="Arial" w:hAnsi="Arial"/>
          <w:sz w:val="16"/>
          <w:szCs w:val="16"/>
          <w:color w:val="auto"/>
        </w:rPr>
        <w:t>The failure by the Executive or the Company to set forth in the Notice of Termination any fact or circumstance which contributes to a showing of Good Reason or Cause shall not waive any right of the Executive or the Company, respectively, hereunder or preclude the Executive or the Company, respectively, from asserting any such fact or circumstance in enforcing the Executive’s or the Company’s rights hereunder.</w:t>
      </w:r>
    </w:p>
    <w:p>
      <w:pPr>
        <w:spacing w:after="0" w:line="106" w:lineRule="exact"/>
        <w:rPr>
          <w:rFonts w:ascii="Arial" w:cs="Arial" w:eastAsia="Arial" w:hAnsi="Arial"/>
          <w:sz w:val="16"/>
          <w:szCs w:val="16"/>
          <w:color w:val="auto"/>
        </w:rPr>
      </w:pPr>
    </w:p>
    <w:p>
      <w:pPr>
        <w:ind w:right="20" w:firstLine="1492"/>
        <w:spacing w:after="0" w:line="268" w:lineRule="auto"/>
        <w:tabs>
          <w:tab w:leader="none" w:pos="1757"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Any Notice of Termination for Cause given by the Company must be given within 90 days of the occurrence of the event(s) or circumstance(s) that constitute(s) Cause.</w:t>
      </w:r>
    </w:p>
    <w:p>
      <w:pPr>
        <w:spacing w:after="0" w:line="131" w:lineRule="exact"/>
        <w:rPr>
          <w:rFonts w:ascii="Arial" w:cs="Arial" w:eastAsia="Arial" w:hAnsi="Arial"/>
          <w:sz w:val="18"/>
          <w:szCs w:val="18"/>
          <w:color w:val="auto"/>
        </w:rPr>
      </w:pPr>
    </w:p>
    <w:p>
      <w:pPr>
        <w:ind w:firstLine="1492"/>
        <w:spacing w:after="0" w:line="268" w:lineRule="auto"/>
        <w:tabs>
          <w:tab w:leader="none" w:pos="1743"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Any Notice of Termination for Good Reason given by the Executive must be given within 90 days of the occurrence of the event(s) or circumstance(s) that constitute(s) Good Reason.</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Benefits to Executive</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Termination Prior to Change in Control Date</w:t>
      </w:r>
      <w:r>
        <w:rPr>
          <w:rFonts w:ascii="Arial" w:cs="Arial" w:eastAsia="Arial" w:hAnsi="Arial"/>
          <w:sz w:val="18"/>
          <w:szCs w:val="18"/>
          <w:color w:val="auto"/>
        </w:rPr>
        <w:t>.</w:t>
      </w:r>
    </w:p>
    <w:p>
      <w:pPr>
        <w:spacing w:after="0" w:line="90" w:lineRule="exact"/>
        <w:rPr>
          <w:sz w:val="20"/>
          <w:szCs w:val="20"/>
          <w:color w:val="auto"/>
        </w:rPr>
      </w:pPr>
    </w:p>
    <w:p>
      <w:pPr>
        <w:jc w:val="both"/>
        <w:ind w:firstLine="1492"/>
        <w:spacing w:after="0" w:line="259" w:lineRule="auto"/>
        <w:tabs>
          <w:tab w:leader="none" w:pos="1722"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w:t>
      </w:r>
      <w:r>
        <w:rPr>
          <w:rFonts w:ascii="Arial" w:cs="Arial" w:eastAsia="Arial" w:hAnsi="Arial"/>
          <w:sz w:val="18"/>
          <w:szCs w:val="18"/>
          <w:color w:val="auto"/>
        </w:rPr>
        <w:t>. If, prior to a Change in Control Date (including a situation in which a Change in Control Date never occurs), the Company terminates the Executive’s employment other than for Cause, Disability or death, then the Executive shall be entitled to the following benefits, the distribution of which shall be subject to the provisions of Sections 4.4 and 4.7:</w:t>
      </w:r>
    </w:p>
    <w:p>
      <w:pPr>
        <w:spacing w:after="0" w:line="59" w:lineRule="exact"/>
        <w:rPr>
          <w:rFonts w:ascii="Arial" w:cs="Arial" w:eastAsia="Arial" w:hAnsi="Arial"/>
          <w:sz w:val="18"/>
          <w:szCs w:val="18"/>
          <w:color w:val="auto"/>
        </w:rPr>
      </w:pPr>
    </w:p>
    <w:p>
      <w:pPr>
        <w:ind w:left="2180" w:hanging="232"/>
        <w:spacing w:after="0"/>
        <w:tabs>
          <w:tab w:leader="none" w:pos="2180" w:val="left"/>
        </w:tabs>
        <w:numPr>
          <w:ilvl w:val="2"/>
          <w:numId w:val="115"/>
        </w:numPr>
        <w:rPr>
          <w:rFonts w:ascii="Arial" w:cs="Arial" w:eastAsia="Arial" w:hAnsi="Arial"/>
          <w:sz w:val="16"/>
          <w:szCs w:val="16"/>
          <w:color w:val="auto"/>
        </w:rPr>
      </w:pPr>
      <w:r>
        <w:rPr>
          <w:rFonts w:ascii="Arial" w:cs="Arial" w:eastAsia="Arial" w:hAnsi="Arial"/>
          <w:sz w:val="16"/>
          <w:szCs w:val="16"/>
          <w:color w:val="auto"/>
        </w:rPr>
        <w:t>the Company shall pay to the Executive, in a lump sum in cash on the Date of Termination, the sum of the following amounts:</w:t>
      </w:r>
    </w:p>
    <w:p>
      <w:pPr>
        <w:spacing w:after="0" w:line="38" w:lineRule="exact"/>
        <w:rPr>
          <w:rFonts w:ascii="Arial" w:cs="Arial" w:eastAsia="Arial" w:hAnsi="Arial"/>
          <w:sz w:val="16"/>
          <w:szCs w:val="16"/>
          <w:color w:val="auto"/>
        </w:rPr>
      </w:pPr>
    </w:p>
    <w:p>
      <w:pPr>
        <w:jc w:val="both"/>
        <w:ind w:firstLine="8"/>
        <w:spacing w:after="0" w:line="281" w:lineRule="auto"/>
        <w:tabs>
          <w:tab w:leader="none" w:pos="25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Executive’s base salary through the Date of Termination, (2) any compensation previously deferred by the Executive (together with any accrued interest or earnings thereon) and (3) any accrued vacation pay, in each case to the extent not previously paid (the sum of the amounts described in clauses (1) through</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shall be hereinafter referred to as the “Accrued Obligations”);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85" w:name="page86"/>
    <w:bookmarkEnd w:id="85"/>
    <w:p>
      <w:pPr>
        <w:ind w:right="20" w:firstLine="1948"/>
        <w:spacing w:after="0" w:line="332" w:lineRule="auto"/>
        <w:tabs>
          <w:tab w:leader="none" w:pos="2222" w:val="left"/>
        </w:tabs>
        <w:numPr>
          <w:ilvl w:val="1"/>
          <w:numId w:val="1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the Severance Period, the Company shall continue to pay to the Executive, in accordance with the Company’s regular payroll practices, the Executive’s highest annual base salary during the two-year period prior to the Date of Termination; and</w:t>
      </w:r>
    </w:p>
    <w:p>
      <w:pPr>
        <w:spacing w:after="0" w:line="85" w:lineRule="exact"/>
        <w:rPr>
          <w:rFonts w:ascii="Arial" w:cs="Arial" w:eastAsia="Arial" w:hAnsi="Arial"/>
          <w:sz w:val="16"/>
          <w:szCs w:val="16"/>
          <w:color w:val="auto"/>
        </w:rPr>
      </w:pPr>
    </w:p>
    <w:p>
      <w:pPr>
        <w:jc w:val="both"/>
        <w:ind w:firstLine="1948"/>
        <w:spacing w:after="0" w:line="289" w:lineRule="auto"/>
        <w:tabs>
          <w:tab w:leader="none" w:pos="226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 xml:space="preserve">during the Severance Period, the Company shall continue to provide to the Executive and the Executive’s family those benefits which would have been provided to them if the Executive’s employment had not been terminated, in accordance with the applicable Benefit Plans in effect on the Date of Termination (to the extent such benefits can be provided to non-employees, or to the extent such health insurance benefits cannot be provided to non-employees, then the cash equivalent thereof, based on the cost thereof to the Company, which cash amount shall be paid proportionately over the Severance Period, monthly in advance); </w:t>
      </w:r>
      <w:r>
        <w:rPr>
          <w:rFonts w:ascii="Arial" w:cs="Arial" w:eastAsia="Arial" w:hAnsi="Arial"/>
          <w:sz w:val="16"/>
          <w:szCs w:val="16"/>
          <w:u w:val="single" w:color="auto"/>
          <w:color w:val="auto"/>
        </w:rPr>
        <w:t>provided</w:t>
      </w:r>
      <w:r>
        <w:rPr>
          <w:rFonts w:ascii="Arial" w:cs="Arial" w:eastAsia="Arial" w:hAnsi="Arial"/>
          <w:sz w:val="16"/>
          <w:szCs w:val="16"/>
          <w:color w:val="auto"/>
        </w:rPr>
        <w:t>, however: (1) that if the Executive becomes reemployed with another employer and is eligible to receive a particular type of benefits (e.g., health insurance benefits) from such employer on terms at least as favorable to the Executive and his family as those being provided by the Company, then the Company shall no longer be required to provide those particular benefits to the Executive and his family; and (2) to the extent that such payments are taxable to the Executive and/or extend beyond the COBRA continuation period, then such payments shall be made monthly in advance.</w:t>
      </w:r>
    </w:p>
    <w:p>
      <w:pPr>
        <w:spacing w:after="0" w:line="118" w:lineRule="exact"/>
        <w:rPr>
          <w:rFonts w:ascii="Arial" w:cs="Arial" w:eastAsia="Arial" w:hAnsi="Arial"/>
          <w:sz w:val="16"/>
          <w:szCs w:val="16"/>
          <w:color w:val="auto"/>
        </w:rPr>
      </w:pPr>
    </w:p>
    <w:p>
      <w:pPr>
        <w:jc w:val="both"/>
        <w:ind w:firstLine="1492"/>
        <w:spacing w:after="0" w:line="291" w:lineRule="auto"/>
        <w:tabs>
          <w:tab w:leader="none" w:pos="1746"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Other Terminations</w:t>
      </w:r>
      <w:r>
        <w:rPr>
          <w:rFonts w:ascii="Arial" w:cs="Arial" w:eastAsia="Arial" w:hAnsi="Arial"/>
          <w:sz w:val="16"/>
          <w:szCs w:val="16"/>
          <w:color w:val="auto"/>
        </w:rPr>
        <w:t>. If, prior to the Change in Control Date, the Executive’s employment with the Company is terminated other than under the circumstances described in Section 4.1(a), then the Company shall (i) pay the Executive (or his estate, if applicable), in a lump sum in cash on the Date of Termination, the Accrued Obligations and (ii) to the extent not previously paid or provided, timely pay or provide to the Executive any other amounts or benefits required to be paid or provided or which the Executive is eligible to receive following the Executive’s termination of employment under any plan, program, policy, practice, contract or agreement of the Company and its subsidiaries (such other amounts and benefits shall be hereinafter referred to as the “Other Benefits”), the distribution of which shall be subject to the provisions of Section 4.7.</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Termination Following Change in Control Date</w:t>
      </w:r>
      <w:r>
        <w:rPr>
          <w:rFonts w:ascii="Arial" w:cs="Arial" w:eastAsia="Arial" w:hAnsi="Arial"/>
          <w:sz w:val="18"/>
          <w:szCs w:val="18"/>
          <w:color w:val="auto"/>
        </w:rPr>
        <w:t>.</w:t>
      </w:r>
    </w:p>
    <w:p>
      <w:pPr>
        <w:spacing w:after="0" w:line="90" w:lineRule="exact"/>
        <w:rPr>
          <w:sz w:val="20"/>
          <w:szCs w:val="20"/>
          <w:color w:val="auto"/>
        </w:rPr>
      </w:pPr>
    </w:p>
    <w:p>
      <w:pPr>
        <w:jc w:val="both"/>
        <w:ind w:firstLine="1492"/>
        <w:spacing w:after="0" w:line="256" w:lineRule="auto"/>
        <w:tabs>
          <w:tab w:leader="none" w:pos="1722" w:val="left"/>
        </w:tabs>
        <w:numPr>
          <w:ilvl w:val="1"/>
          <w:numId w:val="120"/>
        </w:numPr>
        <w:rPr>
          <w:rFonts w:ascii="Arial" w:cs="Arial" w:eastAsia="Arial" w:hAnsi="Arial"/>
          <w:sz w:val="18"/>
          <w:szCs w:val="18"/>
          <w:color w:val="auto"/>
        </w:rPr>
      </w:pPr>
      <w:r>
        <w:rPr>
          <w:rFonts w:ascii="Arial" w:cs="Arial" w:eastAsia="Arial" w:hAnsi="Arial"/>
          <w:sz w:val="18"/>
          <w:szCs w:val="18"/>
          <w:u w:val="single" w:color="auto"/>
          <w:color w:val="auto"/>
        </w:rPr>
        <w:t>Termination within 12 Months Following Change in Control Date</w:t>
      </w:r>
      <w:r>
        <w:rPr>
          <w:rFonts w:ascii="Arial" w:cs="Arial" w:eastAsia="Arial" w:hAnsi="Arial"/>
          <w:sz w:val="18"/>
          <w:szCs w:val="18"/>
          <w:color w:val="auto"/>
        </w:rPr>
        <w:t>. If the Company terminates the Executive’s employment other than for Cause, Disability or death within 12 months following the Change in Control Date, or if the Executive terminates his employment for Good Reason within 12 months following the Change in Control Date, then the Executive shall be entitled to the following benefits, the distribution of which shall be subject to the provisions of Sections 4.4 and 4.7:</w:t>
      </w:r>
    </w:p>
    <w:p>
      <w:pPr>
        <w:spacing w:after="0" w:line="62" w:lineRule="exact"/>
        <w:rPr>
          <w:rFonts w:ascii="Arial" w:cs="Arial" w:eastAsia="Arial" w:hAnsi="Arial"/>
          <w:sz w:val="18"/>
          <w:szCs w:val="18"/>
          <w:color w:val="auto"/>
        </w:rPr>
      </w:pPr>
    </w:p>
    <w:p>
      <w:pPr>
        <w:ind w:left="2180" w:hanging="232"/>
        <w:spacing w:after="0"/>
        <w:tabs>
          <w:tab w:leader="none" w:pos="2180" w:val="left"/>
        </w:tabs>
        <w:numPr>
          <w:ilvl w:val="2"/>
          <w:numId w:val="120"/>
        </w:numPr>
        <w:rPr>
          <w:rFonts w:ascii="Arial" w:cs="Arial" w:eastAsia="Arial" w:hAnsi="Arial"/>
          <w:sz w:val="16"/>
          <w:szCs w:val="16"/>
          <w:color w:val="auto"/>
        </w:rPr>
      </w:pPr>
      <w:r>
        <w:rPr>
          <w:rFonts w:ascii="Arial" w:cs="Arial" w:eastAsia="Arial" w:hAnsi="Arial"/>
          <w:sz w:val="16"/>
          <w:szCs w:val="16"/>
          <w:color w:val="auto"/>
        </w:rPr>
        <w:t>the Company shall pay to the Executive, in a lump sum in cash on the Date of Termination, (A) the Accrued Obligations and</w:t>
      </w:r>
    </w:p>
    <w:p>
      <w:pPr>
        <w:spacing w:after="0" w:line="38" w:lineRule="exact"/>
        <w:rPr>
          <w:rFonts w:ascii="Arial" w:cs="Arial" w:eastAsia="Arial" w:hAnsi="Arial"/>
          <w:sz w:val="16"/>
          <w:szCs w:val="16"/>
          <w:color w:val="auto"/>
        </w:rPr>
      </w:pPr>
    </w:p>
    <w:p>
      <w:pPr>
        <w:jc w:val="both"/>
        <w:ind w:firstLine="8"/>
        <w:spacing w:after="0" w:line="255" w:lineRule="auto"/>
        <w:tabs>
          <w:tab w:leader="none" w:pos="30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product of (x) the annual target bonus payable to the Executive for the fiscal year in which the Date of Termination occurs and (y) a fraction, the numerator of which is the number of days in the then-current fiscal year through the Date of Termination, and the denominator of which is 365, less any portion of such bonus previously paid to the Executive;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86" w:name="page87"/>
    <w:bookmarkEnd w:id="86"/>
    <w:p>
      <w:pPr>
        <w:ind w:right="20" w:firstLine="1948"/>
        <w:spacing w:after="0" w:line="332" w:lineRule="auto"/>
        <w:tabs>
          <w:tab w:leader="none" w:pos="2222" w:val="left"/>
        </w:tabs>
        <w:numPr>
          <w:ilvl w:val="1"/>
          <w:numId w:val="1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the Severance Period, the Company shall continue to pay to the Executive, in accordance with the Company’s regular payroll practices, the Executive’s highest annual base salary during the two-year period prior to the Date of Termination; and</w:t>
      </w:r>
    </w:p>
    <w:p>
      <w:pPr>
        <w:spacing w:after="0" w:line="85" w:lineRule="exact"/>
        <w:rPr>
          <w:rFonts w:ascii="Arial" w:cs="Arial" w:eastAsia="Arial" w:hAnsi="Arial"/>
          <w:sz w:val="16"/>
          <w:szCs w:val="16"/>
          <w:color w:val="auto"/>
        </w:rPr>
      </w:pPr>
    </w:p>
    <w:p>
      <w:pPr>
        <w:jc w:val="both"/>
        <w:ind w:firstLine="1948"/>
        <w:spacing w:after="0" w:line="289" w:lineRule="auto"/>
        <w:tabs>
          <w:tab w:leader="none" w:pos="226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 xml:space="preserve">during the Severance Period, the Company shall continue to provide to the Executive and the Executive’s family those benefits which would have been provided to them if the Executive’s employment had not been terminated, in accordance with the applicable Benefit Plans in effect on the Date of Termination (to the extent such benefits can be provided to non-employees, or to the extent such health benefits cannot be provided to non-employees, then the cash equivalent thereof, based on the cost thereof to the Company, which cash amount shall be paid proportionately over the Severance Period, monthly in advance); </w:t>
      </w:r>
      <w:r>
        <w:rPr>
          <w:rFonts w:ascii="Arial" w:cs="Arial" w:eastAsia="Arial" w:hAnsi="Arial"/>
          <w:sz w:val="16"/>
          <w:szCs w:val="16"/>
          <w:u w:val="single" w:color="auto"/>
          <w:color w:val="auto"/>
        </w:rPr>
        <w:t>provided</w:t>
      </w:r>
      <w:r>
        <w:rPr>
          <w:rFonts w:ascii="Arial" w:cs="Arial" w:eastAsia="Arial" w:hAnsi="Arial"/>
          <w:sz w:val="16"/>
          <w:szCs w:val="16"/>
          <w:color w:val="auto"/>
        </w:rPr>
        <w:t>, however: (i) that if the Executive becomes reemployed with another employer and is eligible to receive a particular type of benefits (e.g., health insurance benefits) from such employer on terms at least as favorable to the Executive and his family as those being provided by the Company, then the Company shall no longer be required to provide those particular benefits to the Executive and his family; and (2) to the extent that such payments are taxable to the Executive and/or extend beyond the COBRA continuation period, then such payments shall be made monthly in advance.</w:t>
      </w:r>
    </w:p>
    <w:p>
      <w:pPr>
        <w:spacing w:after="0" w:line="118" w:lineRule="exact"/>
        <w:rPr>
          <w:rFonts w:ascii="Arial" w:cs="Arial" w:eastAsia="Arial" w:hAnsi="Arial"/>
          <w:sz w:val="16"/>
          <w:szCs w:val="16"/>
          <w:color w:val="auto"/>
        </w:rPr>
      </w:pPr>
    </w:p>
    <w:p>
      <w:pPr>
        <w:jc w:val="both"/>
        <w:ind w:firstLine="1492"/>
        <w:spacing w:after="0" w:line="259" w:lineRule="auto"/>
        <w:tabs>
          <w:tab w:leader="none" w:pos="1746"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Termination More Than 12 Months Following Change in Control Date</w:t>
      </w:r>
      <w:r>
        <w:rPr>
          <w:rFonts w:ascii="Arial" w:cs="Arial" w:eastAsia="Arial" w:hAnsi="Arial"/>
          <w:sz w:val="18"/>
          <w:szCs w:val="18"/>
          <w:color w:val="auto"/>
        </w:rPr>
        <w:t>. If the Company terminates the Executive’s employment other than for Cause, Disability or death more than 12 months following the Change in Control Date, then the Executive shall be entitled to the following benefits, the distribution of which shall be subject to the provisions of Sections 4.4 and 4.7:</w:t>
      </w:r>
    </w:p>
    <w:p>
      <w:pPr>
        <w:spacing w:after="0" w:line="59" w:lineRule="exact"/>
        <w:rPr>
          <w:rFonts w:ascii="Arial" w:cs="Arial" w:eastAsia="Arial" w:hAnsi="Arial"/>
          <w:sz w:val="18"/>
          <w:szCs w:val="18"/>
          <w:color w:val="auto"/>
        </w:rPr>
      </w:pPr>
    </w:p>
    <w:p>
      <w:pPr>
        <w:ind w:left="2160" w:hanging="212"/>
        <w:spacing w:after="0"/>
        <w:tabs>
          <w:tab w:leader="none" w:pos="216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Company shall pay to the Executive, in a lump sum in cash on the Date of Termination, the Accrued Obligations;</w:t>
      </w:r>
    </w:p>
    <w:p>
      <w:pPr>
        <w:spacing w:after="0" w:line="171" w:lineRule="exact"/>
        <w:rPr>
          <w:rFonts w:ascii="Arial" w:cs="Arial" w:eastAsia="Arial" w:hAnsi="Arial"/>
          <w:sz w:val="18"/>
          <w:szCs w:val="18"/>
          <w:color w:val="auto"/>
        </w:rPr>
      </w:pPr>
    </w:p>
    <w:p>
      <w:pPr>
        <w:ind w:right="20" w:firstLine="1948"/>
        <w:spacing w:after="0" w:line="332" w:lineRule="auto"/>
        <w:tabs>
          <w:tab w:leader="none" w:pos="2222" w:val="left"/>
        </w:tabs>
        <w:numPr>
          <w:ilvl w:val="1"/>
          <w:numId w:val="123"/>
        </w:numPr>
        <w:rPr>
          <w:rFonts w:ascii="Arial" w:cs="Arial" w:eastAsia="Arial" w:hAnsi="Arial"/>
          <w:sz w:val="16"/>
          <w:szCs w:val="16"/>
          <w:color w:val="auto"/>
        </w:rPr>
      </w:pPr>
      <w:r>
        <w:rPr>
          <w:rFonts w:ascii="Arial" w:cs="Arial" w:eastAsia="Arial" w:hAnsi="Arial"/>
          <w:sz w:val="16"/>
          <w:szCs w:val="16"/>
          <w:color w:val="auto"/>
        </w:rPr>
        <w:t>during the Severance Period, the Company shall continue to pay to the Executive, in accordance with the Company’s regular payroll practices, the Executive’s highest annual base salary during the two-year period prior to the Date of Termination; and</w:t>
      </w:r>
    </w:p>
    <w:p>
      <w:pPr>
        <w:spacing w:after="0" w:line="85" w:lineRule="exact"/>
        <w:rPr>
          <w:rFonts w:ascii="Arial" w:cs="Arial" w:eastAsia="Arial" w:hAnsi="Arial"/>
          <w:sz w:val="16"/>
          <w:szCs w:val="16"/>
          <w:color w:val="auto"/>
        </w:rPr>
      </w:pPr>
    </w:p>
    <w:p>
      <w:pPr>
        <w:jc w:val="both"/>
        <w:ind w:firstLine="1948"/>
        <w:spacing w:after="0" w:line="256" w:lineRule="auto"/>
        <w:tabs>
          <w:tab w:leader="none" w:pos="226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during the Severance Period, the Company shall continue to provide to the Executive and the Executive’s family those benefits which would have been provided to them if the Executive’s employment had not been terminated, in accordance with the applicable Benefit Plans in effect on the Date of Termination (to the extent such health benefits can be provided to non-employees, or to the extent such benefits cannot be provided to non-employees, then the cash equivalent thereof, based on the cost thereof to the Company, which</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87" w:name="page88"/>
    <w:bookmarkEnd w:id="87"/>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cash amount shall be paid proportionately over the Severance Period, monthly in advance); </w:t>
      </w:r>
      <w:r>
        <w:rPr>
          <w:rFonts w:ascii="Arial" w:cs="Arial" w:eastAsia="Arial" w:hAnsi="Arial"/>
          <w:sz w:val="18"/>
          <w:szCs w:val="18"/>
          <w:u w:val="single" w:color="auto"/>
          <w:color w:val="auto"/>
        </w:rPr>
        <w:t>provided</w:t>
      </w:r>
      <w:r>
        <w:rPr>
          <w:rFonts w:ascii="Arial" w:cs="Arial" w:eastAsia="Arial" w:hAnsi="Arial"/>
          <w:sz w:val="18"/>
          <w:szCs w:val="18"/>
          <w:color w:val="auto"/>
        </w:rPr>
        <w:t>, however: (1) that if the Executive becomes reemployed with another employer and is eligible to receive a particular type of benefits (e.g., health insurance benefits) from such employer on terms at least as favorable to the Executive and his family as those being provided by the Company, then the Company shall no longer be required to provide those particular benefits to the Executive and his family; and (2) to the extent that such payments are taxable to the Executive and/or extend beyond the COBRA continuation period, then such payments shall be made monthly in advance.</w:t>
      </w:r>
    </w:p>
    <w:p>
      <w:pPr>
        <w:spacing w:after="0" w:line="143" w:lineRule="exact"/>
        <w:rPr>
          <w:sz w:val="20"/>
          <w:szCs w:val="20"/>
          <w:color w:val="auto"/>
        </w:rPr>
      </w:pPr>
    </w:p>
    <w:p>
      <w:pPr>
        <w:jc w:val="both"/>
        <w:ind w:firstLine="1492"/>
        <w:spacing w:after="0" w:line="256" w:lineRule="auto"/>
        <w:tabs>
          <w:tab w:leader="none" w:pos="1722"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Other Terminations</w:t>
      </w:r>
      <w:r>
        <w:rPr>
          <w:rFonts w:ascii="Arial" w:cs="Arial" w:eastAsia="Arial" w:hAnsi="Arial"/>
          <w:sz w:val="18"/>
          <w:szCs w:val="18"/>
          <w:color w:val="auto"/>
        </w:rPr>
        <w:t>. If, following the Change in Control Date, the Executive’s employment with the Company is terminated other than under the circumstances described in Section 4.2(a) or Section 4.2(b), then the Company shall (i) pay the Executive (or his estate, if applicable), in a lump sum in cash on the Date of Termination, the Accrued Obligations and (ii) to the extent not previously paid or provided, timely pay or provide to the Executive the Other Benefits, the distribution of which shall be subject to the provisions of Section 4.7.</w:t>
      </w:r>
    </w:p>
    <w:p>
      <w:pPr>
        <w:spacing w:after="0" w:line="143" w:lineRule="exact"/>
        <w:rPr>
          <w:rFonts w:ascii="Arial" w:cs="Arial" w:eastAsia="Arial" w:hAnsi="Arial"/>
          <w:sz w:val="18"/>
          <w:szCs w:val="18"/>
          <w:color w:val="auto"/>
        </w:rPr>
      </w:pPr>
    </w:p>
    <w:p>
      <w:pPr>
        <w:jc w:val="both"/>
        <w:ind w:firstLine="1492"/>
        <w:spacing w:after="0" w:line="259" w:lineRule="auto"/>
        <w:tabs>
          <w:tab w:leader="none" w:pos="1746"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Subject to Section 4.7, the Company agrees to reimburse the Executive for all legal and other fees and expenses that the Executive reasonably incurs as a result of any claim or dispute regarding the benefits due to the Executive pursuant to this Section 4.2 if the Executive prevails in such claim or dispute.</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Section 280G Provisions</w:t>
      </w:r>
      <w:r>
        <w:rPr>
          <w:rFonts w:ascii="Arial" w:cs="Arial" w:eastAsia="Arial" w:hAnsi="Arial"/>
          <w:sz w:val="18"/>
          <w:szCs w:val="18"/>
          <w:color w:val="auto"/>
        </w:rPr>
        <w:t>.</w:t>
      </w:r>
    </w:p>
    <w:p>
      <w:pPr>
        <w:spacing w:after="0" w:line="90" w:lineRule="exact"/>
        <w:rPr>
          <w:sz w:val="20"/>
          <w:szCs w:val="20"/>
          <w:color w:val="auto"/>
        </w:rPr>
      </w:pPr>
    </w:p>
    <w:p>
      <w:pPr>
        <w:jc w:val="both"/>
        <w:ind w:firstLine="1492"/>
        <w:spacing w:after="0" w:line="291" w:lineRule="auto"/>
        <w:tabs>
          <w:tab w:leader="none" w:pos="1728" w:val="left"/>
        </w:tabs>
        <w:numPr>
          <w:ilvl w:val="0"/>
          <w:numId w:val="125"/>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in the event that the Company undergoes a Change in Ownership or Control (as defined below), the Company shall not be obligated to provide to the Executive a portion of any Contingent Compensation Payments (as defined below) that the Executive would otherwise be entitled to receive to the extent necessary to eliminate Excess Parachute Payments (as defined below) for the Executive, except as set forth in Section 4.3(b). For purposes of this Section 4.3, the Contingent Compensation Payments so eliminated shall be referred to as the “Eliminated Payments” and the aggregate amount (determined in accordance with Treasury Regulation Section 1.280G-1, Q/A-30 or any successor provision) of the Contingent Compensation Payments so eliminated shall be referred to as the “Eliminated Amount.”</w:t>
      </w:r>
    </w:p>
    <w:p>
      <w:pPr>
        <w:spacing w:after="0" w:line="120" w:lineRule="exact"/>
        <w:rPr>
          <w:rFonts w:ascii="Arial" w:cs="Arial" w:eastAsia="Arial" w:hAnsi="Arial"/>
          <w:sz w:val="16"/>
          <w:szCs w:val="16"/>
          <w:color w:val="auto"/>
        </w:rPr>
      </w:pPr>
    </w:p>
    <w:p>
      <w:pPr>
        <w:jc w:val="both"/>
        <w:ind w:firstLine="1492"/>
        <w:spacing w:after="0" w:line="253" w:lineRule="auto"/>
        <w:tabs>
          <w:tab w:leader="none" w:pos="175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Notwithstanding the provisions of Section 4.3(a), no such reduction in Contingent Compensation Payments shall be made if (i) the Eliminated Amount (computed without regard to this sentence) exceeds (ii) 110% of the aggregate present value (determined in accordance with Treasury Regulation Section 1.280G-1, Q/A-31, Q/A-32, Q/A-33 or any successor provisions) of the amount of any additional taxes that would be incurred by the Executive if the Eliminated Payments (determined without regard to this sentence) were paid to him (including, state and federal income taxes on the Eliminated Payments, the excise tax imposed by Section 4999 of the Internal Revenue Code of 1986, as amended (the “Code”, which term shall include applicable Treasury Regulations), payable with respect to all of the Contingent Compensation Payments in excess of the Executive’s “base amount” (as defined in Section 280G(b)(3) of the Code), and any withholding taxes). The override of such reduction in Contingent Compensation Payments pursuant to this Section 4.3(b) shall be referred to as a</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88" w:name="page89"/>
    <w:bookmarkEnd w:id="88"/>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4.3(b) Override.” For purposes of this paragraph, if any federal, state or local income taxes would be attributable to the receipt of any Eliminated Payment, the amount of such taxes shall be computed by multiplying the amount of the Eliminated Payment by the maximum combined federal, state and local income tax rate provided by law.</w:t>
      </w:r>
    </w:p>
    <w:p>
      <w:pPr>
        <w:spacing w:after="0" w:line="140" w:lineRule="exact"/>
        <w:rPr>
          <w:sz w:val="20"/>
          <w:szCs w:val="20"/>
          <w:color w:val="auto"/>
        </w:rPr>
      </w:pPr>
    </w:p>
    <w:p>
      <w:pPr>
        <w:ind w:left="1740" w:hanging="248"/>
        <w:spacing w:after="0"/>
        <w:tabs>
          <w:tab w:leader="none" w:pos="17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For purposes of this Section 4.3 the following terms shall have the following respective meanings:</w:t>
      </w:r>
    </w:p>
    <w:p>
      <w:pPr>
        <w:spacing w:after="0" w:line="90" w:lineRule="exact"/>
        <w:rPr>
          <w:rFonts w:ascii="Arial" w:cs="Arial" w:eastAsia="Arial" w:hAnsi="Arial"/>
          <w:sz w:val="18"/>
          <w:szCs w:val="18"/>
          <w:color w:val="auto"/>
        </w:rPr>
      </w:pPr>
    </w:p>
    <w:p>
      <w:pPr>
        <w:ind w:firstLine="1948"/>
        <w:spacing w:after="0" w:line="268" w:lineRule="auto"/>
        <w:tabs>
          <w:tab w:leader="none" w:pos="2157" w:val="left"/>
        </w:tabs>
        <w:numPr>
          <w:ilvl w:val="1"/>
          <w:numId w:val="126"/>
        </w:numPr>
        <w:rPr>
          <w:rFonts w:ascii="Arial" w:cs="Arial" w:eastAsia="Arial" w:hAnsi="Arial"/>
          <w:sz w:val="18"/>
          <w:szCs w:val="18"/>
          <w:color w:val="auto"/>
        </w:rPr>
      </w:pPr>
      <w:r>
        <w:rPr>
          <w:rFonts w:ascii="Arial" w:cs="Arial" w:eastAsia="Arial" w:hAnsi="Arial"/>
          <w:sz w:val="18"/>
          <w:szCs w:val="18"/>
          <w:color w:val="auto"/>
        </w:rPr>
        <w:t>“Change in Ownership or Control” shall mean a change in the ownership or effective control of the Company or in the ownership of a substantial portion of the assets of the Company determined in accordance with Section 280G(b)(2) of the Code.</w:t>
      </w:r>
    </w:p>
    <w:p>
      <w:pPr>
        <w:spacing w:after="0" w:line="131" w:lineRule="exact"/>
        <w:rPr>
          <w:rFonts w:ascii="Arial" w:cs="Arial" w:eastAsia="Arial" w:hAnsi="Arial"/>
          <w:sz w:val="18"/>
          <w:szCs w:val="18"/>
          <w:color w:val="auto"/>
        </w:rPr>
      </w:pPr>
    </w:p>
    <w:p>
      <w:pPr>
        <w:jc w:val="both"/>
        <w:ind w:firstLine="1948"/>
        <w:spacing w:after="0" w:line="259" w:lineRule="auto"/>
        <w:tabs>
          <w:tab w:leader="none" w:pos="2216" w:val="left"/>
        </w:tabs>
        <w:numPr>
          <w:ilvl w:val="1"/>
          <w:numId w:val="126"/>
        </w:numPr>
        <w:rPr>
          <w:rFonts w:ascii="Arial" w:cs="Arial" w:eastAsia="Arial" w:hAnsi="Arial"/>
          <w:sz w:val="18"/>
          <w:szCs w:val="18"/>
          <w:color w:val="auto"/>
        </w:rPr>
      </w:pPr>
      <w:r>
        <w:rPr>
          <w:rFonts w:ascii="Arial" w:cs="Arial" w:eastAsia="Arial" w:hAnsi="Arial"/>
          <w:sz w:val="18"/>
          <w:szCs w:val="18"/>
          <w:color w:val="auto"/>
        </w:rPr>
        <w:t>“Contingent Compensation Payment” shall mean any payment (or benefit) in the nature of compensation that is made or made available (under this Agreement or otherwise) to a “disqualified individual” (as defined in Section 280G(c) of the Code) and that is contingent (within the meaning of Section 280G(b)(2)(A)(i) of the Code) on a Change in Ownership or Control of the Company.</w:t>
      </w:r>
    </w:p>
    <w:p>
      <w:pPr>
        <w:spacing w:after="0" w:line="140" w:lineRule="exact"/>
        <w:rPr>
          <w:rFonts w:ascii="Arial" w:cs="Arial" w:eastAsia="Arial" w:hAnsi="Arial"/>
          <w:sz w:val="18"/>
          <w:szCs w:val="18"/>
          <w:color w:val="auto"/>
        </w:rPr>
      </w:pPr>
    </w:p>
    <w:p>
      <w:pPr>
        <w:ind w:left="2260" w:hanging="312"/>
        <w:spacing w:after="0"/>
        <w:tabs>
          <w:tab w:leader="none" w:pos="226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“Excess Parachute Payment” shall mean a payment described in Section 280G(b)(1) of the Code.</w:t>
      </w:r>
    </w:p>
    <w:p>
      <w:pPr>
        <w:spacing w:after="0" w:line="171" w:lineRule="exact"/>
        <w:rPr>
          <w:rFonts w:ascii="Arial" w:cs="Arial" w:eastAsia="Arial" w:hAnsi="Arial"/>
          <w:sz w:val="18"/>
          <w:szCs w:val="18"/>
          <w:color w:val="auto"/>
        </w:rPr>
      </w:pPr>
    </w:p>
    <w:p>
      <w:pPr>
        <w:jc w:val="both"/>
        <w:ind w:firstLine="1492"/>
        <w:spacing w:after="0" w:line="259" w:lineRule="auto"/>
        <w:tabs>
          <w:tab w:leader="none" w:pos="174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Any payments or other benefits otherwise due to the Executive following a Change in Ownership or Control that could reasonably be characterized (as determined by the Company) as Contingent Compensation Payments (the “Potential Payments”) shall not be made until the dates provided for in this Section 4.3(d).</w:t>
      </w:r>
    </w:p>
    <w:p>
      <w:pPr>
        <w:spacing w:after="0" w:line="140" w:lineRule="exact"/>
        <w:rPr>
          <w:rFonts w:ascii="Arial" w:cs="Arial" w:eastAsia="Arial" w:hAnsi="Arial"/>
          <w:sz w:val="18"/>
          <w:szCs w:val="18"/>
          <w:color w:val="auto"/>
        </w:rPr>
      </w:pPr>
    </w:p>
    <w:p>
      <w:pPr>
        <w:jc w:val="both"/>
        <w:ind w:firstLine="1948"/>
        <w:spacing w:after="0" w:line="253" w:lineRule="auto"/>
        <w:tabs>
          <w:tab w:leader="none" w:pos="2179" w:val="left"/>
        </w:tabs>
        <w:numPr>
          <w:ilvl w:val="1"/>
          <w:numId w:val="126"/>
        </w:numPr>
        <w:rPr>
          <w:rFonts w:ascii="Arial" w:cs="Arial" w:eastAsia="Arial" w:hAnsi="Arial"/>
          <w:sz w:val="18"/>
          <w:szCs w:val="18"/>
          <w:color w:val="auto"/>
        </w:rPr>
      </w:pPr>
      <w:r>
        <w:rPr>
          <w:rFonts w:ascii="Arial" w:cs="Arial" w:eastAsia="Arial" w:hAnsi="Arial"/>
          <w:sz w:val="18"/>
          <w:szCs w:val="18"/>
          <w:color w:val="auto"/>
        </w:rPr>
        <w:t>In the event that the Company undergoes a Change in Ownership or Control, and the Executive becomes entitled to receive Contingent Compensation Payments relating to such Change in Ownership or Control, the Company shall (A) determine at such time or times as may be necessary to comply with the requirements under Section 280G of the Code whether such Contingent Compensation Payments constitute in whole or in part Excess Parachute Payments and (B) in the event the Company determines that such Contingent Compensation Payments constitute in whole or in part Excess Parachute Payments, notify the Executive (within 30 days after each such determination and with reasonable detail regarding the basis for its determinations) of the following: (1) which Potential Payments constitute Contingent Compensation Payments, (2) the Eliminated Amount and (3) whether the Section 4.3(b) Override is applicable.</w:t>
      </w:r>
    </w:p>
    <w:p>
      <w:pPr>
        <w:spacing w:after="0" w:line="147" w:lineRule="exact"/>
        <w:rPr>
          <w:rFonts w:ascii="Arial" w:cs="Arial" w:eastAsia="Arial" w:hAnsi="Arial"/>
          <w:sz w:val="18"/>
          <w:szCs w:val="18"/>
          <w:color w:val="auto"/>
        </w:rPr>
      </w:pPr>
    </w:p>
    <w:p>
      <w:pPr>
        <w:jc w:val="both"/>
        <w:ind w:firstLine="1948"/>
        <w:spacing w:after="0" w:line="256" w:lineRule="auto"/>
        <w:tabs>
          <w:tab w:leader="none" w:pos="2233" w:val="left"/>
        </w:tabs>
        <w:numPr>
          <w:ilvl w:val="1"/>
          <w:numId w:val="126"/>
        </w:numPr>
        <w:rPr>
          <w:rFonts w:ascii="Arial" w:cs="Arial" w:eastAsia="Arial" w:hAnsi="Arial"/>
          <w:sz w:val="18"/>
          <w:szCs w:val="18"/>
          <w:color w:val="auto"/>
        </w:rPr>
      </w:pPr>
      <w:r>
        <w:rPr>
          <w:rFonts w:ascii="Arial" w:cs="Arial" w:eastAsia="Arial" w:hAnsi="Arial"/>
          <w:sz w:val="18"/>
          <w:szCs w:val="18"/>
          <w:color w:val="auto"/>
        </w:rPr>
        <w:t>Within 30 days after delivery of such notice to the Executive, the Executive shall deliver a response to the Company (the “Executive Response”) stating either (A) that he agrees with the Company’s determination pursuant to the preceding sentence, or (B) that he disagrees with such determination, in which case he shall set forth (1) which Potential Payments should be characterized as Contingent Compensation Payments, (2) the Eliminated Amount, or (3) whether the Section 4.3(b) Override is applicable.</w:t>
      </w:r>
    </w:p>
    <w:p>
      <w:pPr>
        <w:spacing w:after="0" w:line="143" w:lineRule="exact"/>
        <w:rPr>
          <w:rFonts w:ascii="Arial" w:cs="Arial" w:eastAsia="Arial" w:hAnsi="Arial"/>
          <w:sz w:val="18"/>
          <w:szCs w:val="18"/>
          <w:color w:val="auto"/>
        </w:rPr>
      </w:pPr>
    </w:p>
    <w:p>
      <w:pPr>
        <w:ind w:right="20" w:firstLine="1948"/>
        <w:spacing w:after="0" w:line="332" w:lineRule="auto"/>
        <w:tabs>
          <w:tab w:leader="none" w:pos="226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If and to the extent that any Contingent Compensation Payments are required to be treated as Eliminated Payments pursuant to this Section 4.3, then the Payments shall be reduced or eliminated, as determined by the Company, in the following order:</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89" w:name="page90"/>
    <w:bookmarkEnd w:id="89"/>
    <w:p>
      <w:pPr>
        <w:jc w:val="both"/>
        <w:ind w:firstLine="8"/>
        <w:spacing w:after="0" w:line="259" w:lineRule="auto"/>
        <w:tabs>
          <w:tab w:leader="none" w:pos="292" w:val="left"/>
        </w:tabs>
        <w:numPr>
          <w:ilvl w:val="0"/>
          <w:numId w:val="1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cash payments, (B) any taxable benefits, (C) any nontaxable benefits, and (D) any vesting of equity awards, in each case in reverse order beginning with payments or benefits that are to be paid the farthest in time from the date that triggers the applicability of the excise tax, to the extent necessary to maximize the Eliminated Payments.</w:t>
      </w:r>
    </w:p>
    <w:p>
      <w:pPr>
        <w:spacing w:after="0" w:line="140" w:lineRule="exact"/>
        <w:rPr>
          <w:rFonts w:ascii="Arial" w:cs="Arial" w:eastAsia="Arial" w:hAnsi="Arial"/>
          <w:sz w:val="18"/>
          <w:szCs w:val="18"/>
          <w:color w:val="auto"/>
        </w:rPr>
      </w:pPr>
    </w:p>
    <w:p>
      <w:pPr>
        <w:jc w:val="both"/>
        <w:ind w:firstLine="1948"/>
        <w:spacing w:after="0" w:line="256" w:lineRule="auto"/>
        <w:tabs>
          <w:tab w:leader="none" w:pos="2244" w:val="left"/>
        </w:tabs>
        <w:numPr>
          <w:ilvl w:val="1"/>
          <w:numId w:val="127"/>
        </w:numPr>
        <w:rPr>
          <w:rFonts w:ascii="Arial" w:cs="Arial" w:eastAsia="Arial" w:hAnsi="Arial"/>
          <w:sz w:val="18"/>
          <w:szCs w:val="18"/>
          <w:color w:val="auto"/>
        </w:rPr>
      </w:pPr>
      <w:r>
        <w:rPr>
          <w:rFonts w:ascii="Arial" w:cs="Arial" w:eastAsia="Arial" w:hAnsi="Arial"/>
          <w:sz w:val="18"/>
          <w:szCs w:val="18"/>
          <w:color w:val="auto"/>
        </w:rPr>
        <w:t>If the Executive fails to deliver an Executive Response on or before the required date, the Company’s initial determinations shall be final, the Company shall make the Potential Payments (other than the Eliminated Payments) to the Executive within 10 business days following the due date for delivery to the Company of the Executive Response (except for any Potential Payments which are not due to be made until after such date, which Potential Payments shall be made on the date on which they are due).</w:t>
      </w:r>
    </w:p>
    <w:p>
      <w:pPr>
        <w:spacing w:after="0" w:line="143" w:lineRule="exact"/>
        <w:rPr>
          <w:rFonts w:ascii="Arial" w:cs="Arial" w:eastAsia="Arial" w:hAnsi="Arial"/>
          <w:sz w:val="18"/>
          <w:szCs w:val="18"/>
          <w:color w:val="auto"/>
        </w:rPr>
      </w:pPr>
    </w:p>
    <w:p>
      <w:pPr>
        <w:jc w:val="both"/>
        <w:ind w:firstLine="1948"/>
        <w:spacing w:after="0" w:line="255" w:lineRule="auto"/>
        <w:tabs>
          <w:tab w:leader="none" w:pos="2222" w:val="left"/>
        </w:tabs>
        <w:numPr>
          <w:ilvl w:val="1"/>
          <w:numId w:val="127"/>
        </w:numPr>
        <w:rPr>
          <w:rFonts w:ascii="Arial" w:cs="Arial" w:eastAsia="Arial" w:hAnsi="Arial"/>
          <w:sz w:val="18"/>
          <w:szCs w:val="18"/>
          <w:color w:val="auto"/>
        </w:rPr>
      </w:pPr>
      <w:r>
        <w:rPr>
          <w:rFonts w:ascii="Arial" w:cs="Arial" w:eastAsia="Arial" w:hAnsi="Arial"/>
          <w:sz w:val="18"/>
          <w:szCs w:val="18"/>
          <w:color w:val="auto"/>
        </w:rPr>
        <w:t>If the Executive states in the Executive Response that he agrees with the Company’s determinations, the Company’s initial determinations shall be final, the Contingent Compensation Payments that shall be treated as Eliminated Payments shall be as set forth in the Executive Response, and the Company shall make the Potential Payments (other than the Eliminated Payments) to the Executive within 10 business days following delivery to the Company of the Executive Response (except for any Potential Payments which are not due to be made until after such date, which Potential Payments shall be made on the date on which they are due).</w:t>
      </w:r>
    </w:p>
    <w:p>
      <w:pPr>
        <w:spacing w:after="0" w:line="142" w:lineRule="exact"/>
        <w:rPr>
          <w:rFonts w:ascii="Arial" w:cs="Arial" w:eastAsia="Arial" w:hAnsi="Arial"/>
          <w:sz w:val="18"/>
          <w:szCs w:val="18"/>
          <w:color w:val="auto"/>
        </w:rPr>
      </w:pPr>
    </w:p>
    <w:p>
      <w:pPr>
        <w:jc w:val="both"/>
        <w:ind w:firstLine="1948"/>
        <w:spacing w:after="0" w:line="289" w:lineRule="auto"/>
        <w:tabs>
          <w:tab w:leader="none" w:pos="2249" w:val="left"/>
        </w:tabs>
        <w:numPr>
          <w:ilvl w:val="1"/>
          <w:numId w:val="127"/>
        </w:numPr>
        <w:rPr>
          <w:rFonts w:ascii="Arial" w:cs="Arial" w:eastAsia="Arial" w:hAnsi="Arial"/>
          <w:sz w:val="16"/>
          <w:szCs w:val="16"/>
          <w:color w:val="auto"/>
        </w:rPr>
      </w:pPr>
      <w:r>
        <w:rPr>
          <w:rFonts w:ascii="Arial" w:cs="Arial" w:eastAsia="Arial" w:hAnsi="Arial"/>
          <w:sz w:val="16"/>
          <w:szCs w:val="16"/>
          <w:color w:val="auto"/>
        </w:rPr>
        <w:t>If the Executive states in the Executive Response that he disagrees with the Company’s determinations, then, for a period of 60 days following delivery of the Executive Response, the Executive and the Company shall use good faith efforts to resolve such dispute. If such dispute is not resolved within such 60-day period, such dispute shall be settled exclusively by arbitration in Boston, Massachusetts, in accordance with the rules of the American Arbitration Association then in effect. Judgment may be entered on the arbitrator’s award in any court having jurisdiction. The Company shall, within 10 business days following delivery to the Company of the Executive Response, make to the Executive those Potential Payments as to which there is no dispute between the Company and the Executive regarding whether they should be made (except for any such Potential Payments which are not due to be made until after such date, which Potential Payments shall be made on the date on which they are due). The balance of the Potential Payments (other than Eliminated Payments) shall be made within 10 business days following the resolution of such dispute.</w:t>
      </w:r>
    </w:p>
    <w:p>
      <w:pPr>
        <w:spacing w:after="0" w:line="118" w:lineRule="exact"/>
        <w:rPr>
          <w:rFonts w:ascii="Arial" w:cs="Arial" w:eastAsia="Arial" w:hAnsi="Arial"/>
          <w:sz w:val="16"/>
          <w:szCs w:val="16"/>
          <w:color w:val="auto"/>
        </w:rPr>
      </w:pPr>
    </w:p>
    <w:p>
      <w:pPr>
        <w:jc w:val="both"/>
        <w:ind w:firstLine="1948"/>
        <w:spacing w:after="0" w:line="259" w:lineRule="auto"/>
        <w:tabs>
          <w:tab w:leader="none" w:pos="2297" w:val="left"/>
        </w:tabs>
        <w:numPr>
          <w:ilvl w:val="1"/>
          <w:numId w:val="127"/>
        </w:numPr>
        <w:rPr>
          <w:rFonts w:ascii="Arial" w:cs="Arial" w:eastAsia="Arial" w:hAnsi="Arial"/>
          <w:sz w:val="18"/>
          <w:szCs w:val="18"/>
          <w:color w:val="auto"/>
        </w:rPr>
      </w:pPr>
      <w:r>
        <w:rPr>
          <w:rFonts w:ascii="Arial" w:cs="Arial" w:eastAsia="Arial" w:hAnsi="Arial"/>
          <w:sz w:val="18"/>
          <w:szCs w:val="18"/>
          <w:color w:val="auto"/>
        </w:rPr>
        <w:t>Subject to the limitations contained in Sections 4.3(a) and (b) hereof, the amount of any payments to be made to the Executive following the resolution of such dispute shall be increased by amount of the accrued interest thereon computed at the prime rate announced from time to time by Bank of America, compounded monthly from the date that such payments originally were due.</w:t>
      </w:r>
    </w:p>
    <w:p>
      <w:pPr>
        <w:spacing w:after="0" w:line="140" w:lineRule="exact"/>
        <w:rPr>
          <w:rFonts w:ascii="Arial" w:cs="Arial" w:eastAsia="Arial" w:hAnsi="Arial"/>
          <w:sz w:val="18"/>
          <w:szCs w:val="18"/>
          <w:color w:val="auto"/>
        </w:rPr>
      </w:pPr>
    </w:p>
    <w:p>
      <w:pPr>
        <w:jc w:val="both"/>
        <w:ind w:firstLine="1948"/>
        <w:spacing w:after="0" w:line="298" w:lineRule="auto"/>
        <w:tabs>
          <w:tab w:leader="none" w:pos="2353" w:val="left"/>
        </w:tabs>
        <w:numPr>
          <w:ilvl w:val="1"/>
          <w:numId w:val="127"/>
        </w:numPr>
        <w:rPr>
          <w:rFonts w:ascii="Arial" w:cs="Arial" w:eastAsia="Arial" w:hAnsi="Arial"/>
          <w:sz w:val="16"/>
          <w:szCs w:val="16"/>
          <w:color w:val="auto"/>
        </w:rPr>
      </w:pPr>
      <w:r>
        <w:rPr>
          <w:rFonts w:ascii="Arial" w:cs="Arial" w:eastAsia="Arial" w:hAnsi="Arial"/>
          <w:sz w:val="16"/>
          <w:szCs w:val="16"/>
          <w:color w:val="auto"/>
        </w:rPr>
        <w:t>In the event the Company is required to perform a redetermination in accordance with Treas. Reg. 1.280G-1 Q/A-33(b) with respect to any Contingent Compensation Payments, this Section 4.3(d) shall apply with respect to such redetermination and the parties shall make such adjustments as may be necessary as a result of such redetermination including, if appropriate, the payment by the Company of Contingent Compensation Payments previously treated as Eliminated Payments if the Section 4.3(b) Override applies as a result of such redetermination.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90" w:name="page91"/>
    <w:bookmarkEnd w:id="90"/>
    <w:p>
      <w:pPr>
        <w:ind w:firstLine="1492"/>
        <w:spacing w:after="0" w:line="332" w:lineRule="auto"/>
        <w:tabs>
          <w:tab w:leader="none" w:pos="1752" w:val="left"/>
        </w:tabs>
        <w:numPr>
          <w:ilvl w:val="0"/>
          <w:numId w:val="1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provisions of this Section 4.3 are intended to apply to any and all payments or benefits available to the Executive under this Agreement or any other agreement or plan of the Company under which the Executive receives Contingent Compensation Payments.</w:t>
      </w:r>
    </w:p>
    <w:p>
      <w:pPr>
        <w:spacing w:after="0" w:line="85" w:lineRule="exact"/>
        <w:rPr>
          <w:sz w:val="20"/>
          <w:szCs w:val="20"/>
          <w:color w:val="auto"/>
        </w:rPr>
      </w:pPr>
    </w:p>
    <w:p>
      <w:pPr>
        <w:jc w:val="both"/>
        <w:ind w:firstLine="913"/>
        <w:spacing w:after="0" w:line="273"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Release</w:t>
      </w:r>
      <w:r>
        <w:rPr>
          <w:rFonts w:ascii="Arial" w:cs="Arial" w:eastAsia="Arial" w:hAnsi="Arial"/>
          <w:sz w:val="16"/>
          <w:szCs w:val="16"/>
          <w:color w:val="auto"/>
        </w:rPr>
        <w:t xml:space="preserve">. The obligation of the Company to make the payments and provide the benefits to the Executive under Section 4.1(a), Section 4.2(a) or Section 4.2(b) is conditioned upon the Executive signing a release of claims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or such other form as may be agreed to by the Company and the Executive (the “Employee Release”), within 21 days (the “Release Period”) following the Date of Termination and upon the Executive not revoking the Employee Release in a timely manner thereafter. Provided that the Employee Release has become binding, the payments to the Executive under</w:t>
      </w:r>
    </w:p>
    <w:p>
      <w:pPr>
        <w:jc w:val="both"/>
        <w:spacing w:after="0" w:line="230" w:lineRule="auto"/>
        <w:rPr>
          <w:sz w:val="20"/>
          <w:szCs w:val="20"/>
          <w:color w:val="auto"/>
        </w:rPr>
      </w:pPr>
      <w:r>
        <w:rPr>
          <w:rFonts w:ascii="Arial" w:cs="Arial" w:eastAsia="Arial" w:hAnsi="Arial"/>
          <w:sz w:val="18"/>
          <w:szCs w:val="18"/>
          <w:color w:val="auto"/>
        </w:rPr>
        <w:t>Section 4.1(a), Section 4.2(a) or Section 4.2(b) shall be payable or shall commence on the 30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following the Date of Termination. Notwithstanding the foregoing, the provisions of benefits under Section 4.1(a)(iii), Section 4.2(a)(iii) or Section 4.2(b)(iii) shall continue during the Release Period and any applicable revocation period.</w:t>
      </w:r>
    </w:p>
    <w:p>
      <w:pPr>
        <w:spacing w:after="0" w:line="185"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Exclusive Severance Benefits</w:t>
      </w:r>
      <w:r>
        <w:rPr>
          <w:rFonts w:ascii="Arial" w:cs="Arial" w:eastAsia="Arial" w:hAnsi="Arial"/>
          <w:sz w:val="18"/>
          <w:szCs w:val="18"/>
          <w:color w:val="auto"/>
        </w:rPr>
        <w:t>. The making of the payments and the provision of the benefits by the Company to the Executive under Section 4.1(a), Section 4.2(a) or Section 4.2(b) shall constitute the entire obligation of the Company to the Executive as a result of the termination of his employment under the circumstances set forth in such Sections, and the Executive shall not be entitled to additional payments or benefits under any other plan, program, policy, practice, contract or agreement of the Company or its subsidiaries.</w:t>
      </w:r>
    </w:p>
    <w:p>
      <w:pPr>
        <w:spacing w:after="0" w:line="143"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Mitigation</w:t>
      </w:r>
      <w:r>
        <w:rPr>
          <w:rFonts w:ascii="Arial" w:cs="Arial" w:eastAsia="Arial" w:hAnsi="Arial"/>
          <w:sz w:val="18"/>
          <w:szCs w:val="18"/>
          <w:color w:val="auto"/>
        </w:rPr>
        <w:t>. The Executive shall not be required to mitigate the amount of any payment or benefits provided for in Section 4.1(a), Section 4.2(a) or Section 4.2(b) by seeking other employment or otherwise. Further, except as provided in Section 4.1(a)(iii), Section 4.2(a)(iii) or Section 4.2(b)(iii), the amount of any payment or benefits provided for in Section 4.1(a), Section 4.2(a) or Section 4.2(b) shall not be reduced by any compensation earned or benefits received by the Executive as a result of employment by another employer.</w:t>
      </w:r>
    </w:p>
    <w:p>
      <w:pPr>
        <w:spacing w:after="0" w:line="143"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Section 409A</w:t>
      </w:r>
      <w:r>
        <w:rPr>
          <w:rFonts w:ascii="Arial" w:cs="Arial" w:eastAsia="Arial" w:hAnsi="Arial"/>
          <w:sz w:val="16"/>
          <w:szCs w:val="16"/>
          <w:color w:val="auto"/>
        </w:rPr>
        <w:t>. Subject to this Section 4.7, any severance payments or benefits under this Agreement shall begin only upon the date of the Executive’s “separation from service” (as determined below), which occurs on or after the date of the Executive’s termination. The following rules shall apply with respect to distribution of the payments and benefits, if any, to be provided to the Executive under Sections 4.1 or 4.2, as applicable:</w:t>
      </w:r>
    </w:p>
    <w:p>
      <w:pPr>
        <w:spacing w:after="0" w:line="26" w:lineRule="exact"/>
        <w:rPr>
          <w:sz w:val="20"/>
          <w:szCs w:val="20"/>
          <w:color w:val="auto"/>
        </w:rPr>
      </w:pPr>
    </w:p>
    <w:p>
      <w:pPr>
        <w:jc w:val="both"/>
        <w:ind w:firstLine="1492"/>
        <w:spacing w:after="0" w:line="256" w:lineRule="auto"/>
        <w:tabs>
          <w:tab w:leader="none" w:pos="174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It is intended that each installment of the payments and benefits provided under Sections 4.1 and 4.2 shall be treated as a separate “payment” for purposes of Section 409A of the U.S. Internal Revenue Code of 1986, as amended, and the guidance issued thereunder (“Section 409A”). Neither the Company nor the Executive shall have the right to accelerate or defer the delivery of any such payments or benefits except to the extent specifically permitted or required by Section 409A;</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91" w:name="page92"/>
    <w:bookmarkEnd w:id="91"/>
    <w:p>
      <w:pPr>
        <w:jc w:val="both"/>
        <w:ind w:firstLine="1492"/>
        <w:spacing w:after="0" w:line="259" w:lineRule="auto"/>
        <w:tabs>
          <w:tab w:leader="none" w:pos="1739" w:val="left"/>
        </w:tabs>
        <w:numPr>
          <w:ilvl w:val="0"/>
          <w:numId w:val="1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as of the date of the “separation from service” of the Executive from the Company (within the meaning of Section 4.7(d) below), the Executive is not a “specified employee” (within the meaning of Section 409A), then each installment of the payments and benefits shall be made on the dates and terms set forth in Sections 4.1 or 4.2, as applicable; and</w:t>
      </w:r>
    </w:p>
    <w:p>
      <w:pPr>
        <w:spacing w:after="0" w:line="140" w:lineRule="exact"/>
        <w:rPr>
          <w:rFonts w:ascii="Arial" w:cs="Arial" w:eastAsia="Arial" w:hAnsi="Arial"/>
          <w:sz w:val="18"/>
          <w:szCs w:val="18"/>
          <w:color w:val="auto"/>
        </w:rPr>
      </w:pPr>
    </w:p>
    <w:p>
      <w:pPr>
        <w:ind w:left="1740" w:hanging="248"/>
        <w:spacing w:after="0"/>
        <w:tabs>
          <w:tab w:leader="none" w:pos="174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If, as of the date of the separation from service of the Executive from the Company, the Executive is a specified employee, then:</w:t>
      </w:r>
    </w:p>
    <w:p>
      <w:pPr>
        <w:spacing w:after="0" w:line="113" w:lineRule="exact"/>
        <w:rPr>
          <w:rFonts w:ascii="Arial" w:cs="Arial" w:eastAsia="Arial" w:hAnsi="Arial"/>
          <w:sz w:val="16"/>
          <w:szCs w:val="16"/>
          <w:color w:val="auto"/>
        </w:rPr>
      </w:pPr>
    </w:p>
    <w:p>
      <w:pPr>
        <w:jc w:val="both"/>
        <w:ind w:firstLine="1948"/>
        <w:spacing w:after="0" w:line="256" w:lineRule="auto"/>
        <w:tabs>
          <w:tab w:leader="none" w:pos="2158" w:val="left"/>
        </w:tabs>
        <w:numPr>
          <w:ilvl w:val="1"/>
          <w:numId w:val="130"/>
        </w:numPr>
        <w:rPr>
          <w:rFonts w:ascii="Arial" w:cs="Arial" w:eastAsia="Arial" w:hAnsi="Arial"/>
          <w:sz w:val="18"/>
          <w:szCs w:val="18"/>
          <w:color w:val="auto"/>
        </w:rPr>
      </w:pPr>
      <w:r>
        <w:rPr>
          <w:rFonts w:ascii="Arial" w:cs="Arial" w:eastAsia="Arial" w:hAnsi="Arial"/>
          <w:sz w:val="18"/>
          <w:szCs w:val="18"/>
          <w:color w:val="auto"/>
        </w:rPr>
        <w:t>Each installment of the payments and benefits due under Sections 4.1 or 4.2 that, in accordance with the dates and terms set forth herein, will in all circumstances, regardless of when the separation from service occurs, be paid within the short-term deferral period (as defined under Section 409A) shall be treated as a short-term deferral within the meaning of Treasury Regulation Section 1.409A-1(b)(4) to the maximum extent permissible under Section 409A.</w:t>
      </w:r>
    </w:p>
    <w:p>
      <w:pPr>
        <w:spacing w:after="0" w:line="143" w:lineRule="exact"/>
        <w:rPr>
          <w:rFonts w:ascii="Arial" w:cs="Arial" w:eastAsia="Arial" w:hAnsi="Arial"/>
          <w:sz w:val="18"/>
          <w:szCs w:val="18"/>
          <w:color w:val="auto"/>
        </w:rPr>
      </w:pPr>
    </w:p>
    <w:p>
      <w:pPr>
        <w:jc w:val="both"/>
        <w:ind w:firstLine="1948"/>
        <w:spacing w:after="0" w:line="283" w:lineRule="auto"/>
        <w:tabs>
          <w:tab w:leader="none" w:pos="2208" w:val="left"/>
        </w:tabs>
        <w:numPr>
          <w:ilvl w:val="1"/>
          <w:numId w:val="130"/>
        </w:numPr>
        <w:rPr>
          <w:rFonts w:ascii="Arial" w:cs="Arial" w:eastAsia="Arial" w:hAnsi="Arial"/>
          <w:sz w:val="16"/>
          <w:szCs w:val="16"/>
          <w:color w:val="auto"/>
        </w:rPr>
      </w:pPr>
      <w:r>
        <w:rPr>
          <w:rFonts w:ascii="Arial" w:cs="Arial" w:eastAsia="Arial" w:hAnsi="Arial"/>
          <w:sz w:val="16"/>
          <w:szCs w:val="16"/>
          <w:color w:val="auto"/>
        </w:rPr>
        <w:t xml:space="preserve">Each installment of the payments and benefits due under Sections 4.1 or 4.2 that is not described in Section 4.7(c)(i), above, and that would, absent this subsection, be paid within the six-month period following the separation from service of the Executive from the Company shall not be paid until the date that is six months and one day after such separation from service (or, if earlier, the Executive’s death), with any such installments that are required to be delayed being accumulated during the six-month period and paid in a lump sum on the date that is six months and one day following the Executive’s separation from service and any subsequent installments, if any, being paid in accordance with the dates and terms set forth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preceding provisions of this sentence shall not apply to any installment of payments and benefits if and to the maximum extent that such installment is deemed to be paid under a separation pay plan that does not provide for a deferral of compensation by reason of the application of Treasury Regulation Section 1.409A-1(b)</w:t>
      </w:r>
    </w:p>
    <w:p>
      <w:pPr>
        <w:jc w:val="both"/>
        <w:spacing w:after="0" w:line="255" w:lineRule="auto"/>
        <w:rPr>
          <w:rFonts w:ascii="Arial" w:cs="Arial" w:eastAsia="Arial" w:hAnsi="Arial"/>
          <w:sz w:val="16"/>
          <w:szCs w:val="16"/>
          <w:color w:val="auto"/>
        </w:rPr>
      </w:pPr>
      <w:r>
        <w:rPr>
          <w:rFonts w:ascii="Arial" w:cs="Arial" w:eastAsia="Arial" w:hAnsi="Arial"/>
          <w:sz w:val="18"/>
          <w:szCs w:val="18"/>
          <w:color w:val="auto"/>
        </w:rPr>
        <w:t>(9)(iii) (relating to separation pay upon an involuntary separation from service). Any installments that qualify for the exception under Treasury Regulation Section 1.409A-1(b)(9)(iii) must be paid no later than the last day of the Executive’s second taxable year following his taxable year in which the separation from service occurs.</w:t>
      </w:r>
    </w:p>
    <w:p>
      <w:pPr>
        <w:spacing w:after="0" w:line="144" w:lineRule="exact"/>
        <w:rPr>
          <w:rFonts w:ascii="Arial" w:cs="Arial" w:eastAsia="Arial" w:hAnsi="Arial"/>
          <w:sz w:val="16"/>
          <w:szCs w:val="16"/>
          <w:color w:val="auto"/>
        </w:rPr>
      </w:pPr>
    </w:p>
    <w:p>
      <w:pPr>
        <w:jc w:val="both"/>
        <w:ind w:firstLine="1492"/>
        <w:spacing w:after="0" w:line="306" w:lineRule="auto"/>
        <w:tabs>
          <w:tab w:leader="none" w:pos="1758"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determination of whether and when a separation from service from the Company has occurred shall be made and in a manner consistent with, and based on the presumptions set forth in, Treasury Regulation Section 1.409A-1(h). Solely for purposes of this Section 4.7(d), “Company” shall include all persons with whom the Company would be considered a single employer as determined under Treasury Regulation Section 1.409A-1(h)(3).</w:t>
      </w:r>
    </w:p>
    <w:p>
      <w:pPr>
        <w:spacing w:after="0" w:line="106" w:lineRule="exact"/>
        <w:rPr>
          <w:rFonts w:ascii="Arial" w:cs="Arial" w:eastAsia="Arial" w:hAnsi="Arial"/>
          <w:sz w:val="16"/>
          <w:szCs w:val="16"/>
          <w:color w:val="auto"/>
        </w:rPr>
      </w:pPr>
    </w:p>
    <w:p>
      <w:pPr>
        <w:jc w:val="both"/>
        <w:ind w:firstLine="1492"/>
        <w:spacing w:after="0" w:line="291" w:lineRule="auto"/>
        <w:tabs>
          <w:tab w:leader="none" w:pos="1722"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All reimbursements and in-kind benefits provided under the Agreement shall be made or provided in accordance with the requirements of Section 409A to the extent that such reimbursements or in-kind benefits are subject to Section 409A, including, where applicable, the requirement that (i) any reimbursement is for expenses incurred during the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92" w:name="page93"/>
    <w:bookmarkEnd w:id="92"/>
    <w:p>
      <w:pPr>
        <w:jc w:val="both"/>
        <w:ind w:firstLine="1492"/>
        <w:spacing w:after="0" w:line="259" w:lineRule="auto"/>
        <w:tabs>
          <w:tab w:leader="none" w:pos="1713" w:val="left"/>
        </w:tabs>
        <w:numPr>
          <w:ilvl w:val="1"/>
          <w:numId w:val="1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makes no representation or warranty and shall have no liability to the Executive or any other person if any provisions of this Agreement are determined to constitute deferred compensation subject to Section 409A and do not satisfy an exemption from, or the conditions of, Section 409A.</w:t>
      </w:r>
    </w:p>
    <w:p>
      <w:pPr>
        <w:spacing w:after="0" w:line="140" w:lineRule="exact"/>
        <w:rPr>
          <w:rFonts w:ascii="Arial" w:cs="Arial" w:eastAsia="Arial" w:hAnsi="Arial"/>
          <w:sz w:val="18"/>
          <w:szCs w:val="18"/>
          <w:color w:val="auto"/>
        </w:rPr>
      </w:pPr>
    </w:p>
    <w:p>
      <w:pPr>
        <w:jc w:val="both"/>
        <w:ind w:firstLine="464"/>
        <w:spacing w:after="0" w:line="255" w:lineRule="auto"/>
        <w:tabs>
          <w:tab w:leader="none" w:pos="632"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Settlement of Disputes; Arbitration</w:t>
      </w:r>
      <w:r>
        <w:rPr>
          <w:rFonts w:ascii="Arial" w:cs="Arial" w:eastAsia="Arial" w:hAnsi="Arial"/>
          <w:sz w:val="18"/>
          <w:szCs w:val="18"/>
          <w:color w:val="auto"/>
        </w:rPr>
        <w:t>. All claims by the Executive for benefits under this Agreement shall be directed to the Board and shall be in writing. Any denial by the Board of a claim for benefits under this Agreement shall be delivered to the Executive in writing and shall set forth the reasons for the denial and the provisions of this Agreement relied upon. Any further dispute or controversy arising under or in connection with this Agreement shall be settled exclusively by arbitration in Boston, Massachusetts, in accordance with the rules of the American Arbitration Association then in effect. Judgment may be entered on the arbitrator’s award in any court having jurisdiction.</w:t>
      </w:r>
    </w:p>
    <w:p>
      <w:pPr>
        <w:spacing w:after="0" w:line="142" w:lineRule="exact"/>
        <w:rPr>
          <w:rFonts w:ascii="Arial" w:cs="Arial" w:eastAsia="Arial" w:hAnsi="Arial"/>
          <w:sz w:val="18"/>
          <w:szCs w:val="18"/>
          <w:color w:val="auto"/>
        </w:rPr>
      </w:pPr>
    </w:p>
    <w:p>
      <w:pPr>
        <w:ind w:left="640" w:hanging="176"/>
        <w:spacing w:after="0"/>
        <w:tabs>
          <w:tab w:leader="none" w:pos="64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Successors</w:t>
      </w:r>
      <w:r>
        <w:rPr>
          <w:rFonts w:ascii="Arial" w:cs="Arial" w:eastAsia="Arial" w:hAnsi="Arial"/>
          <w:sz w:val="18"/>
          <w:szCs w:val="18"/>
          <w:color w:val="auto"/>
        </w:rPr>
        <w:t>. This Agreement shall be binding upon the Company and its successors and assigns. This Agreement shall inure to the benefit of and be enforceable by the Executive’s personal or legal representatives, executors, administrators, successors, heirs, distributees, devisees and legatees. If the Executive should die while any amount would still be payable to the Executive or his family hereunder if the Executive had continued to live, all such amounts, unless otherwise provided herein, shall be paid in accordance with the terms of this Agreement to the executors, personal representatives or administrators of the Executive’s estate.</w:t>
      </w:r>
    </w:p>
    <w:p>
      <w:pPr>
        <w:spacing w:after="0" w:line="143" w:lineRule="exact"/>
        <w:rPr>
          <w:sz w:val="20"/>
          <w:szCs w:val="20"/>
          <w:color w:val="auto"/>
        </w:rPr>
      </w:pPr>
    </w:p>
    <w:p>
      <w:pPr>
        <w:jc w:val="both"/>
        <w:ind w:firstLine="913"/>
        <w:spacing w:after="0" w:line="289"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Notice</w:t>
      </w:r>
      <w:r>
        <w:rPr>
          <w:rFonts w:ascii="Arial" w:cs="Arial" w:eastAsia="Arial" w:hAnsi="Arial"/>
          <w:sz w:val="16"/>
          <w:szCs w:val="16"/>
          <w:color w:val="auto"/>
        </w:rPr>
        <w:t>. All notices, instructions and other communications given hereunder or in connection herewith shall be in writing. Any such notice, instruction or communication shall be sent either (i) by registered or certified mail, return receipt requested, postage prepaid, or (ii) prepaid via a reputable nationwide overnight courier service, in each case addressed to the Company, at 64 Jackson Road, Devens, Massachusetts 01434, and to the Executive at the Executive’s address indicated on the signature page of this Agreement (or to such other address as either the Company or the Executive may have furnished to the other in writing in accordance herewith). Any such notice, instruction or communication shall be deemed to have been delivered five business days after it is sent by registered or certified mail, return receipt requested, postage prepaid, or one business day after it is sent via a reputable nationwide overnight courier service. Either party may give any notice, instruction or other communication hereunder using any other means, but no such notice, instruction or other communication shall be deemed to have been duly delivered unless and until it actually is received by the party for whom it is intended.</w:t>
      </w:r>
    </w:p>
    <w:p>
      <w:pPr>
        <w:spacing w:after="0" w:line="118"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Employment by Subsidiary</w:t>
      </w:r>
      <w:r>
        <w:rPr>
          <w:rFonts w:ascii="Arial" w:cs="Arial" w:eastAsia="Arial" w:hAnsi="Arial"/>
          <w:sz w:val="18"/>
          <w:szCs w:val="18"/>
          <w:color w:val="auto"/>
        </w:rPr>
        <w:t>. For purposes of this Agreement, the Executive’s employment with the Company shall not be deemed to have terminated solely as a result of the Executive continuing to be employed by a wholly-owned subsidiary of the Company.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93" w:name="page94"/>
    <w:bookmarkEnd w:id="93"/>
    <w:p>
      <w:pPr>
        <w:jc w:val="both"/>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6.4 </w:t>
      </w: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of this Agreement shall not affect the validity or enforceability of any other provision of this Agreement, which shall remain in full force and effect.</w:t>
      </w:r>
    </w:p>
    <w:p>
      <w:pPr>
        <w:spacing w:after="0" w:line="132"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interpretation, construction and performance of this Agreement shall be governed by the internal laws of the Commonwealth of Massachusetts, without regard to conflicts of law principles.</w:t>
      </w:r>
    </w:p>
    <w:p>
      <w:pPr>
        <w:spacing w:after="0" w:line="132"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Waivers</w:t>
      </w:r>
      <w:r>
        <w:rPr>
          <w:rFonts w:ascii="Arial" w:cs="Arial" w:eastAsia="Arial" w:hAnsi="Arial"/>
          <w:sz w:val="18"/>
          <w:szCs w:val="18"/>
          <w:color w:val="auto"/>
        </w:rPr>
        <w:t>. No waiver by the Executive at any time of any breach of, or compliance with, any provision of this Agreement to be performed by the Company shall be deemed a waiver of that or any other provision at any subsequent time.</w:t>
      </w:r>
    </w:p>
    <w:p>
      <w:pPr>
        <w:spacing w:after="0" w:line="132"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to be an original but both of which together shall constitute one and the same instrument.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Tax Withholding</w:t>
      </w:r>
      <w:r>
        <w:rPr>
          <w:rFonts w:ascii="Arial" w:cs="Arial" w:eastAsia="Arial" w:hAnsi="Arial"/>
          <w:sz w:val="16"/>
          <w:szCs w:val="16"/>
          <w:color w:val="auto"/>
        </w:rPr>
        <w:t>. Any payments provided for hereunder shall be paid net of any applicable tax withholding required under federal, state or local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165" w:lineRule="exact"/>
        <w:rPr>
          <w:sz w:val="20"/>
          <w:szCs w:val="20"/>
          <w:color w:val="auto"/>
        </w:rPr>
      </w:pPr>
    </w:p>
    <w:p>
      <w:pPr>
        <w:jc w:val="both"/>
        <w:ind w:firstLine="913"/>
        <w:spacing w:after="0" w:line="254"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sets forth the entire agreement of the parties hereto in respect of the subject matter contained herein and supersedes all prior agreements, promises, covenants, arrangements, communications, representations or warranties, whether oral or written, by any officer, employee or representative of any party hereto in respect of the subject matter contained herein; and any prior agreement of the parties hereto in respect of the subject matter contained herein is hereby terminated and cancelled. Notwithstanding the foregoing, the provisions of any stock option agreements between the Company and the Executive (including any terms thereof relating to acceleration of vesting) shall not be superseded by or modified by the terms of this Agreement.</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Amendments</w:t>
      </w:r>
      <w:r>
        <w:rPr>
          <w:rFonts w:ascii="Arial" w:cs="Arial" w:eastAsia="Arial" w:hAnsi="Arial"/>
          <w:sz w:val="16"/>
          <w:szCs w:val="16"/>
          <w:color w:val="auto"/>
        </w:rPr>
        <w:t>. This Agreement may be amended or modified only by a written instrument executed by both the Company and the Executive.</w:t>
      </w:r>
    </w:p>
    <w:p>
      <w:pPr>
        <w:spacing w:after="0" w:line="194"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Executive’s Acknowledgements</w:t>
      </w:r>
      <w:r>
        <w:rPr>
          <w:rFonts w:ascii="Arial" w:cs="Arial" w:eastAsia="Arial" w:hAnsi="Arial"/>
          <w:sz w:val="16"/>
          <w:szCs w:val="16"/>
          <w:color w:val="auto"/>
        </w:rPr>
        <w:t>. The Executive acknowledges that he: (a) has read this Agreement; (b) has been represented in the preparation, negotiation, and execution of this Agreement by legal counsel of the Executive’s own choice or has voluntarily declined to seek such counsel; (c) understands the terms and consequences of this Agreement; and (d) understands that the law firm of Wilmer Cutler Pickering Hale and Dorr LLP is acting as counsel to the Company in connection with the transactions contemplated by this Agreement, and is not acting as counsel for the Executive.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executed this Agreement as of the day and year first set forth above.</w:t>
      </w:r>
    </w:p>
    <w:p>
      <w:pPr>
        <w:spacing w:after="0" w:line="212" w:lineRule="exact"/>
        <w:rPr>
          <w:sz w:val="20"/>
          <w:szCs w:val="20"/>
          <w:color w:val="auto"/>
        </w:rPr>
      </w:pPr>
    </w:p>
    <w:p>
      <w:pPr>
        <w:jc w:val="right"/>
        <w:ind w:right="680"/>
        <w:spacing w:after="0"/>
        <w:rPr>
          <w:sz w:val="20"/>
          <w:szCs w:val="20"/>
          <w:color w:val="auto"/>
        </w:rPr>
      </w:pPr>
      <w:r>
        <w:rPr>
          <w:rFonts w:ascii="Arial" w:cs="Arial" w:eastAsia="Arial" w:hAnsi="Arial"/>
          <w:sz w:val="18"/>
          <w:szCs w:val="18"/>
          <w:color w:val="auto"/>
        </w:rPr>
        <w:t>AMERICAN SUPERCONDUCTOR CORPORATION</w:t>
      </w:r>
    </w:p>
    <w:p>
      <w:pPr>
        <w:spacing w:after="0" w:line="225"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1100" w:type="dxa"/>
            <w:vAlign w:val="bottom"/>
          </w:tcPr>
          <w:p>
            <w:pPr>
              <w:spacing w:after="0"/>
              <w:rPr>
                <w:sz w:val="20"/>
                <w:szCs w:val="20"/>
                <w:color w:val="auto"/>
              </w:rPr>
            </w:pPr>
            <w:r>
              <w:rPr>
                <w:rFonts w:ascii="Arial" w:cs="Arial" w:eastAsia="Arial" w:hAnsi="Arial"/>
                <w:sz w:val="18"/>
                <w:szCs w:val="18"/>
                <w:color w:val="auto"/>
              </w:rPr>
              <w:t>Signature:</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Yurek</w:t>
            </w:r>
          </w:p>
        </w:tc>
      </w:tr>
      <w:tr>
        <w:trPr>
          <w:trHeight w:val="217"/>
        </w:trPr>
        <w:tc>
          <w:tcPr>
            <w:tcW w:w="1100" w:type="dxa"/>
            <w:vAlign w:val="bottom"/>
          </w:tcPr>
          <w:p>
            <w:pPr>
              <w:spacing w:after="0"/>
              <w:rPr>
                <w:sz w:val="20"/>
                <w:szCs w:val="20"/>
                <w:color w:val="auto"/>
              </w:rPr>
            </w:pPr>
            <w:r>
              <w:rPr>
                <w:rFonts w:ascii="Arial" w:cs="Arial" w:eastAsia="Arial" w:hAnsi="Arial"/>
                <w:sz w:val="18"/>
                <w:szCs w:val="18"/>
                <w:color w:val="auto"/>
              </w:rPr>
              <w:t>Print name:</w:t>
            </w:r>
          </w:p>
        </w:tc>
        <w:tc>
          <w:tcPr>
            <w:tcW w:w="3460" w:type="dxa"/>
            <w:vAlign w:val="bottom"/>
          </w:tcPr>
          <w:p>
            <w:pPr>
              <w:spacing w:after="0"/>
              <w:rPr>
                <w:sz w:val="20"/>
                <w:szCs w:val="20"/>
                <w:color w:val="auto"/>
              </w:rPr>
            </w:pPr>
            <w:r>
              <w:rPr>
                <w:rFonts w:ascii="Arial" w:cs="Arial" w:eastAsia="Arial" w:hAnsi="Arial"/>
                <w:sz w:val="18"/>
                <w:szCs w:val="18"/>
                <w:color w:val="auto"/>
              </w:rPr>
              <w:t>Gregory Yurek</w:t>
            </w:r>
          </w:p>
        </w:tc>
      </w:tr>
      <w:tr>
        <w:trPr>
          <w:trHeight w:val="222"/>
        </w:trPr>
        <w:tc>
          <w:tcPr>
            <w:tcW w:w="1100" w:type="dxa"/>
            <w:vAlign w:val="bottom"/>
          </w:tcPr>
          <w:p>
            <w:pPr>
              <w:spacing w:after="0"/>
              <w:rPr>
                <w:sz w:val="20"/>
                <w:szCs w:val="20"/>
                <w:color w:val="auto"/>
              </w:rPr>
            </w:pPr>
            <w:r>
              <w:rPr>
                <w:rFonts w:ascii="Arial" w:cs="Arial" w:eastAsia="Arial" w:hAnsi="Arial"/>
                <w:sz w:val="18"/>
                <w:szCs w:val="18"/>
                <w:color w:val="auto"/>
              </w:rPr>
              <w:t>Title:</w:t>
            </w:r>
          </w:p>
        </w:tc>
        <w:tc>
          <w:tcPr>
            <w:tcW w:w="34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EXECUTIVE</w:t>
            </w:r>
          </w:p>
        </w:tc>
        <w:tc>
          <w:tcPr>
            <w:tcW w:w="3460" w:type="dxa"/>
            <w:vAlign w:val="bottom"/>
          </w:tcPr>
          <w:p>
            <w:pPr>
              <w:spacing w:after="0"/>
              <w:rPr>
                <w:sz w:val="24"/>
                <w:szCs w:val="24"/>
                <w:color w:val="auto"/>
              </w:rPr>
            </w:pP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Signature:</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W. Stankiewicz</w:t>
            </w:r>
          </w:p>
        </w:tc>
      </w:tr>
      <w:tr>
        <w:trPr>
          <w:trHeight w:val="223"/>
        </w:trPr>
        <w:tc>
          <w:tcPr>
            <w:tcW w:w="1100" w:type="dxa"/>
            <w:vAlign w:val="bottom"/>
          </w:tcPr>
          <w:p>
            <w:pPr>
              <w:spacing w:after="0"/>
              <w:rPr>
                <w:sz w:val="20"/>
                <w:szCs w:val="20"/>
                <w:color w:val="auto"/>
              </w:rPr>
            </w:pPr>
            <w:r>
              <w:rPr>
                <w:rFonts w:ascii="Arial" w:cs="Arial" w:eastAsia="Arial" w:hAnsi="Arial"/>
                <w:sz w:val="18"/>
                <w:szCs w:val="18"/>
                <w:color w:val="auto"/>
              </w:rPr>
              <w:t>Print name:</w:t>
            </w:r>
          </w:p>
        </w:tc>
        <w:tc>
          <w:tcPr>
            <w:tcW w:w="3460" w:type="dxa"/>
            <w:vAlign w:val="bottom"/>
          </w:tcPr>
          <w:p>
            <w:pPr>
              <w:spacing w:after="0"/>
              <w:rPr>
                <w:sz w:val="20"/>
                <w:szCs w:val="20"/>
                <w:color w:val="auto"/>
              </w:rPr>
            </w:pPr>
            <w:r>
              <w:rPr>
                <w:rFonts w:ascii="Arial" w:cs="Arial" w:eastAsia="Arial" w:hAnsi="Arial"/>
                <w:sz w:val="18"/>
                <w:szCs w:val="18"/>
                <w:color w:val="auto"/>
              </w:rPr>
              <w:t>Charles W. Stankiewicz</w:t>
            </w:r>
          </w:p>
        </w:tc>
      </w:tr>
    </w:tbl>
    <w:p>
      <w:pPr>
        <w:spacing w:after="0" w:line="21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Address:</w:t>
      </w:r>
    </w:p>
    <w:p>
      <w:pPr>
        <w:spacing w:after="0" w:line="11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 American Superconductor Corporation</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64 Jackson Road</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Devens, MA 01434</w:t>
      </w:r>
    </w:p>
    <w:p>
      <w:pPr>
        <w:spacing w:after="0" w:line="15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700" w:top="280"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RELEASE</w:t>
      </w:r>
    </w:p>
    <w:p>
      <w:pPr>
        <w:spacing w:after="0" w:line="171"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In consideration of the payment to me of the severance benefits pursuant to Section 4.1(a), 4.2(a) or 4.2(b) of my Amended and Restated Executive</w:t>
      </w:r>
    </w:p>
    <w:p>
      <w:pPr>
        <w:spacing w:after="0" w:line="38" w:lineRule="exact"/>
        <w:rPr>
          <w:sz w:val="20"/>
          <w:szCs w:val="20"/>
          <w:color w:val="auto"/>
        </w:rPr>
      </w:pPr>
    </w:p>
    <w:p>
      <w:pPr>
        <w:spacing w:after="0"/>
        <w:tabs>
          <w:tab w:leader="none" w:pos="7320" w:val="left"/>
          <w:tab w:leader="none" w:pos="7560" w:val="left"/>
          <w:tab w:leader="none" w:pos="8100" w:val="left"/>
        </w:tabs>
        <w:rPr>
          <w:sz w:val="20"/>
          <w:szCs w:val="20"/>
          <w:color w:val="auto"/>
        </w:rPr>
      </w:pPr>
      <w:r>
        <w:rPr>
          <w:rFonts w:ascii="Arial" w:cs="Arial" w:eastAsia="Arial" w:hAnsi="Arial"/>
          <w:sz w:val="18"/>
          <w:szCs w:val="18"/>
          <w:color w:val="auto"/>
        </w:rPr>
        <w:t>Severance Agreement with American Superconductor Corporation (the “Company”) dated</w:t>
      </w:r>
      <w:r>
        <w:rPr>
          <w:sz w:val="20"/>
          <w:szCs w:val="20"/>
          <w:color w:val="auto"/>
        </w:rPr>
        <w:tab/>
      </w:r>
      <w:r>
        <w:rPr>
          <w:rFonts w:ascii="Arial" w:cs="Arial" w:eastAsia="Arial" w:hAnsi="Arial"/>
          <w:sz w:val="18"/>
          <w:szCs w:val="18"/>
          <w:color w:val="auto"/>
        </w:rPr>
        <w:t>[</w:t>
        <w:tab/>
        <w:t>], 20</w:t>
      </w:r>
      <w:r>
        <w:rPr>
          <w:sz w:val="20"/>
          <w:szCs w:val="20"/>
          <w:color w:val="auto"/>
        </w:rPr>
        <w:tab/>
      </w:r>
      <w:r>
        <w:rPr>
          <w:rFonts w:ascii="Arial" w:cs="Arial" w:eastAsia="Arial" w:hAnsi="Arial"/>
          <w:sz w:val="16"/>
          <w:szCs w:val="16"/>
          <w:color w:val="auto"/>
        </w:rPr>
        <w:t>(the “Agreement”), I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4076065</wp:posOffset>
            </wp:positionH>
            <wp:positionV relativeFrom="paragraph">
              <wp:posOffset>-17780</wp:posOffset>
            </wp:positionV>
            <wp:extent cx="104965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49655" cy="8890"/>
                    </a:xfrm>
                    <a:prstGeom prst="rect">
                      <a:avLst/>
                    </a:prstGeom>
                    <a:noFill/>
                  </pic:spPr>
                </pic:pic>
              </a:graphicData>
            </a:graphic>
          </wp:anchor>
        </w:drawing>
      </w:r>
    </w:p>
    <w:p>
      <w:pPr>
        <w:spacing w:after="0" w:line="64" w:lineRule="exact"/>
        <w:rPr>
          <w:sz w:val="20"/>
          <w:szCs w:val="20"/>
          <w:color w:val="auto"/>
        </w:rPr>
      </w:pPr>
    </w:p>
    <w:p>
      <w:pPr>
        <w:jc w:val="both"/>
        <w:ind w:firstLine="8"/>
        <w:spacing w:after="0" w:line="285" w:lineRule="auto"/>
        <w:tabs>
          <w:tab w:leader="none" w:pos="208" w:val="left"/>
        </w:tabs>
        <w:numPr>
          <w:ilvl w:val="0"/>
          <w:numId w:val="133"/>
        </w:numPr>
        <w:rPr>
          <w:rFonts w:ascii="Arial" w:cs="Arial" w:eastAsia="Arial" w:hAnsi="Arial"/>
          <w:sz w:val="16"/>
          <w:szCs w:val="16"/>
          <w:color w:val="auto"/>
        </w:rPr>
      </w:pPr>
      <w:r>
        <w:rPr>
          <w:rFonts w:ascii="Arial" w:cs="Arial" w:eastAsia="Arial" w:hAnsi="Arial"/>
          <w:sz w:val="16"/>
          <w:szCs w:val="16"/>
          <w:color w:val="auto"/>
        </w:rPr>
        <w:t>I, on behalf of myself and my representatives, agents, estate, heirs, successors and assigns, hereby irrevocably and unconditionally release, remise and discharge the Company, its officers, directors, stockholders, affiliates (within the meaning of the Securities Act of 1933), attorneys, agents and employees, and their respective predecessors, successors and assigns (collectively, the “Company Releasees”), from any and all actions or causes of action, suits, claims, complaints, liabilities, contracts, torts, debts, damages, controversies, rights and demands, whether existing or contingent, known or unknown, arising up to and through the date of this Release out of my employment, or the termination of my employment, with the Company, including, but not limited to, all employment discrimination claims under the Age Discrimination in Employment Act, 29 U.S.C. §621 et seq., Title VII of the Civil Rights Act of 1964, 42 U.S.C. § 2000e et seq., the Americans With Disabilities Act of 1990, 42 U.S.C. § 12101 et seq., the Family and Medical Leave Act, 29 U.S.C. § 2601 et seq., the Worker Adjustment and Retraining Notification Act (“WARN”), 29 U.S.C. § 2101 et seq., the Massachusetts Fair Employment Practices Act, M.G.L. c.151B, § 1 et seq., the Massachusetts Civil Rights Act, M.G.L. c.12, §§ 11H and 11I, the Massachusetts Equal Rights Act, M.G.L. c.93, § 102 and M.G.L. c.214, § 1C, the Massachusetts Labor and Industries Act, M.G.L. c.149, § 1 et seq., and the Massachusetts Privacy Act, M.G.L. c.214, § 1B, all as amended, and all claims arising out of the Fair Credit Reporting Act, 15 U.S.C. § 1681 et seq. and the Employee Retirement Income Security Act of 1974 (“ERISA”), 29 U.S.C. § 1001 et seq., all as amended; and all claims to any non-vested ownership interest in the Company, contractual or otherwise, including, but not limited to, claims to stock or stock options. Notwithstanding the foregoing, (a) nothing in this Release prevents me from filing, cooperating with, or participating in any proceeding before the EEOC or a state Fair Employment Practices Agency (except that I acknowledge that I may not recover any monetary benefits in connection with any such claim, charge or proceeding), (b) this Release does not extend to any rights I have that arise after the date hereof under the Agreement and (c) this Release does not extend to any rights I may have to indemnification as an officer or director of the Company under the provisions of the Company’s By-laws or applicable law.</w:t>
      </w:r>
    </w:p>
    <w:p>
      <w:pPr>
        <w:spacing w:after="0" w:line="123" w:lineRule="exact"/>
        <w:rPr>
          <w:rFonts w:ascii="Arial" w:cs="Arial" w:eastAsia="Arial" w:hAnsi="Arial"/>
          <w:sz w:val="16"/>
          <w:szCs w:val="16"/>
          <w:color w:val="auto"/>
        </w:rPr>
      </w:pPr>
    </w:p>
    <w:p>
      <w:pPr>
        <w:ind w:right="20" w:firstLine="8"/>
        <w:spacing w:after="0" w:line="268" w:lineRule="auto"/>
        <w:tabs>
          <w:tab w:leader="none" w:pos="179"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 have been advised by the Company to consult with counsel before signing this Release, and have been given the opportunity to consult with my own counsel prior to signing this Release.</w:t>
      </w:r>
    </w:p>
    <w:p>
      <w:pPr>
        <w:spacing w:after="0" w:line="131" w:lineRule="exact"/>
        <w:rPr>
          <w:rFonts w:ascii="Arial" w:cs="Arial" w:eastAsia="Arial" w:hAnsi="Arial"/>
          <w:sz w:val="18"/>
          <w:szCs w:val="18"/>
          <w:color w:val="auto"/>
        </w:rPr>
      </w:pPr>
    </w:p>
    <w:p>
      <w:pPr>
        <w:ind w:left="180" w:hanging="172"/>
        <w:spacing w:after="0"/>
        <w:tabs>
          <w:tab w:leader="none" w:pos="1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 have been given up to twenty-one (21) days from the receipt of this Release to consider whether to execute this Release.</w:t>
      </w:r>
    </w:p>
    <w:p>
      <w:pPr>
        <w:spacing w:after="0" w:line="171" w:lineRule="exact"/>
        <w:rPr>
          <w:rFonts w:ascii="Arial" w:cs="Arial" w:eastAsia="Arial" w:hAnsi="Arial"/>
          <w:sz w:val="18"/>
          <w:szCs w:val="18"/>
          <w:color w:val="auto"/>
        </w:rPr>
      </w:pPr>
    </w:p>
    <w:p>
      <w:pPr>
        <w:jc w:val="both"/>
        <w:ind w:firstLine="8"/>
        <w:spacing w:after="0" w:line="259" w:lineRule="auto"/>
        <w:tabs>
          <w:tab w:leader="none" w:pos="179"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 have been advised that even after I sign this Release, I may revoke it within seven (7) days of the date of my signing by delivering a signed revocation notice to the Secretary of the Company. Delivery by ordinary mail will effectively revoke my assent to this Release if it is postmarked no later than seven days after I sign this Release.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96" w:name="page97"/>
    <w:bookmarkEnd w:id="96"/>
    <w:p>
      <w:pPr>
        <w:ind w:left="172" w:hanging="172"/>
        <w:spacing w:after="0"/>
        <w:tabs>
          <w:tab w:leader="none" w:pos="172" w:val="left"/>
        </w:tabs>
        <w:numPr>
          <w:ilvl w:val="0"/>
          <w:numId w:val="1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Release shall not become effective and in force until eight days after I sign, provided I have not timely revoked my acceptance.</w:t>
      </w:r>
    </w:p>
    <w:p>
      <w:pPr>
        <w:spacing w:after="0" w:line="171" w:lineRule="exact"/>
        <w:rPr>
          <w:rFonts w:ascii="Arial" w:cs="Arial" w:eastAsia="Arial" w:hAnsi="Arial"/>
          <w:sz w:val="18"/>
          <w:szCs w:val="18"/>
          <w:color w:val="auto"/>
        </w:rPr>
      </w:pPr>
    </w:p>
    <w:p>
      <w:pPr>
        <w:ind w:left="172" w:hanging="172"/>
        <w:spacing w:after="0"/>
        <w:tabs>
          <w:tab w:leader="none" w:pos="172" w:val="left"/>
        </w:tabs>
        <w:numPr>
          <w:ilvl w:val="0"/>
          <w:numId w:val="134"/>
        </w:numPr>
        <w:rPr>
          <w:rFonts w:ascii="Arial" w:cs="Arial" w:eastAsia="Arial" w:hAnsi="Arial"/>
          <w:sz w:val="16"/>
          <w:szCs w:val="16"/>
          <w:color w:val="auto"/>
        </w:rPr>
      </w:pPr>
      <w:r>
        <w:rPr>
          <w:rFonts w:ascii="Arial" w:cs="Arial" w:eastAsia="Arial" w:hAnsi="Arial"/>
          <w:sz w:val="16"/>
          <w:szCs w:val="16"/>
          <w:color w:val="auto"/>
        </w:rPr>
        <w:t>I acknowledge and reaffirm my obligations under the American Superconductor Corporation Employee Nondisclosure and Developments Agreement.</w:t>
      </w:r>
    </w:p>
    <w:p>
      <w:pPr>
        <w:spacing w:after="0" w:line="194" w:lineRule="exact"/>
        <w:rPr>
          <w:rFonts w:ascii="Arial" w:cs="Arial" w:eastAsia="Arial" w:hAnsi="Arial"/>
          <w:sz w:val="16"/>
          <w:szCs w:val="16"/>
          <w:color w:val="auto"/>
        </w:rPr>
      </w:pPr>
    </w:p>
    <w:p>
      <w:pPr>
        <w:ind w:left="-8" w:firstLine="8"/>
        <w:spacing w:after="0" w:line="268" w:lineRule="auto"/>
        <w:tabs>
          <w:tab w:leader="none" w:pos="17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No representation, promise or inducement has been offered or made to induce me to enter into this Release, and I am competent to execute this Release and accept full responsibility therefor.</w:t>
      </w:r>
    </w:p>
    <w:p>
      <w:pPr>
        <w:spacing w:after="0" w:line="172"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5368290</wp:posOffset>
            </wp:positionH>
            <wp:positionV relativeFrom="paragraph">
              <wp:posOffset>10795</wp:posOffset>
            </wp:positionV>
            <wp:extent cx="187833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24"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5368290</wp:posOffset>
            </wp:positionH>
            <wp:positionV relativeFrom="paragraph">
              <wp:posOffset>10795</wp:posOffset>
            </wp:positionV>
            <wp:extent cx="187833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24"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Date of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5368290</wp:posOffset>
            </wp:positionH>
            <wp:positionV relativeFrom="paragraph">
              <wp:posOffset>10795</wp:posOffset>
            </wp:positionV>
            <wp:extent cx="187833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6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92"/>
          </w:cols>
          <w:pgMar w:left="248" w:top="280" w:right="25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10.5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Amended and Restated Executive Severance Agreement</w:t>
      </w:r>
    </w:p>
    <w:p>
      <w:pPr>
        <w:spacing w:after="0" w:line="171"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AMENDED AND RESTATED</w:t>
      </w:r>
      <w:r>
        <w:rPr>
          <w:rFonts w:ascii="Arial" w:cs="Arial" w:eastAsia="Arial" w:hAnsi="Arial"/>
          <w:sz w:val="18"/>
          <w:szCs w:val="18"/>
          <w:color w:val="auto"/>
        </w:rPr>
        <w:t xml:space="preserve"> EXECUTIVE SEVERANCE AGREEMENT by and between American Superconductor Corporation, a Delaware corporation (the “Company”), and Angelo R. Santamaria (the “Executive”) is made as of December 23, 2008 (the “Effective Date”).</w:t>
      </w:r>
    </w:p>
    <w:p>
      <w:pPr>
        <w:spacing w:after="0" w:line="132"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WHEREAS, the Board of Directors of the Company (the “Board”) has determined that appropriate steps should be taken to reinforce and encourage the continued employment and dedication of the Executive and to minimize the distraction from the possibility of an unwarranted termination of employment.</w:t>
      </w:r>
    </w:p>
    <w:p>
      <w:pPr>
        <w:spacing w:after="0" w:line="8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WHEREAS, the Company and the Executive acknowledge and agree that the benefits described in this Agreement are not intended to, and shall not, constitute a severance plan, and shall confer no benefit on anyone other than the parties hereto.</w:t>
      </w:r>
    </w:p>
    <w:p>
      <w:pPr>
        <w:spacing w:after="0" w:line="132"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WHEREAS, the Company and the Executive originally entered into this Executive Severance Agreement on May 4, 2006, amended and restated it on January 24, 2008 to reflect certain developments in the tax law, and now desire to amend and restate it further to reflect certain developments in the tax law.</w:t>
      </w:r>
    </w:p>
    <w:p>
      <w:pPr>
        <w:spacing w:after="0" w:line="8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NOW, THEREFORE, as an inducement for and in consideration of the Executive remaining in its employ, the Company agrees that the Executive shall receive the severance benefits set forth in this Agreement in the event the Executive’s employment with the Company is terminated under the specific circumstances described below.</w:t>
      </w:r>
    </w:p>
    <w:p>
      <w:pPr>
        <w:spacing w:after="0" w:line="140" w:lineRule="exact"/>
        <w:rPr>
          <w:sz w:val="20"/>
          <w:szCs w:val="20"/>
          <w:color w:val="auto"/>
        </w:rPr>
      </w:pPr>
    </w:p>
    <w:p>
      <w:pPr>
        <w:ind w:left="640" w:hanging="176"/>
        <w:spacing w:after="0"/>
        <w:tabs>
          <w:tab w:leader="none" w:pos="64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Key Definitions</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 the following terms shall have the following respective meanings: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an event or occurrence set forth in any one or more of subsections (a) through (c) below:</w:t>
      </w:r>
    </w:p>
    <w:p>
      <w:pPr>
        <w:spacing w:after="0" w:line="90" w:lineRule="exact"/>
        <w:rPr>
          <w:sz w:val="20"/>
          <w:szCs w:val="20"/>
          <w:color w:val="auto"/>
        </w:rPr>
      </w:pPr>
    </w:p>
    <w:p>
      <w:pPr>
        <w:jc w:val="both"/>
        <w:ind w:firstLine="1492"/>
        <w:spacing w:after="0" w:line="290" w:lineRule="auto"/>
        <w:tabs>
          <w:tab w:leader="none" w:pos="173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 xml:space="preserve">the acquisition by an individual, entity or group (within the meaning of Section 13(d)(3) or 14(d)(2) of the Securities Exchange Act of 1934, as amended (the “Exchange Act”)) (a “Person”) of beneficial ownership of any capital stock of the Company if, after such acquisition, such Person beneficially owns (within the meaning of Rule 13d-3 promulgated under the Exchange Act) 50% or more of either (x) the then-outstanding shares of common stock of the Company (the “Outstanding Company Common Stock”) or (y) the combined voting power of the then-outstanding securities of the Company entitled to vote generally in the election of directors (the “Outstanding Company Voting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for purposes of this subsection (a), the following acquisitions shall not constitute a Change in Control: (i) any acquisition directly from the Company, or (ii) any acquisition by any employee benefit plan (or related trust) sponsored or maintained by the Company or any corporation controlled by the Company; or</w:t>
      </w:r>
    </w:p>
    <w:p>
      <w:pPr>
        <w:sectPr>
          <w:pgSz w:w="11900" w:h="16838" w:orient="portrait"/>
          <w:cols w:equalWidth="0" w:num="1">
            <w:col w:w="11420"/>
          </w:cols>
          <w:pgMar w:left="240" w:top="125" w:right="239" w:bottom="1440" w:gutter="0" w:footer="0" w:header="0"/>
        </w:sectPr>
      </w:pPr>
    </w:p>
    <w:bookmarkStart w:id="98" w:name="page99"/>
    <w:bookmarkEnd w:id="98"/>
    <w:p>
      <w:pPr>
        <w:jc w:val="both"/>
        <w:ind w:firstLine="1492"/>
        <w:spacing w:after="0" w:line="290" w:lineRule="auto"/>
        <w:tabs>
          <w:tab w:leader="none" w:pos="1738" w:val="left"/>
        </w:tabs>
        <w:numPr>
          <w:ilvl w:val="0"/>
          <w:numId w:val="1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Continuing Directors (as defined below) no longer constituting a majority of the Board (or, if applicable, the Board of Directors of a successor corporation to the Company), where the term “Continuing Director” means at any date a member of the Board (i) who was a member of the Board on the date of the execution of this Agreement or (ii) 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there shall be excluded from this clause (ii)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w:t>
      </w:r>
    </w:p>
    <w:p>
      <w:pPr>
        <w:spacing w:after="0" w:line="118" w:lineRule="exact"/>
        <w:rPr>
          <w:rFonts w:ascii="Arial" w:cs="Arial" w:eastAsia="Arial" w:hAnsi="Arial"/>
          <w:sz w:val="16"/>
          <w:szCs w:val="16"/>
          <w:color w:val="auto"/>
        </w:rPr>
      </w:pPr>
    </w:p>
    <w:p>
      <w:pPr>
        <w:jc w:val="both"/>
        <w:ind w:firstLine="1492"/>
        <w:spacing w:after="0" w:line="288" w:lineRule="auto"/>
        <w:tabs>
          <w:tab w:leader="none" w:pos="1737"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consummation of a merger, consolidation, reorganization, recapitalization or statutory share exchange involving the Company or a sale or other disposition of all or substantially all of the assets of the Company in one or a series of related transactions (a “Business Combination”), other than a Business Combination in which all or substantially all of the individuals and entities who were the beneficial owners of the Outstanding Company Common Stock and Outstanding Company Voting Securities immediately prior to such Business Combination beneficially own, directly or indirectly, immediately following such Business Combination, more than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respectively.</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 “</w:t>
      </w:r>
      <w:r>
        <w:rPr>
          <w:rFonts w:ascii="Arial" w:cs="Arial" w:eastAsia="Arial" w:hAnsi="Arial"/>
          <w:sz w:val="18"/>
          <w:szCs w:val="18"/>
          <w:u w:val="single" w:color="auto"/>
          <w:color w:val="auto"/>
        </w:rPr>
        <w:t>Change in Control Date</w:t>
      </w:r>
      <w:r>
        <w:rPr>
          <w:rFonts w:ascii="Arial" w:cs="Arial" w:eastAsia="Arial" w:hAnsi="Arial"/>
          <w:sz w:val="18"/>
          <w:szCs w:val="18"/>
          <w:color w:val="auto"/>
        </w:rPr>
        <w:t>” means the first date during the Term (as defined in Section 2) on which a Change in Control occurs.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1.3 “</w:t>
      </w:r>
      <w:r>
        <w:rPr>
          <w:rFonts w:ascii="Arial" w:cs="Arial" w:eastAsia="Arial" w:hAnsi="Arial"/>
          <w:sz w:val="18"/>
          <w:szCs w:val="18"/>
          <w:u w:val="single" w:color="auto"/>
          <w:color w:val="auto"/>
        </w:rPr>
        <w:t>Cause</w:t>
      </w:r>
      <w:r>
        <w:rPr>
          <w:rFonts w:ascii="Arial" w:cs="Arial" w:eastAsia="Arial" w:hAnsi="Arial"/>
          <w:sz w:val="18"/>
          <w:szCs w:val="18"/>
          <w:color w:val="auto"/>
        </w:rPr>
        <w:t>” means:</w:t>
      </w:r>
    </w:p>
    <w:p>
      <w:pPr>
        <w:spacing w:after="0" w:line="90" w:lineRule="exact"/>
        <w:rPr>
          <w:sz w:val="20"/>
          <w:szCs w:val="20"/>
          <w:color w:val="auto"/>
        </w:rPr>
      </w:pPr>
    </w:p>
    <w:p>
      <w:pPr>
        <w:jc w:val="both"/>
        <w:ind w:firstLine="1492"/>
        <w:spacing w:after="0" w:line="256" w:lineRule="auto"/>
        <w:tabs>
          <w:tab w:leader="none" w:pos="173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Executive’s failure to perform his reasonable assigned duties to the standards reasonably required by the Company (other than any such failure resulting from incapacity due to physical or mental illness), which failure is not cured within 30 days after a written notice is received by the Executive from the Company describing in reasonable detail the manner in which the Board of Directors believes the Executive has not performed the Executive’s duties to the standards reasonably required by the Company; or</w:t>
      </w:r>
    </w:p>
    <w:p>
      <w:pPr>
        <w:spacing w:after="0" w:line="143" w:lineRule="exact"/>
        <w:rPr>
          <w:rFonts w:ascii="Arial" w:cs="Arial" w:eastAsia="Arial" w:hAnsi="Arial"/>
          <w:sz w:val="18"/>
          <w:szCs w:val="18"/>
          <w:color w:val="auto"/>
        </w:rPr>
      </w:pPr>
    </w:p>
    <w:p>
      <w:pPr>
        <w:jc w:val="both"/>
        <w:ind w:firstLine="1492"/>
        <w:spacing w:after="0" w:line="259" w:lineRule="auto"/>
        <w:tabs>
          <w:tab w:leader="none" w:pos="174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Executive’s willful engagement in illegal conduct or gross misconduct that is materially injurious to the Company. For purposes of this Section 1.3(b), no act or failure to act by the Executive shall be considered “willful” unless it is done intentionally and without reasonable belief that the Executive’s action was in the best interests of the Company.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99" w:name="page100"/>
    <w:bookmarkEnd w:id="99"/>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1.4 “</w:t>
      </w:r>
      <w:r>
        <w:rPr>
          <w:rFonts w:ascii="Arial" w:cs="Arial" w:eastAsia="Arial" w:hAnsi="Arial"/>
          <w:sz w:val="18"/>
          <w:szCs w:val="18"/>
          <w:u w:val="single" w:color="auto"/>
          <w:color w:val="auto"/>
        </w:rPr>
        <w:t>Good Reason</w:t>
      </w:r>
      <w:r>
        <w:rPr>
          <w:rFonts w:ascii="Arial" w:cs="Arial" w:eastAsia="Arial" w:hAnsi="Arial"/>
          <w:sz w:val="18"/>
          <w:szCs w:val="18"/>
          <w:color w:val="auto"/>
        </w:rPr>
        <w:t>” means the occurrence, without the Executive’s written consent, of any of the following events or circumstances:</w:t>
      </w:r>
    </w:p>
    <w:p>
      <w:pPr>
        <w:spacing w:after="0" w:line="90" w:lineRule="exact"/>
        <w:rPr>
          <w:sz w:val="20"/>
          <w:szCs w:val="20"/>
          <w:color w:val="auto"/>
        </w:rPr>
      </w:pPr>
    </w:p>
    <w:p>
      <w:pPr>
        <w:ind w:left="1740" w:hanging="248"/>
        <w:spacing w:after="0"/>
        <w:tabs>
          <w:tab w:leader="none" w:pos="17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material diminution in the Executive’s base compensation; or</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material diminution in the Executive’s authority, duties, or responsibilities; or</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material change in the geographic location at which the Executive must perform his duties; or</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other action or inaction of the Company which constitutes a material breach by the Company of this Agreement.</w:t>
      </w:r>
    </w:p>
    <w:p>
      <w:pPr>
        <w:spacing w:after="0" w:line="9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Any termination by the Executive for Good Reason shall be communicated by means of a written notice delivered by the Executive to the Company within 90 days of the initial existence of the occurrence or condition on which the Executive bases his claim for Good Reason. If the condition is capable of being corrected, the Company shall have 30 days during which it may remedy the condition (the “</w:t>
      </w:r>
      <w:r>
        <w:rPr>
          <w:rFonts w:ascii="Arial" w:cs="Arial" w:eastAsia="Arial" w:hAnsi="Arial"/>
          <w:sz w:val="16"/>
          <w:szCs w:val="16"/>
          <w:u w:val="single" w:color="auto"/>
          <w:color w:val="auto"/>
        </w:rPr>
        <w:t>Cure Period</w:t>
      </w:r>
      <w:r>
        <w:rPr>
          <w:rFonts w:ascii="Arial" w:cs="Arial" w:eastAsia="Arial" w:hAnsi="Arial"/>
          <w:sz w:val="16"/>
          <w:szCs w:val="16"/>
          <w:color w:val="auto"/>
        </w:rPr>
        <w:t>”). Notwithstanding the occurrence of any such event or circumstance, such occurrence shall not be deemed to constitute Good Reason if such event or circumstance has been fully corrected within the Cure Period and the Executive has been reasonably compensated for any losses or damages resulting therefrom. If the condition is not corrected, the Executive must leave employment within one (1) year after the Company fails to cure the condition giving rise to the Executive’s claim for Good Reason during the Cure Period.</w:t>
      </w:r>
    </w:p>
    <w:p>
      <w:pPr>
        <w:spacing w:after="0" w:line="12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1.5 “</w:t>
      </w:r>
      <w:r>
        <w:rPr>
          <w:rFonts w:ascii="Arial" w:cs="Arial" w:eastAsia="Arial" w:hAnsi="Arial"/>
          <w:sz w:val="18"/>
          <w:szCs w:val="18"/>
          <w:u w:val="single" w:color="auto"/>
          <w:color w:val="auto"/>
        </w:rPr>
        <w:t>Disability</w:t>
      </w:r>
      <w:r>
        <w:rPr>
          <w:rFonts w:ascii="Arial" w:cs="Arial" w:eastAsia="Arial" w:hAnsi="Arial"/>
          <w:sz w:val="18"/>
          <w:szCs w:val="18"/>
          <w:color w:val="auto"/>
        </w:rPr>
        <w:t>” means the Executive’s absence from the full-time performance of the Executive’s duties with the Company for 180 consecutive calendar days as a result of incapacity due to mental or physical illness which is determined to be total and permanent by a physician selected by the Company or its insurers and acceptable to the Executive or the Executive’s legal representative.</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1.6 “</w:t>
      </w:r>
      <w:r>
        <w:rPr>
          <w:rFonts w:ascii="Arial" w:cs="Arial" w:eastAsia="Arial" w:hAnsi="Arial"/>
          <w:sz w:val="16"/>
          <w:szCs w:val="16"/>
          <w:u w:val="single" w:color="auto"/>
          <w:color w:val="auto"/>
        </w:rPr>
        <w:t>Severance Period</w:t>
      </w:r>
      <w:r>
        <w:rPr>
          <w:rFonts w:ascii="Arial" w:cs="Arial" w:eastAsia="Arial" w:hAnsi="Arial"/>
          <w:sz w:val="16"/>
          <w:szCs w:val="16"/>
          <w:color w:val="auto"/>
        </w:rPr>
        <w:t>” shall mean the period of 12 months immediately following the Date of Termination (as defined in Section 3.2(a) below).</w:t>
      </w:r>
    </w:p>
    <w:p>
      <w:pPr>
        <w:spacing w:after="0" w:line="194" w:lineRule="exact"/>
        <w:rPr>
          <w:sz w:val="20"/>
          <w:szCs w:val="20"/>
          <w:color w:val="auto"/>
        </w:rPr>
      </w:pPr>
    </w:p>
    <w:p>
      <w:pPr>
        <w:jc w:val="both"/>
        <w:ind w:firstLine="464"/>
        <w:spacing w:after="0" w:line="290" w:lineRule="auto"/>
        <w:tabs>
          <w:tab w:leader="none" w:pos="632"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t>Term of Agreement</w:t>
      </w:r>
      <w:r>
        <w:rPr>
          <w:rFonts w:ascii="Arial" w:cs="Arial" w:eastAsia="Arial" w:hAnsi="Arial"/>
          <w:sz w:val="16"/>
          <w:szCs w:val="16"/>
          <w:color w:val="auto"/>
        </w:rPr>
        <w:t xml:space="preserve">. This Agreement, and all rights and obligations of the parties hereunder, shall take effect upon the Effective Date and shall expire upon the first to occur of (a) the expiration of the Term (as defined below) if neither a termination of employment covered by Section 4.1(a) below nor a Change in Control occurred during the Term, or (b) the fulfillment by the Company of all of its obligations under Section 4 following a termination of the Executive’s employment with the Company. “Term” shall mean the period commencing as of the Effective Date and continuing in effect through March 31, 2011;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commencing on April 1, 2011 and each April 1 thereafter (each hereinafter referred to as a “Renewal Date”), the Term shall be automatically extended for one additional year so as to terminate four years from such Renewal Date, unless at least 90 days prior to such Renewal Date, the Company shall have given the Executive written notice that the Term will not be extended.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00" w:name="page101"/>
    <w:bookmarkEnd w:id="100"/>
    <w:p>
      <w:pPr>
        <w:ind w:left="640" w:hanging="176"/>
        <w:spacing w:after="0"/>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Employment Status; Termination Following Change in Control</w:t>
      </w:r>
      <w:r>
        <w:rPr>
          <w:rFonts w:ascii="Arial" w:cs="Arial" w:eastAsia="Arial" w:hAnsi="Arial"/>
          <w:sz w:val="18"/>
          <w:szCs w:val="18"/>
          <w:color w:val="auto"/>
        </w:rPr>
        <w:t>.</w:t>
      </w:r>
    </w:p>
    <w:p>
      <w:pPr>
        <w:spacing w:after="0" w:line="9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Not an Employment Contract</w:t>
      </w:r>
      <w:r>
        <w:rPr>
          <w:rFonts w:ascii="Arial" w:cs="Arial" w:eastAsia="Arial" w:hAnsi="Arial"/>
          <w:sz w:val="18"/>
          <w:szCs w:val="18"/>
          <w:color w:val="auto"/>
        </w:rPr>
        <w:t>. The Executive acknowledges that this Agreement does not constitute a contract of employment or impose on the Company any obligation to retain the Executive as an employee and that this Agreement does not prevent the Company or the Executive from terminating his employment at any time, before or after a Change in Control.</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90" w:lineRule="exact"/>
        <w:rPr>
          <w:sz w:val="20"/>
          <w:szCs w:val="20"/>
          <w:color w:val="auto"/>
        </w:rPr>
      </w:pPr>
    </w:p>
    <w:p>
      <w:pPr>
        <w:jc w:val="both"/>
        <w:ind w:firstLine="1492"/>
        <w:spacing w:after="0" w:line="288" w:lineRule="auto"/>
        <w:tabs>
          <w:tab w:leader="none" w:pos="1727" w:val="left"/>
        </w:tabs>
        <w:numPr>
          <w:ilvl w:val="1"/>
          <w:numId w:val="142"/>
        </w:numPr>
        <w:rPr>
          <w:rFonts w:ascii="Arial" w:cs="Arial" w:eastAsia="Arial" w:hAnsi="Arial"/>
          <w:sz w:val="16"/>
          <w:szCs w:val="16"/>
          <w:color w:val="auto"/>
        </w:rPr>
      </w:pPr>
      <w:r>
        <w:rPr>
          <w:rFonts w:ascii="Arial" w:cs="Arial" w:eastAsia="Arial" w:hAnsi="Arial"/>
          <w:sz w:val="16"/>
          <w:szCs w:val="16"/>
          <w:color w:val="auto"/>
        </w:rPr>
        <w:t>Any termination of the Executive’s employment by the Company at any time during the Term or at any time after the Change in Control Date, or by the Executive within 12 months following the Change in Control Date (other than due to the death of the Executive) shall be communicated by a written notice to the other party hereto (the “Notice of Termination”), given in accordance with Section 6.2. Any Notice of Termination shall: (i) indicate (in the case of a termination by the Company) whether such termination is for Cause and (in the case of a termination by the Executive within 12 months following the Change in Control Date) whether such termination is for Good Reason, (ii) to the extent applicable, set forth in reasonable detail the facts and circumstances claimed to provide a basis for termination of the Executive’s employment for Cause or for Good Reason and (iii) specify the Date of Termination (as defined below). The effective date of an employment termination (the “Date of Termination”) shall be the close of business on the date specified in the Notice of Termination (which date may not be less than 15 days or more than 120 days after the date of delivery of such Notice of Termination), in the case of a termination other than one due to the Executive’s death, or the date of the Executive’s death, as the case may be.</w:t>
      </w:r>
    </w:p>
    <w:p>
      <w:pPr>
        <w:spacing w:after="0" w:line="119" w:lineRule="exact"/>
        <w:rPr>
          <w:rFonts w:ascii="Arial" w:cs="Arial" w:eastAsia="Arial" w:hAnsi="Arial"/>
          <w:sz w:val="16"/>
          <w:szCs w:val="16"/>
          <w:color w:val="auto"/>
        </w:rPr>
      </w:pPr>
    </w:p>
    <w:p>
      <w:pPr>
        <w:jc w:val="both"/>
        <w:ind w:firstLine="1492"/>
        <w:spacing w:after="0" w:line="306" w:lineRule="auto"/>
        <w:tabs>
          <w:tab w:leader="none" w:pos="1744" w:val="left"/>
        </w:tabs>
        <w:numPr>
          <w:ilvl w:val="1"/>
          <w:numId w:val="142"/>
        </w:numPr>
        <w:rPr>
          <w:rFonts w:ascii="Arial" w:cs="Arial" w:eastAsia="Arial" w:hAnsi="Arial"/>
          <w:sz w:val="16"/>
          <w:szCs w:val="16"/>
          <w:color w:val="auto"/>
        </w:rPr>
      </w:pPr>
      <w:r>
        <w:rPr>
          <w:rFonts w:ascii="Arial" w:cs="Arial" w:eastAsia="Arial" w:hAnsi="Arial"/>
          <w:sz w:val="16"/>
          <w:szCs w:val="16"/>
          <w:color w:val="auto"/>
        </w:rPr>
        <w:t>The failure by the Executive or the Company to set forth in the Notice of Termination any fact or circumstance which contributes to a showing of Good Reason or Cause shall not waive any right of the Executive or the Company, respectively, hereunder or preclude the Executive or the Company, respectively, from asserting any such fact or circumstance in enforcing the Executive’s or the Company’s rights hereunder.</w:t>
      </w:r>
    </w:p>
    <w:p>
      <w:pPr>
        <w:spacing w:after="0" w:line="106" w:lineRule="exact"/>
        <w:rPr>
          <w:rFonts w:ascii="Arial" w:cs="Arial" w:eastAsia="Arial" w:hAnsi="Arial"/>
          <w:sz w:val="16"/>
          <w:szCs w:val="16"/>
          <w:color w:val="auto"/>
        </w:rPr>
      </w:pPr>
    </w:p>
    <w:p>
      <w:pPr>
        <w:ind w:right="20" w:firstLine="1492"/>
        <w:spacing w:after="0" w:line="268" w:lineRule="auto"/>
        <w:tabs>
          <w:tab w:leader="none" w:pos="1757"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Any Notice of Termination for Cause given by the Company must be given within 90 days of the occurrence of the event(s) or circumstance(s) that constitute(s) Cause.</w:t>
      </w:r>
    </w:p>
    <w:p>
      <w:pPr>
        <w:spacing w:after="0" w:line="131" w:lineRule="exact"/>
        <w:rPr>
          <w:rFonts w:ascii="Arial" w:cs="Arial" w:eastAsia="Arial" w:hAnsi="Arial"/>
          <w:sz w:val="18"/>
          <w:szCs w:val="18"/>
          <w:color w:val="auto"/>
        </w:rPr>
      </w:pPr>
    </w:p>
    <w:p>
      <w:pPr>
        <w:ind w:firstLine="1492"/>
        <w:spacing w:after="0" w:line="268" w:lineRule="auto"/>
        <w:tabs>
          <w:tab w:leader="none" w:pos="1743"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Any Notice of Termination for Good Reason given by the Executive must be given within 90 days of the occurrence of the event(s) or circumstance(s) that constitute(s) Good Reason.</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Benefits to Executive</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Termination Prior to Change in Control Date</w:t>
      </w:r>
      <w:r>
        <w:rPr>
          <w:rFonts w:ascii="Arial" w:cs="Arial" w:eastAsia="Arial" w:hAnsi="Arial"/>
          <w:sz w:val="18"/>
          <w:szCs w:val="18"/>
          <w:color w:val="auto"/>
        </w:rPr>
        <w:t>.</w:t>
      </w:r>
    </w:p>
    <w:p>
      <w:pPr>
        <w:spacing w:after="0" w:line="90" w:lineRule="exact"/>
        <w:rPr>
          <w:sz w:val="20"/>
          <w:szCs w:val="20"/>
          <w:color w:val="auto"/>
        </w:rPr>
      </w:pPr>
    </w:p>
    <w:p>
      <w:pPr>
        <w:jc w:val="both"/>
        <w:ind w:firstLine="1492"/>
        <w:spacing w:after="0" w:line="259" w:lineRule="auto"/>
        <w:tabs>
          <w:tab w:leader="none" w:pos="1722" w:val="left"/>
        </w:tabs>
        <w:numPr>
          <w:ilvl w:val="1"/>
          <w:numId w:val="144"/>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w:t>
      </w:r>
      <w:r>
        <w:rPr>
          <w:rFonts w:ascii="Arial" w:cs="Arial" w:eastAsia="Arial" w:hAnsi="Arial"/>
          <w:sz w:val="18"/>
          <w:szCs w:val="18"/>
          <w:color w:val="auto"/>
        </w:rPr>
        <w:t>. If, prior to a Change in Control Date (including a situation in which a Change in Control Date never occurs), the Company terminates the Executive’s employment other than for Cause, Disability or death, then the Executive shall be entitled to the following benefits, the distribution of which shall be subject to the provisions of Sections 4.4 and 4.7:</w:t>
      </w:r>
    </w:p>
    <w:p>
      <w:pPr>
        <w:spacing w:after="0" w:line="59" w:lineRule="exact"/>
        <w:rPr>
          <w:rFonts w:ascii="Arial" w:cs="Arial" w:eastAsia="Arial" w:hAnsi="Arial"/>
          <w:sz w:val="18"/>
          <w:szCs w:val="18"/>
          <w:color w:val="auto"/>
        </w:rPr>
      </w:pPr>
    </w:p>
    <w:p>
      <w:pPr>
        <w:ind w:left="2180" w:hanging="232"/>
        <w:spacing w:after="0"/>
        <w:tabs>
          <w:tab w:leader="none" w:pos="2180" w:val="left"/>
        </w:tabs>
        <w:numPr>
          <w:ilvl w:val="2"/>
          <w:numId w:val="144"/>
        </w:numPr>
        <w:rPr>
          <w:rFonts w:ascii="Arial" w:cs="Arial" w:eastAsia="Arial" w:hAnsi="Arial"/>
          <w:sz w:val="16"/>
          <w:szCs w:val="16"/>
          <w:color w:val="auto"/>
        </w:rPr>
      </w:pPr>
      <w:r>
        <w:rPr>
          <w:rFonts w:ascii="Arial" w:cs="Arial" w:eastAsia="Arial" w:hAnsi="Arial"/>
          <w:sz w:val="16"/>
          <w:szCs w:val="16"/>
          <w:color w:val="auto"/>
        </w:rPr>
        <w:t>the Company shall pay to the Executive, in a lump sum in cash on the Date of Termination, the sum of the following amounts:</w:t>
      </w:r>
    </w:p>
    <w:p>
      <w:pPr>
        <w:spacing w:after="0" w:line="38" w:lineRule="exact"/>
        <w:rPr>
          <w:rFonts w:ascii="Arial" w:cs="Arial" w:eastAsia="Arial" w:hAnsi="Arial"/>
          <w:sz w:val="16"/>
          <w:szCs w:val="16"/>
          <w:color w:val="auto"/>
        </w:rPr>
      </w:pPr>
    </w:p>
    <w:p>
      <w:pPr>
        <w:jc w:val="both"/>
        <w:ind w:firstLine="8"/>
        <w:spacing w:after="0" w:line="281" w:lineRule="auto"/>
        <w:tabs>
          <w:tab w:leader="none" w:pos="25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Executive’s base salary through the Date of Termination, (2) any compensation previously deferred by the Executive (together with any accrued interest or earnings thereon) and (3) any accrued vacation pay, in each case to the extent not previously paid (the sum of the amounts described in clauses (1) through</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shall be hereinafter referred to as the “Accrued Obligations”);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01" w:name="page102"/>
    <w:bookmarkEnd w:id="101"/>
    <w:p>
      <w:pPr>
        <w:ind w:right="20" w:firstLine="1948"/>
        <w:spacing w:after="0" w:line="332" w:lineRule="auto"/>
        <w:tabs>
          <w:tab w:leader="none" w:pos="2222" w:val="left"/>
        </w:tabs>
        <w:numPr>
          <w:ilvl w:val="1"/>
          <w:numId w:val="1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the Severance Period, the Company shall continue to pay to the Executive, in accordance with the Company’s regular payroll practices, the Executive’s highest annual base salary during the two-year period prior to the Date of Termination; and</w:t>
      </w:r>
    </w:p>
    <w:p>
      <w:pPr>
        <w:spacing w:after="0" w:line="85" w:lineRule="exact"/>
        <w:rPr>
          <w:rFonts w:ascii="Arial" w:cs="Arial" w:eastAsia="Arial" w:hAnsi="Arial"/>
          <w:sz w:val="16"/>
          <w:szCs w:val="16"/>
          <w:color w:val="auto"/>
        </w:rPr>
      </w:pPr>
    </w:p>
    <w:p>
      <w:pPr>
        <w:jc w:val="both"/>
        <w:ind w:firstLine="1948"/>
        <w:spacing w:after="0" w:line="289" w:lineRule="auto"/>
        <w:tabs>
          <w:tab w:leader="none" w:pos="2260" w:val="left"/>
        </w:tabs>
        <w:numPr>
          <w:ilvl w:val="1"/>
          <w:numId w:val="147"/>
        </w:numPr>
        <w:rPr>
          <w:rFonts w:ascii="Arial" w:cs="Arial" w:eastAsia="Arial" w:hAnsi="Arial"/>
          <w:sz w:val="16"/>
          <w:szCs w:val="16"/>
          <w:color w:val="auto"/>
        </w:rPr>
      </w:pPr>
      <w:r>
        <w:rPr>
          <w:rFonts w:ascii="Arial" w:cs="Arial" w:eastAsia="Arial" w:hAnsi="Arial"/>
          <w:sz w:val="16"/>
          <w:szCs w:val="16"/>
          <w:color w:val="auto"/>
        </w:rPr>
        <w:t xml:space="preserve">during the Severance Period, the Company shall continue to provide to the Executive and the Executive’s family those benefits which would have been provided to them if the Executive’s employment had not been terminated, in accordance with the applicable Benefit Plans in effect on the Date of Termination (to the extent such benefits can be provided to non-employees, or to the extent such health insurance benefits cannot be provided to non-employees, then the cash equivalent thereof, based on the cost thereof to the Company, which cash amount shall be paid proportionately over the Severance Period, monthly in advance); </w:t>
      </w:r>
      <w:r>
        <w:rPr>
          <w:rFonts w:ascii="Arial" w:cs="Arial" w:eastAsia="Arial" w:hAnsi="Arial"/>
          <w:sz w:val="16"/>
          <w:szCs w:val="16"/>
          <w:u w:val="single" w:color="auto"/>
          <w:color w:val="auto"/>
        </w:rPr>
        <w:t>provided</w:t>
      </w:r>
      <w:r>
        <w:rPr>
          <w:rFonts w:ascii="Arial" w:cs="Arial" w:eastAsia="Arial" w:hAnsi="Arial"/>
          <w:sz w:val="16"/>
          <w:szCs w:val="16"/>
          <w:color w:val="auto"/>
        </w:rPr>
        <w:t>, however: (1) that if the Executive becomes reemployed with another employer and is eligible to receive a particular type of benefits (e.g., health insurance benefits) from such employer on terms at least as favorable to the Executive and his family as those being provided by the Company, then the Company shall no longer be required to provide those particular benefits to the Executive and his family; and (2) to the extent that such payments are taxable to the Executive and/or extend beyond the COBRA continuation period, then such payments shall be made monthly in advance.</w:t>
      </w:r>
    </w:p>
    <w:p>
      <w:pPr>
        <w:spacing w:after="0" w:line="118" w:lineRule="exact"/>
        <w:rPr>
          <w:rFonts w:ascii="Arial" w:cs="Arial" w:eastAsia="Arial" w:hAnsi="Arial"/>
          <w:sz w:val="16"/>
          <w:szCs w:val="16"/>
          <w:color w:val="auto"/>
        </w:rPr>
      </w:pPr>
    </w:p>
    <w:p>
      <w:pPr>
        <w:jc w:val="both"/>
        <w:ind w:firstLine="1492"/>
        <w:spacing w:after="0" w:line="291" w:lineRule="auto"/>
        <w:tabs>
          <w:tab w:leader="none" w:pos="1746" w:val="left"/>
        </w:tabs>
        <w:numPr>
          <w:ilvl w:val="0"/>
          <w:numId w:val="148"/>
        </w:numPr>
        <w:rPr>
          <w:rFonts w:ascii="Arial" w:cs="Arial" w:eastAsia="Arial" w:hAnsi="Arial"/>
          <w:sz w:val="16"/>
          <w:szCs w:val="16"/>
          <w:color w:val="auto"/>
        </w:rPr>
      </w:pPr>
      <w:r>
        <w:rPr>
          <w:rFonts w:ascii="Arial" w:cs="Arial" w:eastAsia="Arial" w:hAnsi="Arial"/>
          <w:sz w:val="16"/>
          <w:szCs w:val="16"/>
          <w:u w:val="single" w:color="auto"/>
          <w:color w:val="auto"/>
        </w:rPr>
        <w:t>Other Terminations</w:t>
      </w:r>
      <w:r>
        <w:rPr>
          <w:rFonts w:ascii="Arial" w:cs="Arial" w:eastAsia="Arial" w:hAnsi="Arial"/>
          <w:sz w:val="16"/>
          <w:szCs w:val="16"/>
          <w:color w:val="auto"/>
        </w:rPr>
        <w:t>. If, prior to the Change in Control Date, the Executive’s employment with the Company is terminated other than under the circumstances described in Section 4.1(a), then the Company shall (i) pay the Executive (or his estate, if applicable), in a lump sum in cash on the Date of Termination, the Accrued Obligations and (ii) to the extent not previously paid or provided, timely pay or provide to the Executive any other amounts or benefits required to be paid or provided or which the Executive is eligible to receive following the Executive’s termination of employment under any plan, program, policy, practice, contract or agreement of the Company and its subsidiaries (such other amounts and benefits shall be hereinafter referred to as the “Other Benefits”), the distribution of which shall be subject to the provisions of Section 4.7.</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Termination Following Change in Control Date</w:t>
      </w:r>
      <w:r>
        <w:rPr>
          <w:rFonts w:ascii="Arial" w:cs="Arial" w:eastAsia="Arial" w:hAnsi="Arial"/>
          <w:sz w:val="18"/>
          <w:szCs w:val="18"/>
          <w:color w:val="auto"/>
        </w:rPr>
        <w:t>.</w:t>
      </w:r>
    </w:p>
    <w:p>
      <w:pPr>
        <w:spacing w:after="0" w:line="90" w:lineRule="exact"/>
        <w:rPr>
          <w:sz w:val="20"/>
          <w:szCs w:val="20"/>
          <w:color w:val="auto"/>
        </w:rPr>
      </w:pPr>
    </w:p>
    <w:p>
      <w:pPr>
        <w:jc w:val="both"/>
        <w:ind w:firstLine="1492"/>
        <w:spacing w:after="0" w:line="256" w:lineRule="auto"/>
        <w:tabs>
          <w:tab w:leader="none" w:pos="1722" w:val="left"/>
        </w:tabs>
        <w:numPr>
          <w:ilvl w:val="1"/>
          <w:numId w:val="149"/>
        </w:numPr>
        <w:rPr>
          <w:rFonts w:ascii="Arial" w:cs="Arial" w:eastAsia="Arial" w:hAnsi="Arial"/>
          <w:sz w:val="18"/>
          <w:szCs w:val="18"/>
          <w:color w:val="auto"/>
        </w:rPr>
      </w:pPr>
      <w:r>
        <w:rPr>
          <w:rFonts w:ascii="Arial" w:cs="Arial" w:eastAsia="Arial" w:hAnsi="Arial"/>
          <w:sz w:val="18"/>
          <w:szCs w:val="18"/>
          <w:u w:val="single" w:color="auto"/>
          <w:color w:val="auto"/>
        </w:rPr>
        <w:t>Termination within 12 Months Following Change in Control Date</w:t>
      </w:r>
      <w:r>
        <w:rPr>
          <w:rFonts w:ascii="Arial" w:cs="Arial" w:eastAsia="Arial" w:hAnsi="Arial"/>
          <w:sz w:val="18"/>
          <w:szCs w:val="18"/>
          <w:color w:val="auto"/>
        </w:rPr>
        <w:t>. If the Company terminates the Executive’s employment other than for Cause, Disability or death within 12 months following the Change in Control Date, or if the Executive terminates his employment for Good Reason within 12 months following the Change in Control Date, then the Executive shall be entitled to the following benefits , the distribution of which shall be subject to the provisions of Sections 4.4 and 4.7:</w:t>
      </w:r>
    </w:p>
    <w:p>
      <w:pPr>
        <w:spacing w:after="0" w:line="62" w:lineRule="exact"/>
        <w:rPr>
          <w:rFonts w:ascii="Arial" w:cs="Arial" w:eastAsia="Arial" w:hAnsi="Arial"/>
          <w:sz w:val="18"/>
          <w:szCs w:val="18"/>
          <w:color w:val="auto"/>
        </w:rPr>
      </w:pPr>
    </w:p>
    <w:p>
      <w:pPr>
        <w:ind w:left="2180" w:hanging="232"/>
        <w:spacing w:after="0"/>
        <w:tabs>
          <w:tab w:leader="none" w:pos="2180" w:val="left"/>
        </w:tabs>
        <w:numPr>
          <w:ilvl w:val="2"/>
          <w:numId w:val="149"/>
        </w:numPr>
        <w:rPr>
          <w:rFonts w:ascii="Arial" w:cs="Arial" w:eastAsia="Arial" w:hAnsi="Arial"/>
          <w:sz w:val="16"/>
          <w:szCs w:val="16"/>
          <w:color w:val="auto"/>
        </w:rPr>
      </w:pPr>
      <w:r>
        <w:rPr>
          <w:rFonts w:ascii="Arial" w:cs="Arial" w:eastAsia="Arial" w:hAnsi="Arial"/>
          <w:sz w:val="16"/>
          <w:szCs w:val="16"/>
          <w:color w:val="auto"/>
        </w:rPr>
        <w:t>the Company shall pay to the Executive, in a lump sum in cash on the Date of Termination, (A) the Accrued Obligations and</w:t>
      </w:r>
    </w:p>
    <w:p>
      <w:pPr>
        <w:spacing w:after="0" w:line="38" w:lineRule="exact"/>
        <w:rPr>
          <w:rFonts w:ascii="Arial" w:cs="Arial" w:eastAsia="Arial" w:hAnsi="Arial"/>
          <w:sz w:val="16"/>
          <w:szCs w:val="16"/>
          <w:color w:val="auto"/>
        </w:rPr>
      </w:pPr>
    </w:p>
    <w:p>
      <w:pPr>
        <w:jc w:val="both"/>
        <w:ind w:firstLine="8"/>
        <w:spacing w:after="0" w:line="255" w:lineRule="auto"/>
        <w:tabs>
          <w:tab w:leader="none" w:pos="304"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product of (x) the annual target bonus payable to the Executive for the fiscal year in which the Date of Termination occurs and (y) a fraction, the numerator of which is the number of days in the then-current fiscal year through the Date of Termination, and the denominator of which is 365, less any portion of such bonus previously paid to the Executive;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02" w:name="page103"/>
    <w:bookmarkEnd w:id="102"/>
    <w:p>
      <w:pPr>
        <w:ind w:right="20" w:firstLine="1948"/>
        <w:spacing w:after="0" w:line="332" w:lineRule="auto"/>
        <w:tabs>
          <w:tab w:leader="none" w:pos="2222" w:val="left"/>
        </w:tabs>
        <w:numPr>
          <w:ilvl w:val="1"/>
          <w:numId w:val="15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the Severance Period, the Company shall continue to pay to the Executive, in accordance with the Company’s regular payroll practices, the Executive’s highest annual base salary during the two-year period prior to the Date of Termination; and</w:t>
      </w:r>
    </w:p>
    <w:p>
      <w:pPr>
        <w:spacing w:after="0" w:line="85" w:lineRule="exact"/>
        <w:rPr>
          <w:rFonts w:ascii="Arial" w:cs="Arial" w:eastAsia="Arial" w:hAnsi="Arial"/>
          <w:sz w:val="16"/>
          <w:szCs w:val="16"/>
          <w:color w:val="auto"/>
        </w:rPr>
      </w:pPr>
    </w:p>
    <w:p>
      <w:pPr>
        <w:jc w:val="both"/>
        <w:ind w:firstLine="1948"/>
        <w:spacing w:after="0" w:line="289" w:lineRule="auto"/>
        <w:tabs>
          <w:tab w:leader="none" w:pos="2260" w:val="left"/>
        </w:tabs>
        <w:numPr>
          <w:ilvl w:val="1"/>
          <w:numId w:val="151"/>
        </w:numPr>
        <w:rPr>
          <w:rFonts w:ascii="Arial" w:cs="Arial" w:eastAsia="Arial" w:hAnsi="Arial"/>
          <w:sz w:val="16"/>
          <w:szCs w:val="16"/>
          <w:color w:val="auto"/>
        </w:rPr>
      </w:pPr>
      <w:r>
        <w:rPr>
          <w:rFonts w:ascii="Arial" w:cs="Arial" w:eastAsia="Arial" w:hAnsi="Arial"/>
          <w:sz w:val="16"/>
          <w:szCs w:val="16"/>
          <w:color w:val="auto"/>
        </w:rPr>
        <w:t xml:space="preserve">during the Severance Period, the Company shall continue to provide to the Executive and the Executive’s family those benefits which would have been provided to them if the Executive’s employment had not been terminated, in accordance with the applicable Benefit Plans in effect on the Date of Termination (to the extent such benefits can be provided to non-employees, or to the extent such health benefits cannot be provided to non-employees, then the cash equivalent thereof, based on the cost thereof to the Company, which cash amount shall be paid proportionately over the Severance Period, monthly in advance); </w:t>
      </w:r>
      <w:r>
        <w:rPr>
          <w:rFonts w:ascii="Arial" w:cs="Arial" w:eastAsia="Arial" w:hAnsi="Arial"/>
          <w:sz w:val="16"/>
          <w:szCs w:val="16"/>
          <w:u w:val="single" w:color="auto"/>
          <w:color w:val="auto"/>
        </w:rPr>
        <w:t>provided</w:t>
      </w:r>
      <w:r>
        <w:rPr>
          <w:rFonts w:ascii="Arial" w:cs="Arial" w:eastAsia="Arial" w:hAnsi="Arial"/>
          <w:sz w:val="16"/>
          <w:szCs w:val="16"/>
          <w:color w:val="auto"/>
        </w:rPr>
        <w:t>, however: (1) that if the Executive becomes reemployed with another employer and is eligible to receive a particular type of benefits (e.g., health insurance benefits) from such employer on terms at least as favorable to the Executive and his family as those being provided by the Company, then the Company shall no longer be required to provide those particular benefits to the Executive and his family; and (2) to the extent that such payments are taxable to the Executive and/or extend beyond the COBRA continuation period, then such payments shall be made monthly in advance.</w:t>
      </w:r>
    </w:p>
    <w:p>
      <w:pPr>
        <w:spacing w:after="0" w:line="118" w:lineRule="exact"/>
        <w:rPr>
          <w:rFonts w:ascii="Arial" w:cs="Arial" w:eastAsia="Arial" w:hAnsi="Arial"/>
          <w:sz w:val="16"/>
          <w:szCs w:val="16"/>
          <w:color w:val="auto"/>
        </w:rPr>
      </w:pPr>
    </w:p>
    <w:p>
      <w:pPr>
        <w:jc w:val="both"/>
        <w:ind w:firstLine="1492"/>
        <w:spacing w:after="0" w:line="259" w:lineRule="auto"/>
        <w:tabs>
          <w:tab w:leader="none" w:pos="1746"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Termination More Than 12 Months Following Change in Control Date</w:t>
      </w:r>
      <w:r>
        <w:rPr>
          <w:rFonts w:ascii="Arial" w:cs="Arial" w:eastAsia="Arial" w:hAnsi="Arial"/>
          <w:sz w:val="18"/>
          <w:szCs w:val="18"/>
          <w:color w:val="auto"/>
        </w:rPr>
        <w:t>. If the Company terminates the Executive’s employment other than for Cause, Disability or death more than 12 months following the Change in Control Date, then the Executive shall be entitled to the following benefits , the distribution of which shall be subject to the provisions of Sections 4.4 and 4.7.</w:t>
      </w:r>
    </w:p>
    <w:p>
      <w:pPr>
        <w:spacing w:after="0" w:line="59" w:lineRule="exact"/>
        <w:rPr>
          <w:rFonts w:ascii="Arial" w:cs="Arial" w:eastAsia="Arial" w:hAnsi="Arial"/>
          <w:sz w:val="18"/>
          <w:szCs w:val="18"/>
          <w:color w:val="auto"/>
        </w:rPr>
      </w:pPr>
    </w:p>
    <w:p>
      <w:pPr>
        <w:ind w:left="2160" w:hanging="212"/>
        <w:spacing w:after="0"/>
        <w:tabs>
          <w:tab w:leader="none" w:pos="216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the Company shall pay to the Executive, in a lump sum in cash on the Date of Termination, the Accrued Obligations;</w:t>
      </w:r>
    </w:p>
    <w:p>
      <w:pPr>
        <w:spacing w:after="0" w:line="171" w:lineRule="exact"/>
        <w:rPr>
          <w:rFonts w:ascii="Arial" w:cs="Arial" w:eastAsia="Arial" w:hAnsi="Arial"/>
          <w:sz w:val="18"/>
          <w:szCs w:val="18"/>
          <w:color w:val="auto"/>
        </w:rPr>
      </w:pPr>
    </w:p>
    <w:p>
      <w:pPr>
        <w:ind w:right="20" w:firstLine="1948"/>
        <w:spacing w:after="0" w:line="332" w:lineRule="auto"/>
        <w:tabs>
          <w:tab w:leader="none" w:pos="2222" w:val="left"/>
        </w:tabs>
        <w:numPr>
          <w:ilvl w:val="1"/>
          <w:numId w:val="152"/>
        </w:numPr>
        <w:rPr>
          <w:rFonts w:ascii="Arial" w:cs="Arial" w:eastAsia="Arial" w:hAnsi="Arial"/>
          <w:sz w:val="16"/>
          <w:szCs w:val="16"/>
          <w:color w:val="auto"/>
        </w:rPr>
      </w:pPr>
      <w:r>
        <w:rPr>
          <w:rFonts w:ascii="Arial" w:cs="Arial" w:eastAsia="Arial" w:hAnsi="Arial"/>
          <w:sz w:val="16"/>
          <w:szCs w:val="16"/>
          <w:color w:val="auto"/>
        </w:rPr>
        <w:t>during the Severance Period, the Company shall continue to pay to the Executive, in accordance with the Company’s regular payroll practices, the Executive’s highest annual base salary during the two-year period prior to the Date of Termination; and</w:t>
      </w:r>
    </w:p>
    <w:p>
      <w:pPr>
        <w:spacing w:after="0" w:line="85" w:lineRule="exact"/>
        <w:rPr>
          <w:rFonts w:ascii="Arial" w:cs="Arial" w:eastAsia="Arial" w:hAnsi="Arial"/>
          <w:sz w:val="16"/>
          <w:szCs w:val="16"/>
          <w:color w:val="auto"/>
        </w:rPr>
      </w:pPr>
    </w:p>
    <w:p>
      <w:pPr>
        <w:jc w:val="both"/>
        <w:ind w:firstLine="1948"/>
        <w:spacing w:after="0" w:line="256" w:lineRule="auto"/>
        <w:tabs>
          <w:tab w:leader="none" w:pos="226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during the Severance Period, the Company shall continue to provide to the Executive and the Executive’s family those benefits which would have been provided to them if the Executive’s employment had not been terminated, in accordance with the applicable Benefit Plans in effect on the Date of Termination (to the extent such health benefits can be provided to non-employees, or to the extent such benefits cannot be provided to non-employees, then the cash equivalent thereof, based on the cost thereof to the Company, which</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03" w:name="page104"/>
    <w:bookmarkEnd w:id="103"/>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cash amount shall be paid proportionately over the Severance Period, monthly in advance); </w:t>
      </w:r>
      <w:r>
        <w:rPr>
          <w:rFonts w:ascii="Arial" w:cs="Arial" w:eastAsia="Arial" w:hAnsi="Arial"/>
          <w:sz w:val="18"/>
          <w:szCs w:val="18"/>
          <w:u w:val="single" w:color="auto"/>
          <w:color w:val="auto"/>
        </w:rPr>
        <w:t>provided</w:t>
      </w:r>
      <w:r>
        <w:rPr>
          <w:rFonts w:ascii="Arial" w:cs="Arial" w:eastAsia="Arial" w:hAnsi="Arial"/>
          <w:sz w:val="18"/>
          <w:szCs w:val="18"/>
          <w:color w:val="auto"/>
        </w:rPr>
        <w:t>, however: (1) that if the Executive becomes reemployed with another employer and is eligible to receive a particular type of benefits (e.g., health insurance benefits) from such employer on terms at least as favorable to the Executive and his family as those being provided by the Company, then the Company shall no longer be required to provide those particular benefits to the Executive and his family; and (2) to the extent that such payments are taxable to the Executive and/or extend beyond the COBRA continuation period, then such payments shall be made monthly in advance.</w:t>
      </w:r>
    </w:p>
    <w:p>
      <w:pPr>
        <w:spacing w:after="0" w:line="143" w:lineRule="exact"/>
        <w:rPr>
          <w:sz w:val="20"/>
          <w:szCs w:val="20"/>
          <w:color w:val="auto"/>
        </w:rPr>
      </w:pPr>
    </w:p>
    <w:p>
      <w:pPr>
        <w:jc w:val="both"/>
        <w:ind w:firstLine="1492"/>
        <w:spacing w:after="0" w:line="256" w:lineRule="auto"/>
        <w:tabs>
          <w:tab w:leader="none" w:pos="1722"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Other Terminations</w:t>
      </w:r>
      <w:r>
        <w:rPr>
          <w:rFonts w:ascii="Arial" w:cs="Arial" w:eastAsia="Arial" w:hAnsi="Arial"/>
          <w:sz w:val="18"/>
          <w:szCs w:val="18"/>
          <w:color w:val="auto"/>
        </w:rPr>
        <w:t>. If, following the Change in Control Date, the Executive’s employment with the Company is terminated other than under the circumstances described in Section 4.2(a) or Section 4.2(b), then the Company shall (i) pay the Executive (or his estate, if applicable), in a lump sum in cash on the Date of Termination, the Accrued Obligations and (ii) to the extent not previously paid or provided, timely pay or provide to the Executive the Other Benefits , the distribution of which shall be subject to the provisions of Section 4.7.</w:t>
      </w:r>
    </w:p>
    <w:p>
      <w:pPr>
        <w:spacing w:after="0" w:line="143" w:lineRule="exact"/>
        <w:rPr>
          <w:rFonts w:ascii="Arial" w:cs="Arial" w:eastAsia="Arial" w:hAnsi="Arial"/>
          <w:sz w:val="18"/>
          <w:szCs w:val="18"/>
          <w:color w:val="auto"/>
        </w:rPr>
      </w:pPr>
    </w:p>
    <w:p>
      <w:pPr>
        <w:jc w:val="both"/>
        <w:ind w:firstLine="1492"/>
        <w:spacing w:after="0" w:line="259" w:lineRule="auto"/>
        <w:tabs>
          <w:tab w:leader="none" w:pos="1746"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Subject to Section 4.7, the Company agrees to reimburse the Executive for all legal and other fees and expenses that the Executive reasonably incurs as a result of any claim or dispute regarding the benefits due to the Executive pursuant to this Section 4.2 if the Executive prevails in such claim or dispute.</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Section 280G Provisions</w:t>
      </w:r>
      <w:r>
        <w:rPr>
          <w:rFonts w:ascii="Arial" w:cs="Arial" w:eastAsia="Arial" w:hAnsi="Arial"/>
          <w:sz w:val="18"/>
          <w:szCs w:val="18"/>
          <w:color w:val="auto"/>
        </w:rPr>
        <w:t>.</w:t>
      </w:r>
    </w:p>
    <w:p>
      <w:pPr>
        <w:spacing w:after="0" w:line="90" w:lineRule="exact"/>
        <w:rPr>
          <w:sz w:val="20"/>
          <w:szCs w:val="20"/>
          <w:color w:val="auto"/>
        </w:rPr>
      </w:pPr>
    </w:p>
    <w:p>
      <w:pPr>
        <w:jc w:val="both"/>
        <w:ind w:firstLine="1492"/>
        <w:spacing w:after="0" w:line="291" w:lineRule="auto"/>
        <w:tabs>
          <w:tab w:leader="none" w:pos="1728" w:val="left"/>
        </w:tabs>
        <w:numPr>
          <w:ilvl w:val="0"/>
          <w:numId w:val="154"/>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in the event that the Company undergoes a Change in Ownership or Control (as defined below), the Company shall not be obligated to provide to the Executive a portion of any Contingent Compensation Payments (as defined below) that the Executive would otherwise be entitled to receive to the extent necessary to eliminate Excess Parachute Payments (as defined below) for the Executive, except as set forth in Section 4.3(b). For purposes of this Section 4.3, the Contingent Compensation Payments so eliminated shall be referred to as the “Eliminated Payments” and the aggregate amount (determined in accordance with Treasury Regulation Section 1.280G-1, Q/A-30 or any successor provision) of the Contingent Compensation Payments so eliminated shall be referred to as the “Eliminated Amount.”</w:t>
      </w:r>
    </w:p>
    <w:p>
      <w:pPr>
        <w:spacing w:after="0" w:line="120" w:lineRule="exact"/>
        <w:rPr>
          <w:rFonts w:ascii="Arial" w:cs="Arial" w:eastAsia="Arial" w:hAnsi="Arial"/>
          <w:sz w:val="16"/>
          <w:szCs w:val="16"/>
          <w:color w:val="auto"/>
        </w:rPr>
      </w:pPr>
    </w:p>
    <w:p>
      <w:pPr>
        <w:jc w:val="both"/>
        <w:ind w:firstLine="1492"/>
        <w:spacing w:after="0" w:line="253" w:lineRule="auto"/>
        <w:tabs>
          <w:tab w:leader="none" w:pos="175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Notwithstanding the provisions of Section 4.3(a), no such reduction in Contingent Compensation Payments shall be made if (i) the Eliminated Amount (computed without regard to this sentence) exceeds (ii) 110% of the aggregate present value (determined in accordance with Treasury Regulation Section 1.280G-1, Q/A-31, Q/A-32, Q/A-33 or any successor provisions) of the amount of any additional taxes that would be incurred by the Executive if the Eliminated Payments (determined without regard to this sentence) were paid to him (including, state and federal income taxes on the Eliminated Payments, the excise tax imposed by Section 4999 of the Internal Revenue Code of 1986, as amended (the “Code”, which term shall include applicable Treasury Regulations), payable with respect to all of the Contingent Compensation Payments in excess of the Executive’s “base amount” (as defined in Section 280G(b)(3) of the Code), and any withholding taxes). The override of such reduction in Contingent Compensation Payments pursuant to this Section 4.3(b) shall be referred to as a</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04" w:name="page105"/>
    <w:bookmarkEnd w:id="104"/>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4.3(b) Override.” For purposes of this paragraph, if any federal, state or local income taxes would be attributable to the receipt of any Eliminated Payment, the amount of such taxes shall be computed by multiplying the amount of the Eliminated Payment by the maximum combined federal, state and local income tax rate provided by law.</w:t>
      </w:r>
    </w:p>
    <w:p>
      <w:pPr>
        <w:spacing w:after="0" w:line="140" w:lineRule="exact"/>
        <w:rPr>
          <w:sz w:val="20"/>
          <w:szCs w:val="20"/>
          <w:color w:val="auto"/>
        </w:rPr>
      </w:pPr>
    </w:p>
    <w:p>
      <w:pPr>
        <w:ind w:left="1740" w:hanging="248"/>
        <w:spacing w:after="0"/>
        <w:tabs>
          <w:tab w:leader="none" w:pos="17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For purposes of this Section 4.3 the following terms shall have the following respective meanings:</w:t>
      </w:r>
    </w:p>
    <w:p>
      <w:pPr>
        <w:spacing w:after="0" w:line="90" w:lineRule="exact"/>
        <w:rPr>
          <w:rFonts w:ascii="Arial" w:cs="Arial" w:eastAsia="Arial" w:hAnsi="Arial"/>
          <w:sz w:val="18"/>
          <w:szCs w:val="18"/>
          <w:color w:val="auto"/>
        </w:rPr>
      </w:pPr>
    </w:p>
    <w:p>
      <w:pPr>
        <w:ind w:firstLine="1948"/>
        <w:spacing w:after="0" w:line="268" w:lineRule="auto"/>
        <w:tabs>
          <w:tab w:leader="none" w:pos="2157" w:val="left"/>
        </w:tabs>
        <w:numPr>
          <w:ilvl w:val="1"/>
          <w:numId w:val="155"/>
        </w:numPr>
        <w:rPr>
          <w:rFonts w:ascii="Arial" w:cs="Arial" w:eastAsia="Arial" w:hAnsi="Arial"/>
          <w:sz w:val="18"/>
          <w:szCs w:val="18"/>
          <w:color w:val="auto"/>
        </w:rPr>
      </w:pPr>
      <w:r>
        <w:rPr>
          <w:rFonts w:ascii="Arial" w:cs="Arial" w:eastAsia="Arial" w:hAnsi="Arial"/>
          <w:sz w:val="18"/>
          <w:szCs w:val="18"/>
          <w:color w:val="auto"/>
        </w:rPr>
        <w:t>“Change in Ownership or Control” shall mean a change in the ownership or effective control of the Company or in the ownership of a substantial portion of the assets of the Company determined in accordance with Section 280G(b)(2) of the Code.</w:t>
      </w:r>
    </w:p>
    <w:p>
      <w:pPr>
        <w:spacing w:after="0" w:line="131" w:lineRule="exact"/>
        <w:rPr>
          <w:rFonts w:ascii="Arial" w:cs="Arial" w:eastAsia="Arial" w:hAnsi="Arial"/>
          <w:sz w:val="18"/>
          <w:szCs w:val="18"/>
          <w:color w:val="auto"/>
        </w:rPr>
      </w:pPr>
    </w:p>
    <w:p>
      <w:pPr>
        <w:jc w:val="both"/>
        <w:ind w:firstLine="1948"/>
        <w:spacing w:after="0" w:line="259" w:lineRule="auto"/>
        <w:tabs>
          <w:tab w:leader="none" w:pos="2216" w:val="left"/>
        </w:tabs>
        <w:numPr>
          <w:ilvl w:val="1"/>
          <w:numId w:val="155"/>
        </w:numPr>
        <w:rPr>
          <w:rFonts w:ascii="Arial" w:cs="Arial" w:eastAsia="Arial" w:hAnsi="Arial"/>
          <w:sz w:val="18"/>
          <w:szCs w:val="18"/>
          <w:color w:val="auto"/>
        </w:rPr>
      </w:pPr>
      <w:r>
        <w:rPr>
          <w:rFonts w:ascii="Arial" w:cs="Arial" w:eastAsia="Arial" w:hAnsi="Arial"/>
          <w:sz w:val="18"/>
          <w:szCs w:val="18"/>
          <w:color w:val="auto"/>
        </w:rPr>
        <w:t>“Contingent Compensation Payment” shall mean any payment (or benefit) in the nature of compensation that is made or made available (under this Agreement or otherwise) to a “disqualified individual” (as defined in Section 280G(c) of the Code) and that is contingent (within the meaning of Section 280G(b)(2)(A)(i) of the Code) on a Change in Ownership or Control of the Company.</w:t>
      </w:r>
    </w:p>
    <w:p>
      <w:pPr>
        <w:spacing w:after="0" w:line="140" w:lineRule="exact"/>
        <w:rPr>
          <w:rFonts w:ascii="Arial" w:cs="Arial" w:eastAsia="Arial" w:hAnsi="Arial"/>
          <w:sz w:val="18"/>
          <w:szCs w:val="18"/>
          <w:color w:val="auto"/>
        </w:rPr>
      </w:pPr>
    </w:p>
    <w:p>
      <w:pPr>
        <w:ind w:left="2260" w:hanging="312"/>
        <w:spacing w:after="0"/>
        <w:tabs>
          <w:tab w:leader="none" w:pos="226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“Excess Parachute Payment” shall mean a payment described in Section 280G(b)(1) of the Code.</w:t>
      </w:r>
    </w:p>
    <w:p>
      <w:pPr>
        <w:spacing w:after="0" w:line="171" w:lineRule="exact"/>
        <w:rPr>
          <w:rFonts w:ascii="Arial" w:cs="Arial" w:eastAsia="Arial" w:hAnsi="Arial"/>
          <w:sz w:val="18"/>
          <w:szCs w:val="18"/>
          <w:color w:val="auto"/>
        </w:rPr>
      </w:pPr>
    </w:p>
    <w:p>
      <w:pPr>
        <w:jc w:val="both"/>
        <w:ind w:firstLine="1492"/>
        <w:spacing w:after="0" w:line="259" w:lineRule="auto"/>
        <w:tabs>
          <w:tab w:leader="none" w:pos="1746"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Any payments or other benefits otherwise due to the Executive following a Change in Ownership or Control that could reasonably be characterized (as determined by the Company) as Contingent Compensation Payments (the “Potential Payments”) shall not be made until the dates provided for in this Section 4.3(d).</w:t>
      </w:r>
    </w:p>
    <w:p>
      <w:pPr>
        <w:spacing w:after="0" w:line="59" w:lineRule="exact"/>
        <w:rPr>
          <w:rFonts w:ascii="Arial" w:cs="Arial" w:eastAsia="Arial" w:hAnsi="Arial"/>
          <w:sz w:val="18"/>
          <w:szCs w:val="18"/>
          <w:color w:val="auto"/>
        </w:rPr>
      </w:pPr>
    </w:p>
    <w:p>
      <w:pPr>
        <w:jc w:val="both"/>
        <w:ind w:firstLine="1948"/>
        <w:spacing w:after="0" w:line="253" w:lineRule="auto"/>
        <w:tabs>
          <w:tab w:leader="none" w:pos="2179" w:val="left"/>
        </w:tabs>
        <w:numPr>
          <w:ilvl w:val="1"/>
          <w:numId w:val="155"/>
        </w:numPr>
        <w:rPr>
          <w:rFonts w:ascii="Arial" w:cs="Arial" w:eastAsia="Arial" w:hAnsi="Arial"/>
          <w:sz w:val="18"/>
          <w:szCs w:val="18"/>
          <w:color w:val="auto"/>
        </w:rPr>
      </w:pPr>
      <w:r>
        <w:rPr>
          <w:rFonts w:ascii="Arial" w:cs="Arial" w:eastAsia="Arial" w:hAnsi="Arial"/>
          <w:sz w:val="18"/>
          <w:szCs w:val="18"/>
          <w:color w:val="auto"/>
        </w:rPr>
        <w:t>In the event that the Company undergoes a Change in Ownership or Control, and the Executive becomes entitled to receive Contingent Compensation Payments relating to such Change in Ownership or Control, the Company shall (A) determine at such time or times as may be necessary to comply with the requirements under Section 280G of the Code whether such Contingent Compensation Payments constitute in whole or in part Excess Parachute Payments and (B) in the event the Company determines that such Contingent Compensation Payments constitute in whole or in part Excess Parachute Payments, notify the Executive (within 30 days after each such determination and with reasonable detail regarding the basis for its determinations) of the following: (1) which Potential Payments constitute Contingent Compensation Payments, (2) the Eliminated Amount and (3) whether the Section 4.3(b) Override is applicable.</w:t>
      </w:r>
    </w:p>
    <w:p>
      <w:pPr>
        <w:spacing w:after="0" w:line="147" w:lineRule="exact"/>
        <w:rPr>
          <w:rFonts w:ascii="Arial" w:cs="Arial" w:eastAsia="Arial" w:hAnsi="Arial"/>
          <w:sz w:val="18"/>
          <w:szCs w:val="18"/>
          <w:color w:val="auto"/>
        </w:rPr>
      </w:pPr>
    </w:p>
    <w:p>
      <w:pPr>
        <w:jc w:val="both"/>
        <w:ind w:firstLine="1948"/>
        <w:spacing w:after="0" w:line="256" w:lineRule="auto"/>
        <w:tabs>
          <w:tab w:leader="none" w:pos="2233" w:val="left"/>
        </w:tabs>
        <w:numPr>
          <w:ilvl w:val="1"/>
          <w:numId w:val="155"/>
        </w:numPr>
        <w:rPr>
          <w:rFonts w:ascii="Arial" w:cs="Arial" w:eastAsia="Arial" w:hAnsi="Arial"/>
          <w:sz w:val="18"/>
          <w:szCs w:val="18"/>
          <w:color w:val="auto"/>
        </w:rPr>
      </w:pPr>
      <w:r>
        <w:rPr>
          <w:rFonts w:ascii="Arial" w:cs="Arial" w:eastAsia="Arial" w:hAnsi="Arial"/>
          <w:sz w:val="18"/>
          <w:szCs w:val="18"/>
          <w:color w:val="auto"/>
        </w:rPr>
        <w:t>Within 30 days after delivery of such notice to the Executive, the Executive shall deliver a response to the Company (the “Executive Response”) stating either (A) that he agrees with the Company’s determination pursuant to the preceding sentence, or (B) that he disagrees with such determination, in which case he shall set forth (1) which Potential Payments should be characterized as Contingent Compensation Payments, (2) the Eliminated Amount, or (3) whether the Section 4.3(b) Override is applicable.</w:t>
      </w:r>
    </w:p>
    <w:p>
      <w:pPr>
        <w:spacing w:after="0" w:line="143" w:lineRule="exact"/>
        <w:rPr>
          <w:rFonts w:ascii="Arial" w:cs="Arial" w:eastAsia="Arial" w:hAnsi="Arial"/>
          <w:sz w:val="18"/>
          <w:szCs w:val="18"/>
          <w:color w:val="auto"/>
        </w:rPr>
      </w:pPr>
    </w:p>
    <w:p>
      <w:pPr>
        <w:ind w:right="20" w:firstLine="1948"/>
        <w:spacing w:after="0" w:line="332" w:lineRule="auto"/>
        <w:tabs>
          <w:tab w:leader="none" w:pos="226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If and to the extent that any Contingent Compensation Payments are required to be treated as Eliminated Payments pursuant to this Section 4.3, then the Payments shall be reduced or eliminated, as determined by the Company, in the following order:</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05" w:name="page106"/>
    <w:bookmarkEnd w:id="105"/>
    <w:p>
      <w:pPr>
        <w:jc w:val="both"/>
        <w:ind w:firstLine="8"/>
        <w:spacing w:after="0" w:line="259" w:lineRule="auto"/>
        <w:tabs>
          <w:tab w:leader="none" w:pos="292" w:val="left"/>
        </w:tabs>
        <w:numPr>
          <w:ilvl w:val="0"/>
          <w:numId w:val="1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cash payments, (B) any taxable benefits, (C) any nontaxable benefits, and (D) any vesting of equity awards, in each case in reverse order beginning with payments or benefits that are to be paid the farthest in time from the date that triggers the applicability of the excise tax, to the extent necessary to maximize the Eliminated Payments.</w:t>
      </w:r>
    </w:p>
    <w:p>
      <w:pPr>
        <w:spacing w:after="0" w:line="140" w:lineRule="exact"/>
        <w:rPr>
          <w:rFonts w:ascii="Arial" w:cs="Arial" w:eastAsia="Arial" w:hAnsi="Arial"/>
          <w:sz w:val="18"/>
          <w:szCs w:val="18"/>
          <w:color w:val="auto"/>
        </w:rPr>
      </w:pPr>
    </w:p>
    <w:p>
      <w:pPr>
        <w:jc w:val="both"/>
        <w:ind w:firstLine="1948"/>
        <w:spacing w:after="0" w:line="256" w:lineRule="auto"/>
        <w:tabs>
          <w:tab w:leader="none" w:pos="2244" w:val="left"/>
        </w:tabs>
        <w:numPr>
          <w:ilvl w:val="1"/>
          <w:numId w:val="156"/>
        </w:numPr>
        <w:rPr>
          <w:rFonts w:ascii="Arial" w:cs="Arial" w:eastAsia="Arial" w:hAnsi="Arial"/>
          <w:sz w:val="18"/>
          <w:szCs w:val="18"/>
          <w:color w:val="auto"/>
        </w:rPr>
      </w:pPr>
      <w:r>
        <w:rPr>
          <w:rFonts w:ascii="Arial" w:cs="Arial" w:eastAsia="Arial" w:hAnsi="Arial"/>
          <w:sz w:val="18"/>
          <w:szCs w:val="18"/>
          <w:color w:val="auto"/>
        </w:rPr>
        <w:t>If the Executive fails to deliver an Executive Response on or before the required date, the Company’s initial determinations shall be final, and the Company shall make the Potential Payments (other than the Eliminated Payments) to the Executive within 10 business days following the due date for delivery to the Company of the Executive Response (except for any Potential Payments which are not due to be made until after such date, which Potential Payments shall be made on the date on which they are due).</w:t>
      </w:r>
    </w:p>
    <w:p>
      <w:pPr>
        <w:spacing w:after="0" w:line="143" w:lineRule="exact"/>
        <w:rPr>
          <w:rFonts w:ascii="Arial" w:cs="Arial" w:eastAsia="Arial" w:hAnsi="Arial"/>
          <w:sz w:val="18"/>
          <w:szCs w:val="18"/>
          <w:color w:val="auto"/>
        </w:rPr>
      </w:pPr>
    </w:p>
    <w:p>
      <w:pPr>
        <w:jc w:val="both"/>
        <w:ind w:firstLine="1948"/>
        <w:spacing w:after="0" w:line="255" w:lineRule="auto"/>
        <w:tabs>
          <w:tab w:leader="none" w:pos="2222" w:val="left"/>
        </w:tabs>
        <w:numPr>
          <w:ilvl w:val="1"/>
          <w:numId w:val="156"/>
        </w:numPr>
        <w:rPr>
          <w:rFonts w:ascii="Arial" w:cs="Arial" w:eastAsia="Arial" w:hAnsi="Arial"/>
          <w:sz w:val="18"/>
          <w:szCs w:val="18"/>
          <w:color w:val="auto"/>
        </w:rPr>
      </w:pPr>
      <w:r>
        <w:rPr>
          <w:rFonts w:ascii="Arial" w:cs="Arial" w:eastAsia="Arial" w:hAnsi="Arial"/>
          <w:sz w:val="18"/>
          <w:szCs w:val="18"/>
          <w:color w:val="auto"/>
        </w:rPr>
        <w:t>If the Executive states in the Executive Response that he agrees with the Company’s determinations, the Company’s initial determinations shall be final, the Contingent Compensation Payments that shall be treated as Eliminated Payments shall be as set forth in the Executive Response, and the Company shall make the Potential Payments (other than the Eliminated Payments) to the Executive within 10 business days following delivery to the Company of the Executive Response (except for any Potential Payments which are not due to be made until after such date, which Potential Payments shall be made on the date on which they are due).</w:t>
      </w:r>
    </w:p>
    <w:p>
      <w:pPr>
        <w:spacing w:after="0" w:line="142" w:lineRule="exact"/>
        <w:rPr>
          <w:rFonts w:ascii="Arial" w:cs="Arial" w:eastAsia="Arial" w:hAnsi="Arial"/>
          <w:sz w:val="18"/>
          <w:szCs w:val="18"/>
          <w:color w:val="auto"/>
        </w:rPr>
      </w:pPr>
    </w:p>
    <w:p>
      <w:pPr>
        <w:jc w:val="both"/>
        <w:ind w:firstLine="1948"/>
        <w:spacing w:after="0" w:line="289" w:lineRule="auto"/>
        <w:tabs>
          <w:tab w:leader="none" w:pos="2249" w:val="left"/>
        </w:tabs>
        <w:numPr>
          <w:ilvl w:val="1"/>
          <w:numId w:val="156"/>
        </w:numPr>
        <w:rPr>
          <w:rFonts w:ascii="Arial" w:cs="Arial" w:eastAsia="Arial" w:hAnsi="Arial"/>
          <w:sz w:val="16"/>
          <w:szCs w:val="16"/>
          <w:color w:val="auto"/>
        </w:rPr>
      </w:pPr>
      <w:r>
        <w:rPr>
          <w:rFonts w:ascii="Arial" w:cs="Arial" w:eastAsia="Arial" w:hAnsi="Arial"/>
          <w:sz w:val="16"/>
          <w:szCs w:val="16"/>
          <w:color w:val="auto"/>
        </w:rPr>
        <w:t>If the Executive states in the Executive Response that he disagrees with the Company’s determinations, then, for a period of 60 days following delivery of the Executive Response, the Executive and the Company shall use good faith efforts to resolve such dispute. If such dispute is not resolved within such 60-day period, such dispute shall be settled exclusively by arbitration in Boston, Massachusetts, in accordance with the rules of the American Arbitration Association then in effect. Judgment may be entered on the arbitrator’s award in any court having jurisdiction. The Company shall, within 10 business days following delivery to the Company of the Executive Response, make to the Executive those Potential Payments as to which there is no dispute between the Company and the Executive regarding whether they should be made (except for any such Potential Payments which are not due to be made until after such date, which Potential Payments shall be made on the date on which they are due). The balance of the Potential Payments (other than Eliminated Payments) shall be made within 10 business days following the resolution of such dispute.</w:t>
      </w:r>
    </w:p>
    <w:p>
      <w:pPr>
        <w:spacing w:after="0" w:line="118" w:lineRule="exact"/>
        <w:rPr>
          <w:rFonts w:ascii="Arial" w:cs="Arial" w:eastAsia="Arial" w:hAnsi="Arial"/>
          <w:sz w:val="16"/>
          <w:szCs w:val="16"/>
          <w:color w:val="auto"/>
        </w:rPr>
      </w:pPr>
    </w:p>
    <w:p>
      <w:pPr>
        <w:jc w:val="both"/>
        <w:ind w:firstLine="1948"/>
        <w:spacing w:after="0" w:line="259" w:lineRule="auto"/>
        <w:tabs>
          <w:tab w:leader="none" w:pos="2297" w:val="left"/>
        </w:tabs>
        <w:numPr>
          <w:ilvl w:val="1"/>
          <w:numId w:val="156"/>
        </w:numPr>
        <w:rPr>
          <w:rFonts w:ascii="Arial" w:cs="Arial" w:eastAsia="Arial" w:hAnsi="Arial"/>
          <w:sz w:val="18"/>
          <w:szCs w:val="18"/>
          <w:color w:val="auto"/>
        </w:rPr>
      </w:pPr>
      <w:r>
        <w:rPr>
          <w:rFonts w:ascii="Arial" w:cs="Arial" w:eastAsia="Arial" w:hAnsi="Arial"/>
          <w:sz w:val="18"/>
          <w:szCs w:val="18"/>
          <w:color w:val="auto"/>
        </w:rPr>
        <w:t>Subject to the limitations contained in Sections 4.3(a) and (b) hereof, the amount of any payments to be made to the Executive following the resolution of such dispute shall be increased by amount of the accrued interest thereon computed at the prime rate announced from time to time by Bank of America, compounded monthly from the date that such payments originally were due.</w:t>
      </w:r>
    </w:p>
    <w:p>
      <w:pPr>
        <w:spacing w:after="0" w:line="140" w:lineRule="exact"/>
        <w:rPr>
          <w:rFonts w:ascii="Arial" w:cs="Arial" w:eastAsia="Arial" w:hAnsi="Arial"/>
          <w:sz w:val="18"/>
          <w:szCs w:val="18"/>
          <w:color w:val="auto"/>
        </w:rPr>
      </w:pPr>
    </w:p>
    <w:p>
      <w:pPr>
        <w:jc w:val="both"/>
        <w:ind w:firstLine="1948"/>
        <w:spacing w:after="0" w:line="298" w:lineRule="auto"/>
        <w:tabs>
          <w:tab w:leader="none" w:pos="2353" w:val="left"/>
        </w:tabs>
        <w:numPr>
          <w:ilvl w:val="1"/>
          <w:numId w:val="156"/>
        </w:numPr>
        <w:rPr>
          <w:rFonts w:ascii="Arial" w:cs="Arial" w:eastAsia="Arial" w:hAnsi="Arial"/>
          <w:sz w:val="16"/>
          <w:szCs w:val="16"/>
          <w:color w:val="auto"/>
        </w:rPr>
      </w:pPr>
      <w:r>
        <w:rPr>
          <w:rFonts w:ascii="Arial" w:cs="Arial" w:eastAsia="Arial" w:hAnsi="Arial"/>
          <w:sz w:val="16"/>
          <w:szCs w:val="16"/>
          <w:color w:val="auto"/>
        </w:rPr>
        <w:t>In the event the Company is required to perform a redetermination in accordance with Treas. Reg. 1.280G-1 Q/A-33(b) with respect to any Contingent Compensation Payments, this Section 4.3(d) shall apply with respect to such redetermination and the parties shall make such adjustments as may be necessary as a result of such redetermination including, if appropriate, the payment by the Company of Contingent Compensation Payments previously treated as Eliminated Payments if the Section 4.3(b) Override applies as a result of such redetermination.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06" w:name="page107"/>
    <w:bookmarkEnd w:id="106"/>
    <w:p>
      <w:pPr>
        <w:ind w:firstLine="1492"/>
        <w:spacing w:after="0" w:line="332" w:lineRule="auto"/>
        <w:tabs>
          <w:tab w:leader="none" w:pos="1752" w:val="left"/>
        </w:tabs>
        <w:numPr>
          <w:ilvl w:val="0"/>
          <w:numId w:val="15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provisions of this Section 4.3 are intended to apply to any and all payments or benefits available to the Executive under this Agreement or any other agreement or plan of the Company under which the Executive receives Contingent Compensation Payments.</w:t>
      </w:r>
    </w:p>
    <w:p>
      <w:pPr>
        <w:spacing w:after="0" w:line="85" w:lineRule="exact"/>
        <w:rPr>
          <w:sz w:val="20"/>
          <w:szCs w:val="20"/>
          <w:color w:val="auto"/>
        </w:rPr>
      </w:pPr>
    </w:p>
    <w:p>
      <w:pPr>
        <w:jc w:val="both"/>
        <w:ind w:firstLine="913"/>
        <w:spacing w:after="0" w:line="273"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Release</w:t>
      </w:r>
      <w:r>
        <w:rPr>
          <w:rFonts w:ascii="Arial" w:cs="Arial" w:eastAsia="Arial" w:hAnsi="Arial"/>
          <w:sz w:val="16"/>
          <w:szCs w:val="16"/>
          <w:color w:val="auto"/>
        </w:rPr>
        <w:t xml:space="preserve">. The obligation of the Company to make the payments and provide the benefits to the Executive under Section 4.1(a), Section 4.2(a) or Section 4.2(b) is conditioned upon the Executive signing a release of claims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or such other form as may be agreed to by the Company and the Executive (the “Employee Release”), within 21 days (the “Release Period”) following the Date of Termination and upon the Executive not revoking the Employee Release in a timely manner thereafter. Provided that the Employee Release has become binding, the payments to the Executive under</w:t>
      </w:r>
    </w:p>
    <w:p>
      <w:pPr>
        <w:jc w:val="both"/>
        <w:spacing w:after="0" w:line="230" w:lineRule="auto"/>
        <w:rPr>
          <w:sz w:val="20"/>
          <w:szCs w:val="20"/>
          <w:color w:val="auto"/>
        </w:rPr>
      </w:pPr>
      <w:r>
        <w:rPr>
          <w:rFonts w:ascii="Arial" w:cs="Arial" w:eastAsia="Arial" w:hAnsi="Arial"/>
          <w:sz w:val="18"/>
          <w:szCs w:val="18"/>
          <w:color w:val="auto"/>
        </w:rPr>
        <w:t>Section 4.1(a), Section 4.2(a) or Section 4.2(b) shall be payable or shall commence on the 30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following the Date of Termination. Notwithstanding the foregoing, the provisions of benefits under Section 4.1(a)(iii), Section 4.2(a)(iii) or Section 4.2(b)(iii) shall continue during the Release Period and any applicable revocation period.</w:t>
      </w:r>
    </w:p>
    <w:p>
      <w:pPr>
        <w:spacing w:after="0" w:line="185"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Exclusive Severance Benefits</w:t>
      </w:r>
      <w:r>
        <w:rPr>
          <w:rFonts w:ascii="Arial" w:cs="Arial" w:eastAsia="Arial" w:hAnsi="Arial"/>
          <w:sz w:val="18"/>
          <w:szCs w:val="18"/>
          <w:color w:val="auto"/>
        </w:rPr>
        <w:t>. The making of the payments and the provision of the benefits by the Company to the Executive under Section 4.1(a), Section 4.2(a) or Section 4.2(b) shall constitute the entire obligation of the Company to the Executive as a result of the termination of his employment under the circumstances set forth in such Sections, and the Executive shall not be entitled to additional payments or benefits under any other plan, program, policy, practice, contract or agreement of the Company or its subsidiaries.</w:t>
      </w:r>
    </w:p>
    <w:p>
      <w:pPr>
        <w:spacing w:after="0" w:line="143"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Mitigation</w:t>
      </w:r>
      <w:r>
        <w:rPr>
          <w:rFonts w:ascii="Arial" w:cs="Arial" w:eastAsia="Arial" w:hAnsi="Arial"/>
          <w:sz w:val="18"/>
          <w:szCs w:val="18"/>
          <w:color w:val="auto"/>
        </w:rPr>
        <w:t>. The Executive shall not be required to mitigate the amount of any payment or benefits provided for in Section 4.1(a), Section 4.2(a) or Section 4.2(b) by seeking other employment or otherwise. Further, except as provided in Section 4.1(a)(iii), Section 4.2(a)(iii) or Section 4.2(b)(iii), the amount of any payment or benefits provided for in Section 4.1(a), Section 4.2(a) or Section 4.2(b) shall not be reduced by any compensation earned or benefits received by the Executive as a result of employment by another employer.</w:t>
      </w:r>
    </w:p>
    <w:p>
      <w:pPr>
        <w:spacing w:after="0" w:line="143"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Section 409A</w:t>
      </w:r>
      <w:r>
        <w:rPr>
          <w:rFonts w:ascii="Arial" w:cs="Arial" w:eastAsia="Arial" w:hAnsi="Arial"/>
          <w:sz w:val="16"/>
          <w:szCs w:val="16"/>
          <w:color w:val="auto"/>
        </w:rPr>
        <w:t>. Subject to this Section 4.7, any severance payments or benefits under this Agreement shall begin only upon the date of the Executive’s “separation from service” (as determined below), which occurs on or after the date of the Executive’s termination. The following rules shall apply with respect to distribution of the payments and benefits, if any, to be provided to the Executive under Sections 4.1 or 4.2, as applicable:</w:t>
      </w:r>
    </w:p>
    <w:p>
      <w:pPr>
        <w:spacing w:after="0" w:line="26" w:lineRule="exact"/>
        <w:rPr>
          <w:sz w:val="20"/>
          <w:szCs w:val="20"/>
          <w:color w:val="auto"/>
        </w:rPr>
      </w:pPr>
    </w:p>
    <w:p>
      <w:pPr>
        <w:jc w:val="both"/>
        <w:ind w:firstLine="1492"/>
        <w:spacing w:after="0" w:line="256" w:lineRule="auto"/>
        <w:tabs>
          <w:tab w:leader="none" w:pos="1748"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It is intended that each installment of the payments and benefits provided under Sections 4.1 and 4.2 shall be treated as a separate “payment” for purposes of Section 409A of the U.S. Internal Revenue Code of 1986, as amended, and the guidance issued thereunder (“Section 409A”). Neither the Company nor the Executive shall have the right to accelerate or defer the delivery of any such payments or benefits except to the extent specifically permitted or required by Section 409A;</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07" w:name="page108"/>
    <w:bookmarkEnd w:id="107"/>
    <w:p>
      <w:pPr>
        <w:jc w:val="both"/>
        <w:ind w:firstLine="1492"/>
        <w:spacing w:after="0" w:line="259" w:lineRule="auto"/>
        <w:tabs>
          <w:tab w:leader="none" w:pos="1739" w:val="left"/>
        </w:tabs>
        <w:numPr>
          <w:ilvl w:val="0"/>
          <w:numId w:val="1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as of the date of the “separation from service” of the Executive from the Company (within the meaning of Section 4.7(d) below), the Executive is not a “specified employee” (within the meaning of Section 409A), then each installment of the payments and benefits shall be made on the dates and terms set forth in Sections 4.1 or 4.2, as applicable; and</w:t>
      </w:r>
    </w:p>
    <w:p>
      <w:pPr>
        <w:spacing w:after="0" w:line="140" w:lineRule="exact"/>
        <w:rPr>
          <w:rFonts w:ascii="Arial" w:cs="Arial" w:eastAsia="Arial" w:hAnsi="Arial"/>
          <w:sz w:val="18"/>
          <w:szCs w:val="18"/>
          <w:color w:val="auto"/>
        </w:rPr>
      </w:pPr>
    </w:p>
    <w:p>
      <w:pPr>
        <w:ind w:left="1740" w:hanging="248"/>
        <w:spacing w:after="0"/>
        <w:tabs>
          <w:tab w:leader="none" w:pos="174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If, as of the date of the separation from service of the Executive from the Company, the Executive is a specified employee, then:</w:t>
      </w:r>
    </w:p>
    <w:p>
      <w:pPr>
        <w:spacing w:after="0" w:line="113" w:lineRule="exact"/>
        <w:rPr>
          <w:rFonts w:ascii="Arial" w:cs="Arial" w:eastAsia="Arial" w:hAnsi="Arial"/>
          <w:sz w:val="16"/>
          <w:szCs w:val="16"/>
          <w:color w:val="auto"/>
        </w:rPr>
      </w:pPr>
    </w:p>
    <w:p>
      <w:pPr>
        <w:jc w:val="both"/>
        <w:ind w:firstLine="1948"/>
        <w:spacing w:after="0" w:line="256" w:lineRule="auto"/>
        <w:tabs>
          <w:tab w:leader="none" w:pos="2158" w:val="left"/>
        </w:tabs>
        <w:numPr>
          <w:ilvl w:val="1"/>
          <w:numId w:val="159"/>
        </w:numPr>
        <w:rPr>
          <w:rFonts w:ascii="Arial" w:cs="Arial" w:eastAsia="Arial" w:hAnsi="Arial"/>
          <w:sz w:val="18"/>
          <w:szCs w:val="18"/>
          <w:color w:val="auto"/>
        </w:rPr>
      </w:pPr>
      <w:r>
        <w:rPr>
          <w:rFonts w:ascii="Arial" w:cs="Arial" w:eastAsia="Arial" w:hAnsi="Arial"/>
          <w:sz w:val="18"/>
          <w:szCs w:val="18"/>
          <w:color w:val="auto"/>
        </w:rPr>
        <w:t>Each installment of the payments and benefits due under Sections 4.1 or 4.2 that, in accordance with the dates and terms set forth herein, will in all circumstances, regardless of when the separation from service occurs, be paid within the short-term deferral period (as defined under Section 409A) shall be treated as a short-term deferral within the meaning of Treasury Regulation Section 1.409A-1(b)(4) to the maximum extent permissible under Section 409A.</w:t>
      </w:r>
    </w:p>
    <w:p>
      <w:pPr>
        <w:spacing w:after="0" w:line="143" w:lineRule="exact"/>
        <w:rPr>
          <w:rFonts w:ascii="Arial" w:cs="Arial" w:eastAsia="Arial" w:hAnsi="Arial"/>
          <w:sz w:val="18"/>
          <w:szCs w:val="18"/>
          <w:color w:val="auto"/>
        </w:rPr>
      </w:pPr>
    </w:p>
    <w:p>
      <w:pPr>
        <w:jc w:val="both"/>
        <w:ind w:firstLine="1948"/>
        <w:spacing w:after="0" w:line="287" w:lineRule="auto"/>
        <w:tabs>
          <w:tab w:leader="none" w:pos="2208" w:val="left"/>
        </w:tabs>
        <w:numPr>
          <w:ilvl w:val="1"/>
          <w:numId w:val="159"/>
        </w:numPr>
        <w:rPr>
          <w:rFonts w:ascii="Arial" w:cs="Arial" w:eastAsia="Arial" w:hAnsi="Arial"/>
          <w:sz w:val="16"/>
          <w:szCs w:val="16"/>
          <w:color w:val="auto"/>
        </w:rPr>
      </w:pPr>
      <w:r>
        <w:rPr>
          <w:rFonts w:ascii="Arial" w:cs="Arial" w:eastAsia="Arial" w:hAnsi="Arial"/>
          <w:sz w:val="16"/>
          <w:szCs w:val="16"/>
          <w:color w:val="auto"/>
        </w:rPr>
        <w:t xml:space="preserve">Each installment of the payments and benefits due under Sections 4.1 or 4.2 that is not described in Section 4.7(c)(i), above, and that would, absent this subsection, be paid within the six-month period following the separation from service of the Executive from the Company shall not be paid until the date that is six months and one day after such separation from service (or, if earlier, the Executive’s death), with any such installments that are required to be delayed being accumulated during the six-month period and paid in a lump sum on the date that is six months and one day following the Executive’s separation from service and any subsequent installments, if any, being paid in accordance with the dates and terms set forth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preceding provisions of this sentence shall not apply to any installment of payments and benefits if and to the maximum extent that that such installment is deemed to be paid under a separation pay plan that does not provide for a deferral of compensation by reason of the application of Treasury Regulation Section 1.409A-1(b)(9)(iii) (relating to separation pay upon an involuntary separation from service). Any installments that qualify for the exception under Treasury Regulation Section 1.409A-1(b)(9)(iii) must be paid no later than the last day of the Executive’s second taxable year following his taxable year in which the separation from service occurs.</w:t>
      </w:r>
    </w:p>
    <w:p>
      <w:pPr>
        <w:spacing w:after="0" w:line="122" w:lineRule="exact"/>
        <w:rPr>
          <w:rFonts w:ascii="Arial" w:cs="Arial" w:eastAsia="Arial" w:hAnsi="Arial"/>
          <w:sz w:val="16"/>
          <w:szCs w:val="16"/>
          <w:color w:val="auto"/>
        </w:rPr>
      </w:pPr>
    </w:p>
    <w:p>
      <w:pPr>
        <w:jc w:val="both"/>
        <w:ind w:firstLine="1492"/>
        <w:spacing w:after="0" w:line="306" w:lineRule="auto"/>
        <w:tabs>
          <w:tab w:leader="none" w:pos="1758"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determination of whether and when a separation from service from the Company has occurred shall be made and in a manner consistent with, and based on the presumptions set forth in, Treasury Regulation Section 1.409A-1(h). Solely for purposes of this Section 4.7(d), “Company” shall include all persons with whom the Company would be considered a single employer as determined under Treasury Regulation Section 1.409A-1(h)(3).</w:t>
      </w:r>
    </w:p>
    <w:p>
      <w:pPr>
        <w:spacing w:after="0" w:line="106" w:lineRule="exact"/>
        <w:rPr>
          <w:rFonts w:ascii="Arial" w:cs="Arial" w:eastAsia="Arial" w:hAnsi="Arial"/>
          <w:sz w:val="16"/>
          <w:szCs w:val="16"/>
          <w:color w:val="auto"/>
        </w:rPr>
      </w:pPr>
    </w:p>
    <w:p>
      <w:pPr>
        <w:jc w:val="both"/>
        <w:ind w:firstLine="1492"/>
        <w:spacing w:after="0" w:line="291" w:lineRule="auto"/>
        <w:tabs>
          <w:tab w:leader="none" w:pos="1722" w:val="left"/>
        </w:tabs>
        <w:numPr>
          <w:ilvl w:val="0"/>
          <w:numId w:val="159"/>
        </w:numPr>
        <w:rPr>
          <w:rFonts w:ascii="Arial" w:cs="Arial" w:eastAsia="Arial" w:hAnsi="Arial"/>
          <w:sz w:val="16"/>
          <w:szCs w:val="16"/>
          <w:color w:val="auto"/>
        </w:rPr>
      </w:pPr>
      <w:r>
        <w:rPr>
          <w:rFonts w:ascii="Arial" w:cs="Arial" w:eastAsia="Arial" w:hAnsi="Arial"/>
          <w:sz w:val="16"/>
          <w:szCs w:val="16"/>
          <w:color w:val="auto"/>
        </w:rPr>
        <w:t>All reimbursements and in-kind benefits provided under the Agreement shall be made or provided in accordance with the requirements of Section 409A to the extent that such reimbursements or in-kind benefits are subject to Section 409A, including, where applicable, the requirement that (i) any reimbursement is for expenses incurred during the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08" w:name="page109"/>
    <w:bookmarkEnd w:id="108"/>
    <w:p>
      <w:pPr>
        <w:jc w:val="both"/>
        <w:ind w:firstLine="1492"/>
        <w:spacing w:after="0" w:line="259" w:lineRule="auto"/>
        <w:tabs>
          <w:tab w:leader="none" w:pos="1713" w:val="left"/>
        </w:tabs>
        <w:numPr>
          <w:ilvl w:val="1"/>
          <w:numId w:val="1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makes no representation or warranty and shall have no liability to the Executive or any other person if any provisions of this Agreement are determined to constitute deferred compensation subject to Section 409A and do not satisfy an exemption from, or the conditions of, Section 409A.</w:t>
      </w:r>
    </w:p>
    <w:p>
      <w:pPr>
        <w:spacing w:after="0" w:line="140" w:lineRule="exact"/>
        <w:rPr>
          <w:rFonts w:ascii="Arial" w:cs="Arial" w:eastAsia="Arial" w:hAnsi="Arial"/>
          <w:sz w:val="18"/>
          <w:szCs w:val="18"/>
          <w:color w:val="auto"/>
        </w:rPr>
      </w:pPr>
    </w:p>
    <w:p>
      <w:pPr>
        <w:jc w:val="both"/>
        <w:ind w:firstLine="464"/>
        <w:spacing w:after="0" w:line="255" w:lineRule="auto"/>
        <w:tabs>
          <w:tab w:leader="none" w:pos="632"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Settlement of Disputes; Arbitration</w:t>
      </w:r>
      <w:r>
        <w:rPr>
          <w:rFonts w:ascii="Arial" w:cs="Arial" w:eastAsia="Arial" w:hAnsi="Arial"/>
          <w:sz w:val="18"/>
          <w:szCs w:val="18"/>
          <w:color w:val="auto"/>
        </w:rPr>
        <w:t>. All claims by the Executive for benefits under this Agreement shall be directed to the Board and shall be in writing. Any denial by the Board of a claim for benefits under this Agreement shall be delivered to the Executive in writing and shall set forth the reasons for the denial and the provisions of this Agreement relied upon. Any further dispute or controversy arising under or in connection with this Agreement shall be settled exclusively by arbitration in Boston, Massachusetts, in accordance with the rules of the American Arbitration Association then in effect. Judgment may be entered on the arbitrator’s award in any court having jurisdiction.</w:t>
      </w:r>
    </w:p>
    <w:p>
      <w:pPr>
        <w:spacing w:after="0" w:line="142" w:lineRule="exact"/>
        <w:rPr>
          <w:rFonts w:ascii="Arial" w:cs="Arial" w:eastAsia="Arial" w:hAnsi="Arial"/>
          <w:sz w:val="18"/>
          <w:szCs w:val="18"/>
          <w:color w:val="auto"/>
        </w:rPr>
      </w:pPr>
    </w:p>
    <w:p>
      <w:pPr>
        <w:ind w:left="640" w:hanging="176"/>
        <w:spacing w:after="0"/>
        <w:tabs>
          <w:tab w:leader="none" w:pos="640"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Successors</w:t>
      </w:r>
      <w:r>
        <w:rPr>
          <w:rFonts w:ascii="Arial" w:cs="Arial" w:eastAsia="Arial" w:hAnsi="Arial"/>
          <w:sz w:val="18"/>
          <w:szCs w:val="18"/>
          <w:color w:val="auto"/>
        </w:rPr>
        <w:t>. This Agreement shall be binding upon the Company and its successors and assigns. This Agreement shall inure to the benefit of and be enforceable by the Executive’s personal or legal representatives, executors, administrators, successors, heirs, distributees, devisees and legatees. If the Executive should die while any amount would still be payable to the Executive or his family hereunder if the Executive had continued to live, all such amounts, unless otherwise provided herein, shall be paid in accordance with the terms of this Agreement to the executors, personal representatives or administrators of the Executive’s estate.</w:t>
      </w:r>
    </w:p>
    <w:p>
      <w:pPr>
        <w:spacing w:after="0" w:line="143" w:lineRule="exact"/>
        <w:rPr>
          <w:sz w:val="20"/>
          <w:szCs w:val="20"/>
          <w:color w:val="auto"/>
        </w:rPr>
      </w:pPr>
    </w:p>
    <w:p>
      <w:pPr>
        <w:jc w:val="both"/>
        <w:ind w:firstLine="913"/>
        <w:spacing w:after="0" w:line="289"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Notice</w:t>
      </w:r>
      <w:r>
        <w:rPr>
          <w:rFonts w:ascii="Arial" w:cs="Arial" w:eastAsia="Arial" w:hAnsi="Arial"/>
          <w:sz w:val="16"/>
          <w:szCs w:val="16"/>
          <w:color w:val="auto"/>
        </w:rPr>
        <w:t>. All notices, instructions and other communications given hereunder or in connection herewith shall be in writing. Any such notice, instruction or communication shall be sent either (i) by registered or certified mail, return receipt requested, postage prepaid, or (ii) prepaid via a reputable nationwide overnight courier service, in each case addressed to the Company, at 64 Jackson Road, Devens, Massachusetts 01434, and to the Executive at the Executive’s address indicated on the signature page of this Agreement (or to such other address as either the Company or the Executive may have furnished to the other in writing in accordance herewith). Any such notice, instruction or communication shall be deemed to have been delivered five business days after it is sent by registered or certified mail, return receipt requested, postage prepaid, or one business day after it is sent via a reputable nationwide overnight courier service. Either party may give any notice, instruction or other communication hereunder using any other means, but no such notice, instruction or other communication shall be deemed to have been duly delivered unless and until it actually is received by the party for whom it is intended.</w:t>
      </w:r>
    </w:p>
    <w:p>
      <w:pPr>
        <w:spacing w:after="0" w:line="118"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Employment by Subsidiary</w:t>
      </w:r>
      <w:r>
        <w:rPr>
          <w:rFonts w:ascii="Arial" w:cs="Arial" w:eastAsia="Arial" w:hAnsi="Arial"/>
          <w:sz w:val="18"/>
          <w:szCs w:val="18"/>
          <w:color w:val="auto"/>
        </w:rPr>
        <w:t>. For purposes of this Agreement, the Executive’s employment with the Company shall not be deemed to have terminated solely as a result of the Executive continuing to be employed by a wholly-owned subsidiary of the Company.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09" w:name="page110"/>
    <w:bookmarkEnd w:id="109"/>
    <w:p>
      <w:pPr>
        <w:jc w:val="both"/>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6.4 </w:t>
      </w: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of this Agreement shall not affect the validity or enforceability of any other provision of this Agreement, which shall remain in full force and effect.</w:t>
      </w:r>
    </w:p>
    <w:p>
      <w:pPr>
        <w:spacing w:after="0" w:line="132"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interpretation, construction and performance of this Agreement shall be governed by the internal laws of the Commonwealth of Massachusetts, without regard to conflicts of law principles.</w:t>
      </w:r>
    </w:p>
    <w:p>
      <w:pPr>
        <w:spacing w:after="0" w:line="132"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Waivers</w:t>
      </w:r>
      <w:r>
        <w:rPr>
          <w:rFonts w:ascii="Arial" w:cs="Arial" w:eastAsia="Arial" w:hAnsi="Arial"/>
          <w:sz w:val="18"/>
          <w:szCs w:val="18"/>
          <w:color w:val="auto"/>
        </w:rPr>
        <w:t>. No waiver by the Executive at any time of any breach of, or compliance with, any provision of this Agreement to be performed by the Company shall be deemed a waiver of that or any other provision at any subsequent time.</w:t>
      </w:r>
    </w:p>
    <w:p>
      <w:pPr>
        <w:spacing w:after="0" w:line="132"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to be an original but both of which together shall constitute one and the same instrument.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Tax Withholding</w:t>
      </w:r>
      <w:r>
        <w:rPr>
          <w:rFonts w:ascii="Arial" w:cs="Arial" w:eastAsia="Arial" w:hAnsi="Arial"/>
          <w:sz w:val="16"/>
          <w:szCs w:val="16"/>
          <w:color w:val="auto"/>
        </w:rPr>
        <w:t>. Any payments provided for hereunder shall be paid net of any applicable tax withholding required under federal, state or local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165" w:lineRule="exact"/>
        <w:rPr>
          <w:sz w:val="20"/>
          <w:szCs w:val="20"/>
          <w:color w:val="auto"/>
        </w:rPr>
      </w:pPr>
    </w:p>
    <w:p>
      <w:pPr>
        <w:jc w:val="both"/>
        <w:ind w:firstLine="913"/>
        <w:spacing w:after="0" w:line="254"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sets forth the entire agreement of the parties hereto in respect of the subject matter contained herein and supersedes all prior agreements, promises, covenants, arrangements, communications, representations or warranties, whether oral or written, by any officer, employee or representative of any party hereto in respect of the subject matter contained herein; and any prior agreement of the parties hereto in respect of the subject matter contained herein is hereby terminated and cancelled. Notwithstanding the foregoing, the provisions of any stock option agreements between the Company and the Executive (including any terms thereof relating to acceleration of vesting) shall not be superseded by or modified by the terms of this Agreement.</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Amendments</w:t>
      </w:r>
      <w:r>
        <w:rPr>
          <w:rFonts w:ascii="Arial" w:cs="Arial" w:eastAsia="Arial" w:hAnsi="Arial"/>
          <w:sz w:val="16"/>
          <w:szCs w:val="16"/>
          <w:color w:val="auto"/>
        </w:rPr>
        <w:t>. This Agreement may be amended or modified only by a written instrument executed by both the Company and the Executive.</w:t>
      </w:r>
    </w:p>
    <w:p>
      <w:pPr>
        <w:spacing w:after="0" w:line="194"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Executive’s Acknowledgements</w:t>
      </w:r>
      <w:r>
        <w:rPr>
          <w:rFonts w:ascii="Arial" w:cs="Arial" w:eastAsia="Arial" w:hAnsi="Arial"/>
          <w:sz w:val="16"/>
          <w:szCs w:val="16"/>
          <w:color w:val="auto"/>
        </w:rPr>
        <w:t>. The Executive acknowledges that he: (a) has read this Agreement; (b) has been represented in the preparation, negotiation, and execution of this Agreement by legal counsel of the Executive’s own choice or has voluntarily declined to seek such counsel; (c) understands the terms and consequences of this Agreement; and (d) understands that the law firm of Wilmer Cutler Pickering Hale and Dorr LLP is acting as counsel to the Company in connection with the transactions contemplated by this Agreement, and is not acting as counsel for the Executive.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executed this Agreement as of the day and year first set forth above.</w:t>
      </w:r>
    </w:p>
    <w:p>
      <w:pPr>
        <w:spacing w:after="0" w:line="212" w:lineRule="exact"/>
        <w:rPr>
          <w:sz w:val="20"/>
          <w:szCs w:val="20"/>
          <w:color w:val="auto"/>
        </w:rPr>
      </w:pPr>
    </w:p>
    <w:p>
      <w:pPr>
        <w:jc w:val="right"/>
        <w:ind w:right="680"/>
        <w:spacing w:after="0"/>
        <w:rPr>
          <w:sz w:val="20"/>
          <w:szCs w:val="20"/>
          <w:color w:val="auto"/>
        </w:rPr>
      </w:pPr>
      <w:r>
        <w:rPr>
          <w:rFonts w:ascii="Arial" w:cs="Arial" w:eastAsia="Arial" w:hAnsi="Arial"/>
          <w:sz w:val="18"/>
          <w:szCs w:val="18"/>
          <w:color w:val="auto"/>
        </w:rPr>
        <w:t>AMERICAN SUPERCONDUCTOR CORPORATION</w:t>
      </w:r>
    </w:p>
    <w:p>
      <w:pPr>
        <w:spacing w:after="0" w:line="225" w:lineRule="exact"/>
        <w:rPr>
          <w:sz w:val="20"/>
          <w:szCs w:val="20"/>
          <w:color w:val="auto"/>
        </w:rPr>
      </w:pPr>
    </w:p>
    <w:tbl>
      <w:tblPr>
        <w:tblLayout w:type="fixed"/>
        <w:tblInd w:w="6400" w:type="dxa"/>
        <w:tblCellMar>
          <w:top w:w="0" w:type="dxa"/>
          <w:left w:w="0" w:type="dxa"/>
          <w:bottom w:w="0" w:type="dxa"/>
          <w:right w:w="0" w:type="dxa"/>
        </w:tblCellMar>
      </w:tblPr>
      <w:tr>
        <w:trPr>
          <w:trHeight w:val="223"/>
        </w:trPr>
        <w:tc>
          <w:tcPr>
            <w:tcW w:w="860" w:type="dxa"/>
            <w:vAlign w:val="bottom"/>
          </w:tcPr>
          <w:p>
            <w:pPr>
              <w:spacing w:after="0"/>
              <w:rPr>
                <w:sz w:val="20"/>
                <w:szCs w:val="20"/>
                <w:color w:val="auto"/>
              </w:rPr>
            </w:pPr>
            <w:r>
              <w:rPr>
                <w:rFonts w:ascii="Arial" w:cs="Arial" w:eastAsia="Arial" w:hAnsi="Arial"/>
                <w:sz w:val="18"/>
                <w:szCs w:val="18"/>
                <w:color w:val="auto"/>
              </w:rPr>
              <w:t>Signature:</w:t>
            </w: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Yurek</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Print name: Gregory Yurek</w:t>
            </w:r>
          </w:p>
        </w:tc>
      </w:tr>
      <w:tr>
        <w:trPr>
          <w:trHeight w:val="222"/>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EXECUTIVE</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Signature:</w:t>
            </w:r>
          </w:p>
        </w:tc>
        <w:tc>
          <w:tcPr>
            <w:tcW w:w="3700" w:type="dxa"/>
            <w:vAlign w:val="bottom"/>
          </w:tcPr>
          <w:p>
            <w:pPr>
              <w:spacing w:after="0"/>
              <w:rPr>
                <w:sz w:val="20"/>
                <w:szCs w:val="20"/>
                <w:color w:val="auto"/>
              </w:rPr>
            </w:pPr>
            <w:r>
              <w:rPr>
                <w:rFonts w:ascii="Arial" w:cs="Arial" w:eastAsia="Arial" w:hAnsi="Arial"/>
                <w:sz w:val="18"/>
                <w:szCs w:val="18"/>
                <w:color w:val="auto"/>
              </w:rPr>
              <w:t>/s/ Angelo R. Santamaria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1270</wp:posOffset>
            </wp:positionV>
            <wp:extent cx="23495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Print name: Angelo R. Santamaria</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Address:</w:t>
      </w:r>
    </w:p>
    <w:p>
      <w:pPr>
        <w:spacing w:after="0" w:line="11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 American Superconductor Corporation</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64 Jackson Road</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Devens, MA 01434</w:t>
      </w:r>
    </w:p>
    <w:p>
      <w:pPr>
        <w:spacing w:after="0" w:line="15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700" w:top="280"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RELEASE</w:t>
      </w:r>
    </w:p>
    <w:p>
      <w:pPr>
        <w:spacing w:after="0" w:line="171"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In consideration of the payment to me of the severance benefits pursuant to Section 4.1(a), 4.2(a) or 4.2(b) of my Amended and Restated Executive</w:t>
      </w:r>
    </w:p>
    <w:p>
      <w:pPr>
        <w:spacing w:after="0" w:line="38" w:lineRule="exact"/>
        <w:rPr>
          <w:sz w:val="20"/>
          <w:szCs w:val="20"/>
          <w:color w:val="auto"/>
        </w:rPr>
      </w:pPr>
    </w:p>
    <w:p>
      <w:pPr>
        <w:spacing w:after="0"/>
        <w:tabs>
          <w:tab w:leader="none" w:pos="7320" w:val="left"/>
          <w:tab w:leader="none" w:pos="7560" w:val="left"/>
          <w:tab w:leader="none" w:pos="8100" w:val="left"/>
        </w:tabs>
        <w:rPr>
          <w:sz w:val="20"/>
          <w:szCs w:val="20"/>
          <w:color w:val="auto"/>
        </w:rPr>
      </w:pPr>
      <w:r>
        <w:rPr>
          <w:rFonts w:ascii="Arial" w:cs="Arial" w:eastAsia="Arial" w:hAnsi="Arial"/>
          <w:sz w:val="18"/>
          <w:szCs w:val="18"/>
          <w:color w:val="auto"/>
        </w:rPr>
        <w:t>Severance Agreement with American Superconductor Corporation (the “Company”) dated</w:t>
      </w:r>
      <w:r>
        <w:rPr>
          <w:sz w:val="20"/>
          <w:szCs w:val="20"/>
          <w:color w:val="auto"/>
        </w:rPr>
        <w:tab/>
      </w:r>
      <w:r>
        <w:rPr>
          <w:rFonts w:ascii="Arial" w:cs="Arial" w:eastAsia="Arial" w:hAnsi="Arial"/>
          <w:sz w:val="18"/>
          <w:szCs w:val="18"/>
          <w:color w:val="auto"/>
        </w:rPr>
        <w:t>[</w:t>
        <w:tab/>
        <w:t>], 20</w:t>
      </w:r>
      <w:r>
        <w:rPr>
          <w:sz w:val="20"/>
          <w:szCs w:val="20"/>
          <w:color w:val="auto"/>
        </w:rPr>
        <w:tab/>
      </w:r>
      <w:r>
        <w:rPr>
          <w:rFonts w:ascii="Arial" w:cs="Arial" w:eastAsia="Arial" w:hAnsi="Arial"/>
          <w:sz w:val="16"/>
          <w:szCs w:val="16"/>
          <w:color w:val="auto"/>
        </w:rPr>
        <w:t>(the “Agreement”), I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4076065</wp:posOffset>
            </wp:positionH>
            <wp:positionV relativeFrom="paragraph">
              <wp:posOffset>-17780</wp:posOffset>
            </wp:positionV>
            <wp:extent cx="104965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49655" cy="8890"/>
                    </a:xfrm>
                    <a:prstGeom prst="rect">
                      <a:avLst/>
                    </a:prstGeom>
                    <a:noFill/>
                  </pic:spPr>
                </pic:pic>
              </a:graphicData>
            </a:graphic>
          </wp:anchor>
        </w:drawing>
      </w:r>
    </w:p>
    <w:p>
      <w:pPr>
        <w:spacing w:after="0" w:line="64" w:lineRule="exact"/>
        <w:rPr>
          <w:sz w:val="20"/>
          <w:szCs w:val="20"/>
          <w:color w:val="auto"/>
        </w:rPr>
      </w:pPr>
    </w:p>
    <w:p>
      <w:pPr>
        <w:jc w:val="both"/>
        <w:ind w:firstLine="8"/>
        <w:spacing w:after="0" w:line="285" w:lineRule="auto"/>
        <w:tabs>
          <w:tab w:leader="none" w:pos="208" w:val="left"/>
        </w:tabs>
        <w:numPr>
          <w:ilvl w:val="0"/>
          <w:numId w:val="162"/>
        </w:numPr>
        <w:rPr>
          <w:rFonts w:ascii="Arial" w:cs="Arial" w:eastAsia="Arial" w:hAnsi="Arial"/>
          <w:sz w:val="16"/>
          <w:szCs w:val="16"/>
          <w:color w:val="auto"/>
        </w:rPr>
      </w:pPr>
      <w:r>
        <w:rPr>
          <w:rFonts w:ascii="Arial" w:cs="Arial" w:eastAsia="Arial" w:hAnsi="Arial"/>
          <w:sz w:val="16"/>
          <w:szCs w:val="16"/>
          <w:color w:val="auto"/>
        </w:rPr>
        <w:t>I, on behalf of myself and my representatives, agents, estate, heirs, successors and assigns, hereby irrevocably and unconditionally release, remise and discharge the Company, its officers, directors, stockholders, affiliates (within the meaning of the Securities Act of 1933), attorneys, agents and employees, and their respective predecessors, successors and assigns (collectively, the “Company Releasees”), from any and all actions or causes of action, suits, claims, complaints, liabilities, contracts, torts, debts, damages, controversies, rights and demands, whether existing or contingent, known or unknown, arising up to and through the date of this Release out of my employment, or the termination of my employment, with the Company, including, but not limited to, all employment discrimination claims under the Age Discrimination in Employment Act, 29 U.S.C. §621 et seq., Title VII of the Civil Rights Act of 1964, 42 U.S.C. § 2000e et seq., the Americans With Disabilities Act of 1990, 42 U.S.C. § 12101 et seq., the Family and Medical Leave Act, 29 U.S.C. § 2601 et seq., the Worker Adjustment and Retraining Notification Act (“WARN”), 29 U.S.C. § 2101 et seq., the Massachusetts Fair Employment Practices Act, M.G.L. c.151B, § 1 et seq., the Massachusetts Civil Rights Act, M.G.L. c.12, §§ 11H and 11I, the Massachusetts Equal Rights Act, M.G.L. c.93, § 102 and M.G.L. c.214, § 1C, the Massachusetts Labor and Industries Act, M.G.L. c.149, § 1 et seq., and the Massachusetts Privacy Act, M.G.L. c.214, § 1B, all as amended, and all claims arising out of the Fair Credit Reporting Act, 15 U.S.C. § 1681 et seq. and the Employee Retirement Income Security Act of 1974 (“ERISA”), 29 U.S.C. § 1001 et seq., all as amended; and all claims to any non-vested ownership interest in the Company, contractual or otherwise, including, but not limited to, claims to stock or stock options. Notwithstanding the foregoing, (a) nothing in this Release prevents me from filing, cooperating with, or participating in any proceeding before the EEOC or a state Fair Employment Practices Agency (except that I acknowledge that I may not recover any monetary benefits in connection with any such claim, charge or proceeding), (b) this Release does not extend to any rights I have that arise after the date hereof under the Agreement and (c) this Release does not extend to any rights I may have to indemnification as an officer or director of the Company under the provisions of the Company’s By-laws or applicable law.</w:t>
      </w:r>
    </w:p>
    <w:p>
      <w:pPr>
        <w:spacing w:after="0" w:line="123" w:lineRule="exact"/>
        <w:rPr>
          <w:rFonts w:ascii="Arial" w:cs="Arial" w:eastAsia="Arial" w:hAnsi="Arial"/>
          <w:sz w:val="16"/>
          <w:szCs w:val="16"/>
          <w:color w:val="auto"/>
        </w:rPr>
      </w:pPr>
    </w:p>
    <w:p>
      <w:pPr>
        <w:ind w:right="20" w:firstLine="8"/>
        <w:spacing w:after="0" w:line="268" w:lineRule="auto"/>
        <w:tabs>
          <w:tab w:leader="none" w:pos="179"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 have been advised by the Company to consult with counsel before signing this Release, and have been given the opportunity to consult with my own counsel prior to signing this Release.</w:t>
      </w:r>
    </w:p>
    <w:p>
      <w:pPr>
        <w:spacing w:after="0" w:line="131" w:lineRule="exact"/>
        <w:rPr>
          <w:rFonts w:ascii="Arial" w:cs="Arial" w:eastAsia="Arial" w:hAnsi="Arial"/>
          <w:sz w:val="18"/>
          <w:szCs w:val="18"/>
          <w:color w:val="auto"/>
        </w:rPr>
      </w:pPr>
    </w:p>
    <w:p>
      <w:pPr>
        <w:ind w:left="180" w:hanging="172"/>
        <w:spacing w:after="0"/>
        <w:tabs>
          <w:tab w:leader="none" w:pos="1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 have been given up to twenty-one (21) days from the receipt of this Release to consider whether to execute this Release.</w:t>
      </w:r>
    </w:p>
    <w:p>
      <w:pPr>
        <w:spacing w:after="0" w:line="171" w:lineRule="exact"/>
        <w:rPr>
          <w:rFonts w:ascii="Arial" w:cs="Arial" w:eastAsia="Arial" w:hAnsi="Arial"/>
          <w:sz w:val="18"/>
          <w:szCs w:val="18"/>
          <w:color w:val="auto"/>
        </w:rPr>
      </w:pPr>
    </w:p>
    <w:p>
      <w:pPr>
        <w:jc w:val="both"/>
        <w:ind w:firstLine="8"/>
        <w:spacing w:after="0" w:line="259" w:lineRule="auto"/>
        <w:tabs>
          <w:tab w:leader="none" w:pos="179"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 have been advised that even after I sign this Release, I may revoke it within seven (7) days of the date of my signing by delivering a signed revocation notice to the Secretary of the Company. Delivery by ordinary mail will effectively revoke my assent to this Release if it is postmarked no later than seven days after I sign this Release.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12" w:name="page113"/>
    <w:bookmarkEnd w:id="112"/>
    <w:p>
      <w:pPr>
        <w:ind w:left="172" w:hanging="172"/>
        <w:spacing w:after="0"/>
        <w:tabs>
          <w:tab w:leader="none" w:pos="172" w:val="left"/>
        </w:tabs>
        <w:numPr>
          <w:ilvl w:val="0"/>
          <w:numId w:val="1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Release shall not become effective and in force until eight days after I sign, provided I have not timely revoked my acceptance.</w:t>
      </w:r>
    </w:p>
    <w:p>
      <w:pPr>
        <w:spacing w:after="0" w:line="171" w:lineRule="exact"/>
        <w:rPr>
          <w:rFonts w:ascii="Arial" w:cs="Arial" w:eastAsia="Arial" w:hAnsi="Arial"/>
          <w:sz w:val="18"/>
          <w:szCs w:val="18"/>
          <w:color w:val="auto"/>
        </w:rPr>
      </w:pPr>
    </w:p>
    <w:p>
      <w:pPr>
        <w:ind w:left="172" w:hanging="172"/>
        <w:spacing w:after="0"/>
        <w:tabs>
          <w:tab w:leader="none" w:pos="172" w:val="left"/>
        </w:tabs>
        <w:numPr>
          <w:ilvl w:val="0"/>
          <w:numId w:val="163"/>
        </w:numPr>
        <w:rPr>
          <w:rFonts w:ascii="Arial" w:cs="Arial" w:eastAsia="Arial" w:hAnsi="Arial"/>
          <w:sz w:val="16"/>
          <w:szCs w:val="16"/>
          <w:color w:val="auto"/>
        </w:rPr>
      </w:pPr>
      <w:r>
        <w:rPr>
          <w:rFonts w:ascii="Arial" w:cs="Arial" w:eastAsia="Arial" w:hAnsi="Arial"/>
          <w:sz w:val="16"/>
          <w:szCs w:val="16"/>
          <w:color w:val="auto"/>
        </w:rPr>
        <w:t>I acknowledge and reaffirm my obligations under the American Superconductor Corporation Employee Nondisclosure and Developments Agreement.</w:t>
      </w:r>
    </w:p>
    <w:p>
      <w:pPr>
        <w:spacing w:after="0" w:line="194" w:lineRule="exact"/>
        <w:rPr>
          <w:rFonts w:ascii="Arial" w:cs="Arial" w:eastAsia="Arial" w:hAnsi="Arial"/>
          <w:sz w:val="16"/>
          <w:szCs w:val="16"/>
          <w:color w:val="auto"/>
        </w:rPr>
      </w:pPr>
    </w:p>
    <w:p>
      <w:pPr>
        <w:ind w:left="-8" w:firstLine="8"/>
        <w:spacing w:after="0" w:line="268" w:lineRule="auto"/>
        <w:tabs>
          <w:tab w:leader="none" w:pos="179" w:val="left"/>
        </w:tabs>
        <w:numPr>
          <w:ilvl w:val="0"/>
          <w:numId w:val="163"/>
        </w:numPr>
        <w:rPr>
          <w:rFonts w:ascii="Arial" w:cs="Arial" w:eastAsia="Arial" w:hAnsi="Arial"/>
          <w:sz w:val="18"/>
          <w:szCs w:val="18"/>
          <w:color w:val="auto"/>
        </w:rPr>
      </w:pPr>
      <w:r>
        <w:rPr>
          <w:rFonts w:ascii="Arial" w:cs="Arial" w:eastAsia="Arial" w:hAnsi="Arial"/>
          <w:sz w:val="18"/>
          <w:szCs w:val="18"/>
          <w:color w:val="auto"/>
        </w:rPr>
        <w:t>No representation, promise or inducement has been offered or made to induce me to enter into this Release, and I am competent to execute this Release and accept full responsibility therefor.</w:t>
      </w:r>
    </w:p>
    <w:p>
      <w:pPr>
        <w:spacing w:after="0" w:line="199"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4673600</wp:posOffset>
            </wp:positionH>
            <wp:positionV relativeFrom="paragraph">
              <wp:posOffset>-5715</wp:posOffset>
            </wp:positionV>
            <wp:extent cx="25730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24"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4973955</wp:posOffset>
            </wp:positionH>
            <wp:positionV relativeFrom="paragraph">
              <wp:posOffset>-5715</wp:posOffset>
            </wp:positionV>
            <wp:extent cx="227266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124"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Date of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5205730</wp:posOffset>
            </wp:positionH>
            <wp:positionV relativeFrom="paragraph">
              <wp:posOffset>-5715</wp:posOffset>
            </wp:positionV>
            <wp:extent cx="20408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13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92"/>
          </w:cols>
          <w:pgMar w:left="248" w:top="280" w:right="25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10.6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Amended and Restated Executive Severance Agreement</w:t>
      </w:r>
    </w:p>
    <w:p>
      <w:pPr>
        <w:spacing w:after="0" w:line="171"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AMENDED AND RESTATED</w:t>
      </w:r>
      <w:r>
        <w:rPr>
          <w:rFonts w:ascii="Arial" w:cs="Arial" w:eastAsia="Arial" w:hAnsi="Arial"/>
          <w:sz w:val="18"/>
          <w:szCs w:val="18"/>
          <w:color w:val="auto"/>
        </w:rPr>
        <w:t xml:space="preserve"> EXECUTIVE SEVERANCE AGREEMENT by and between American Superconductor Corporation, a Delaware corporation (the “Company”), and Daniel P. McGahn (the “Executive”) is made as of December 23, 2008 (the “Effective Date”).</w:t>
      </w:r>
    </w:p>
    <w:p>
      <w:pPr>
        <w:spacing w:after="0" w:line="132"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WHEREAS, the Board of Directors of the Company (the “Board”) has determined that appropriate steps should be taken to reinforce and encourage the continued employment and dedication of the Executive and to minimize the distraction from the possibility of an unwarranted termination of employment.</w:t>
      </w:r>
    </w:p>
    <w:p>
      <w:pPr>
        <w:spacing w:after="0" w:line="8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WHEREAS, the Company and the Executive acknowledge and agree that the benefits described in this Agreement are not intended to, and shall not, constitute a severance plan, and shall confer no benefit on anyone other than the parties hereto.</w:t>
      </w:r>
    </w:p>
    <w:p>
      <w:pPr>
        <w:spacing w:after="0" w:line="132"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WHEREAS, the Company and the Executive originally entered into this Executive Severance Agreement on January 24, 2008, and now desire to amend and restate it to reflect certain developments in the tax law.</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NOW, THEREFORE, as an inducement for and in consideration of the Executive remaining in its employ, the Company agrees that the Executive shall receive the severance benefits set forth in this Agreement in the event the Executive’s employment with the Company is terminated under the specific circumstances described below.</w:t>
      </w:r>
    </w:p>
    <w:p>
      <w:pPr>
        <w:spacing w:after="0" w:line="140" w:lineRule="exact"/>
        <w:rPr>
          <w:sz w:val="20"/>
          <w:szCs w:val="20"/>
          <w:color w:val="auto"/>
        </w:rPr>
      </w:pPr>
    </w:p>
    <w:p>
      <w:pPr>
        <w:ind w:left="640" w:hanging="176"/>
        <w:spacing w:after="0"/>
        <w:tabs>
          <w:tab w:leader="none" w:pos="640"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Key Definitions</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 the following terms shall have the following respective meanings: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an event or occurrence set forth in any one or more of subsections (a) through (c) below:</w:t>
      </w:r>
    </w:p>
    <w:p>
      <w:pPr>
        <w:spacing w:after="0" w:line="90" w:lineRule="exact"/>
        <w:rPr>
          <w:sz w:val="20"/>
          <w:szCs w:val="20"/>
          <w:color w:val="auto"/>
        </w:rPr>
      </w:pPr>
    </w:p>
    <w:p>
      <w:pPr>
        <w:jc w:val="both"/>
        <w:ind w:firstLine="1492"/>
        <w:spacing w:after="0" w:line="290" w:lineRule="auto"/>
        <w:tabs>
          <w:tab w:leader="none" w:pos="1735" w:val="left"/>
        </w:tabs>
        <w:numPr>
          <w:ilvl w:val="0"/>
          <w:numId w:val="165"/>
        </w:numPr>
        <w:rPr>
          <w:rFonts w:ascii="Arial" w:cs="Arial" w:eastAsia="Arial" w:hAnsi="Arial"/>
          <w:sz w:val="16"/>
          <w:szCs w:val="16"/>
          <w:color w:val="auto"/>
        </w:rPr>
      </w:pPr>
      <w:r>
        <w:rPr>
          <w:rFonts w:ascii="Arial" w:cs="Arial" w:eastAsia="Arial" w:hAnsi="Arial"/>
          <w:sz w:val="16"/>
          <w:szCs w:val="16"/>
          <w:color w:val="auto"/>
        </w:rPr>
        <w:t xml:space="preserve">the acquisition by an individual, entity or group (within the meaning of Section 13(d)(3) or 14(d)(2) of the Securities Exchange Act of 1934, as amended (the “Exchange Act”)) (a “Person”) of beneficial ownership of any capital stock of the Company if, after such acquisition, such Person beneficially owns (within the meaning of Rule 13d-3 promulgated under the Exchange Act) 50% or more of either (x) the then-outstanding shares of common stock of the Company (the “Outstanding Company Common Stock”) or (y) the combined voting power of the then-outstanding securities of the Company entitled to vote generally in the election of directors (the “Outstanding Company Voting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for purposes of this subsection (a), the following acquisitions shall not constitute a Change in Control: (i) any acquisition directly from the Company, or (ii) any acquisition by any employee benefit plan (or related trust) sponsored or maintained by the Company or any corporation controlled by the Company; or</w:t>
      </w:r>
    </w:p>
    <w:p>
      <w:pPr>
        <w:sectPr>
          <w:pgSz w:w="11900" w:h="16838" w:orient="portrait"/>
          <w:cols w:equalWidth="0" w:num="1">
            <w:col w:w="11420"/>
          </w:cols>
          <w:pgMar w:left="240" w:top="125" w:right="239" w:bottom="1440" w:gutter="0" w:footer="0" w:header="0"/>
        </w:sectPr>
      </w:pPr>
    </w:p>
    <w:bookmarkStart w:id="114" w:name="page115"/>
    <w:bookmarkEnd w:id="114"/>
    <w:p>
      <w:pPr>
        <w:jc w:val="both"/>
        <w:ind w:firstLine="1492"/>
        <w:spacing w:after="0" w:line="290" w:lineRule="auto"/>
        <w:tabs>
          <w:tab w:leader="none" w:pos="1738" w:val="left"/>
        </w:tabs>
        <w:numPr>
          <w:ilvl w:val="0"/>
          <w:numId w:val="16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Continuing Directors (as defined below) no longer constituting a majority of the Board (or, if applicable, the Board of Directors of a successor corporation to the Company), where the term “Continuing Director” means at any date a member of the Board (i) who was a member of the Board on the date of the execution of this Agreement or (ii) 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there shall be excluded from this clause (ii)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w:t>
      </w:r>
    </w:p>
    <w:p>
      <w:pPr>
        <w:spacing w:after="0" w:line="37" w:lineRule="exact"/>
        <w:rPr>
          <w:rFonts w:ascii="Arial" w:cs="Arial" w:eastAsia="Arial" w:hAnsi="Arial"/>
          <w:sz w:val="16"/>
          <w:szCs w:val="16"/>
          <w:color w:val="auto"/>
        </w:rPr>
      </w:pPr>
    </w:p>
    <w:p>
      <w:pPr>
        <w:jc w:val="both"/>
        <w:ind w:firstLine="1492"/>
        <w:spacing w:after="0" w:line="288" w:lineRule="auto"/>
        <w:tabs>
          <w:tab w:leader="none" w:pos="1737"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consummation of a merger, consolidation, reorganization, recapitalization or statutory share exchange involving the Company or a sale or other disposition of all or substantially all of the assets of the Company in one or a series of related transactions (a “Business Combination”), other than a Business Combination in which all or substantially all of the individuals and entities who were the beneficial owners of the Outstanding Company Common Stock and Outstanding Company Voting Securities immediately prior to such Business Combination beneficially own, directly or indirectly, immediately following such Business Combination, more than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respectively.</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 “</w:t>
      </w:r>
      <w:r>
        <w:rPr>
          <w:rFonts w:ascii="Arial" w:cs="Arial" w:eastAsia="Arial" w:hAnsi="Arial"/>
          <w:sz w:val="18"/>
          <w:szCs w:val="18"/>
          <w:u w:val="single" w:color="auto"/>
          <w:color w:val="auto"/>
        </w:rPr>
        <w:t>Change in Control Date</w:t>
      </w:r>
      <w:r>
        <w:rPr>
          <w:rFonts w:ascii="Arial" w:cs="Arial" w:eastAsia="Arial" w:hAnsi="Arial"/>
          <w:sz w:val="18"/>
          <w:szCs w:val="18"/>
          <w:color w:val="auto"/>
        </w:rPr>
        <w:t>” means the first date during the Term (as defined in Section 2) on which a Change in Control occurs.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1.3 “</w:t>
      </w:r>
      <w:r>
        <w:rPr>
          <w:rFonts w:ascii="Arial" w:cs="Arial" w:eastAsia="Arial" w:hAnsi="Arial"/>
          <w:sz w:val="18"/>
          <w:szCs w:val="18"/>
          <w:u w:val="single" w:color="auto"/>
          <w:color w:val="auto"/>
        </w:rPr>
        <w:t>Cause</w:t>
      </w:r>
      <w:r>
        <w:rPr>
          <w:rFonts w:ascii="Arial" w:cs="Arial" w:eastAsia="Arial" w:hAnsi="Arial"/>
          <w:sz w:val="18"/>
          <w:szCs w:val="18"/>
          <w:color w:val="auto"/>
        </w:rPr>
        <w:t>” means:</w:t>
      </w:r>
    </w:p>
    <w:p>
      <w:pPr>
        <w:spacing w:after="0" w:line="90" w:lineRule="exact"/>
        <w:rPr>
          <w:sz w:val="20"/>
          <w:szCs w:val="20"/>
          <w:color w:val="auto"/>
        </w:rPr>
      </w:pPr>
    </w:p>
    <w:p>
      <w:pPr>
        <w:jc w:val="both"/>
        <w:ind w:firstLine="1492"/>
        <w:spacing w:after="0" w:line="256" w:lineRule="auto"/>
        <w:tabs>
          <w:tab w:leader="none" w:pos="173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Executive’s failure to perform his reasonable assigned duties to the standards reasonably required by the Company (other than any such failure resulting from incapacity due to physical or mental illness), which failure is not cured within 30 days after a written notice is received by the Executive from the Company describing in reasonable detail the manner in which the Board of Directors believes the Executive has not performed the Executive’s duties to the standards reasonably required by the Company; or</w:t>
      </w:r>
    </w:p>
    <w:p>
      <w:pPr>
        <w:spacing w:after="0" w:line="62" w:lineRule="exact"/>
        <w:rPr>
          <w:rFonts w:ascii="Arial" w:cs="Arial" w:eastAsia="Arial" w:hAnsi="Arial"/>
          <w:sz w:val="18"/>
          <w:szCs w:val="18"/>
          <w:color w:val="auto"/>
        </w:rPr>
      </w:pPr>
    </w:p>
    <w:p>
      <w:pPr>
        <w:jc w:val="both"/>
        <w:ind w:firstLine="1492"/>
        <w:spacing w:after="0" w:line="259" w:lineRule="auto"/>
        <w:tabs>
          <w:tab w:leader="none" w:pos="1744"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Executive’s willful engagement in illegal conduct or gross misconduct that is materially injurious to the Company. For purposes of this Section 1.3(b), no act or failure to act by the Executive shall be considered “willful” unless it is done intentionally and without reasonable belief that the Executive’s action was in the best interests of the Company.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15" w:name="page116"/>
    <w:bookmarkEnd w:id="11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1.4 “</w:t>
      </w:r>
      <w:r>
        <w:rPr>
          <w:rFonts w:ascii="Arial" w:cs="Arial" w:eastAsia="Arial" w:hAnsi="Arial"/>
          <w:sz w:val="18"/>
          <w:szCs w:val="18"/>
          <w:u w:val="single" w:color="auto"/>
          <w:color w:val="auto"/>
        </w:rPr>
        <w:t>Good Reason</w:t>
      </w:r>
      <w:r>
        <w:rPr>
          <w:rFonts w:ascii="Arial" w:cs="Arial" w:eastAsia="Arial" w:hAnsi="Arial"/>
          <w:sz w:val="18"/>
          <w:szCs w:val="18"/>
          <w:color w:val="auto"/>
        </w:rPr>
        <w:t>” means the occurrence, without the Executive’s written consent, of any of the following events or circumstances:</w:t>
      </w:r>
    </w:p>
    <w:p>
      <w:pPr>
        <w:spacing w:after="0" w:line="90" w:lineRule="exact"/>
        <w:rPr>
          <w:sz w:val="20"/>
          <w:szCs w:val="20"/>
          <w:color w:val="auto"/>
        </w:rPr>
      </w:pPr>
    </w:p>
    <w:p>
      <w:pPr>
        <w:ind w:left="1740" w:hanging="248"/>
        <w:spacing w:after="0"/>
        <w:tabs>
          <w:tab w:leader="none" w:pos="17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 material diminution in the Executive’s base compensation; or</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 material diminution in the Executive’s authority, duties, or responsibilities; or</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 material change in the geographic location at which the Executive must perform his duties; or</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any other action or inaction of the Company which constitutes a material breach by the Company of this Agreement.</w:t>
      </w:r>
    </w:p>
    <w:p>
      <w:pPr>
        <w:spacing w:after="0" w:line="171"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Any termination by the Executive for Good Reason shall be communicated by means of a written notice delivered by the Executive to the Company within 90 days of the initial existence of the occurrence or condition on which the Executive bases his claim for Good Reason. If the condition is capable of being corrected, the Company shall have 30 days during which it may remedy the condition (the “</w:t>
      </w:r>
      <w:r>
        <w:rPr>
          <w:rFonts w:ascii="Arial" w:cs="Arial" w:eastAsia="Arial" w:hAnsi="Arial"/>
          <w:sz w:val="16"/>
          <w:szCs w:val="16"/>
          <w:u w:val="single" w:color="auto"/>
          <w:color w:val="auto"/>
        </w:rPr>
        <w:t>Cure Period</w:t>
      </w:r>
      <w:r>
        <w:rPr>
          <w:rFonts w:ascii="Arial" w:cs="Arial" w:eastAsia="Arial" w:hAnsi="Arial"/>
          <w:sz w:val="16"/>
          <w:szCs w:val="16"/>
          <w:color w:val="auto"/>
        </w:rPr>
        <w:t>”). Notwithstanding the occurrence of any such event or circumstance, such occurrence shall not be deemed to constitute Good Reason if such event or circumstance has been fully corrected within the Cure Period and the Executive has been reasonably compensated for any losses or damages resulting therefrom. If the condition is not corrected, the Executive must leave employment within one (1) year after the Company fails to cure the condition giving rise to the Executive’s claim for Good Reason during the Cure Period.</w:t>
      </w:r>
    </w:p>
    <w:p>
      <w:pPr>
        <w:spacing w:after="0" w:line="12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1.5 “</w:t>
      </w:r>
      <w:r>
        <w:rPr>
          <w:rFonts w:ascii="Arial" w:cs="Arial" w:eastAsia="Arial" w:hAnsi="Arial"/>
          <w:sz w:val="18"/>
          <w:szCs w:val="18"/>
          <w:u w:val="single" w:color="auto"/>
          <w:color w:val="auto"/>
        </w:rPr>
        <w:t>Disability</w:t>
      </w:r>
      <w:r>
        <w:rPr>
          <w:rFonts w:ascii="Arial" w:cs="Arial" w:eastAsia="Arial" w:hAnsi="Arial"/>
          <w:sz w:val="18"/>
          <w:szCs w:val="18"/>
          <w:color w:val="auto"/>
        </w:rPr>
        <w:t>” means the Executive’s absence from the full-time performance of the Executive’s duties with the Company for 180 consecutive calendar days as a result of incapacity due to mental or physical illness which is determined to be total and permanent by a physician selected by the Company or its insurers and acceptable to the Executive or the Executive’s legal representative.</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1.6 “</w:t>
      </w:r>
      <w:r>
        <w:rPr>
          <w:rFonts w:ascii="Arial" w:cs="Arial" w:eastAsia="Arial" w:hAnsi="Arial"/>
          <w:sz w:val="16"/>
          <w:szCs w:val="16"/>
          <w:u w:val="single" w:color="auto"/>
          <w:color w:val="auto"/>
        </w:rPr>
        <w:t>Severance Period</w:t>
      </w:r>
      <w:r>
        <w:rPr>
          <w:rFonts w:ascii="Arial" w:cs="Arial" w:eastAsia="Arial" w:hAnsi="Arial"/>
          <w:sz w:val="16"/>
          <w:szCs w:val="16"/>
          <w:color w:val="auto"/>
        </w:rPr>
        <w:t>” shall mean the period of 12 months immediately following the Date of Termination (as defined in Section 3.2(a) below).</w:t>
      </w:r>
    </w:p>
    <w:p>
      <w:pPr>
        <w:spacing w:after="0" w:line="194" w:lineRule="exact"/>
        <w:rPr>
          <w:sz w:val="20"/>
          <w:szCs w:val="20"/>
          <w:color w:val="auto"/>
        </w:rPr>
      </w:pPr>
    </w:p>
    <w:p>
      <w:pPr>
        <w:jc w:val="both"/>
        <w:ind w:firstLine="464"/>
        <w:spacing w:after="0" w:line="290" w:lineRule="auto"/>
        <w:tabs>
          <w:tab w:leader="none" w:pos="632"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t>Term of Agreement</w:t>
      </w:r>
      <w:r>
        <w:rPr>
          <w:rFonts w:ascii="Arial" w:cs="Arial" w:eastAsia="Arial" w:hAnsi="Arial"/>
          <w:sz w:val="16"/>
          <w:szCs w:val="16"/>
          <w:color w:val="auto"/>
        </w:rPr>
        <w:t xml:space="preserve">. This Agreement, and all rights and obligations of the parties hereunder, shall take effect upon the Effective Date and shall expire upon the first to occur of (a) the expiration of the Term (as defined below) if neither a termination of employment covered by Section 4.1(a) below nor a Change in Control occurred during the Term, or (b) the fulfillment by the Company of all of its obligations under Section 4 following a termination of the Executive’s employment with the Company. “Term” shall mean the period commencing as of the Effective Date and continuing in effect through March 31, 2011;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commencing on April 1, 2011 and each April 1 thereafter (each hereinafter referred to as a “Renewal Date”), the Term shall be automatically extended for one additional year so as to terminate four years from such Renewal Date, unless at least 90 days prior to such Renewal Date, the Company shall have given the Executive written notice that the Term will not be extended.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16" w:name="page117"/>
    <w:bookmarkEnd w:id="116"/>
    <w:p>
      <w:pPr>
        <w:ind w:left="640" w:hanging="176"/>
        <w:spacing w:after="0"/>
        <w:tabs>
          <w:tab w:leader="none" w:pos="640"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Employment Status; Termination Following Change in Control</w:t>
      </w:r>
      <w:r>
        <w:rPr>
          <w:rFonts w:ascii="Arial" w:cs="Arial" w:eastAsia="Arial" w:hAnsi="Arial"/>
          <w:sz w:val="18"/>
          <w:szCs w:val="18"/>
          <w:color w:val="auto"/>
        </w:rPr>
        <w:t>.</w:t>
      </w:r>
    </w:p>
    <w:p>
      <w:pPr>
        <w:spacing w:after="0" w:line="171"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Not an Employment Contract</w:t>
      </w:r>
      <w:r>
        <w:rPr>
          <w:rFonts w:ascii="Arial" w:cs="Arial" w:eastAsia="Arial" w:hAnsi="Arial"/>
          <w:sz w:val="18"/>
          <w:szCs w:val="18"/>
          <w:color w:val="auto"/>
        </w:rPr>
        <w:t>. The Executive acknowledges that this Agreement does not constitute a contract of employment or impose on the Company any obligation to retain the Executive as an employee and that this Agreement does not prevent the Company or the Executive from terminating his employment at any time, before or after a Change in Control.</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171" w:lineRule="exact"/>
        <w:rPr>
          <w:sz w:val="20"/>
          <w:szCs w:val="20"/>
          <w:color w:val="auto"/>
        </w:rPr>
      </w:pPr>
    </w:p>
    <w:p>
      <w:pPr>
        <w:jc w:val="both"/>
        <w:ind w:firstLine="1492"/>
        <w:spacing w:after="0" w:line="288" w:lineRule="auto"/>
        <w:tabs>
          <w:tab w:leader="none" w:pos="1727" w:val="left"/>
        </w:tabs>
        <w:numPr>
          <w:ilvl w:val="1"/>
          <w:numId w:val="171"/>
        </w:numPr>
        <w:rPr>
          <w:rFonts w:ascii="Arial" w:cs="Arial" w:eastAsia="Arial" w:hAnsi="Arial"/>
          <w:sz w:val="16"/>
          <w:szCs w:val="16"/>
          <w:color w:val="auto"/>
        </w:rPr>
      </w:pPr>
      <w:r>
        <w:rPr>
          <w:rFonts w:ascii="Arial" w:cs="Arial" w:eastAsia="Arial" w:hAnsi="Arial"/>
          <w:sz w:val="16"/>
          <w:szCs w:val="16"/>
          <w:color w:val="auto"/>
        </w:rPr>
        <w:t>Any termination of the Executive’s employment by the Company at any time during the Term or at any time after the Change in Control Date, or by the Executive within 12 months following the Change in Control Date (other than due to the death of the Executive) shall be communicated by a written notice to the other party hereto (the “Notice of Termination”), given in accordance with Section 6.2. Any Notice of Termination shall: (i) indicate (in the case of a termination by the Company) whether such termination is for Cause and (in the case of a termination by the Executive within 12 months following the Change in Control Date) whether such termination is for Good Reason, (ii) to the extent applicable, set forth in reasonable detail the facts and circumstances claimed to provide a basis for termination of the Executive’s employment for Cause or for Good Reason and (iii) specify the Date of Termination (as defined below). The effective date of an employment termination (the “Date of Termination”) shall be the close of business on the date specified in the Notice of Termination (which date may not be less than 15 days or more than 120 days after the date of delivery of such Notice of Termination), in the case of a termination other than one due to the Executive’s death, or the date of the Executive’s death, as the case may be.</w:t>
      </w:r>
    </w:p>
    <w:p>
      <w:pPr>
        <w:spacing w:after="0" w:line="119" w:lineRule="exact"/>
        <w:rPr>
          <w:rFonts w:ascii="Arial" w:cs="Arial" w:eastAsia="Arial" w:hAnsi="Arial"/>
          <w:sz w:val="16"/>
          <w:szCs w:val="16"/>
          <w:color w:val="auto"/>
        </w:rPr>
      </w:pPr>
    </w:p>
    <w:p>
      <w:pPr>
        <w:jc w:val="both"/>
        <w:ind w:firstLine="1492"/>
        <w:spacing w:after="0" w:line="306" w:lineRule="auto"/>
        <w:tabs>
          <w:tab w:leader="none" w:pos="1744" w:val="left"/>
        </w:tabs>
        <w:numPr>
          <w:ilvl w:val="1"/>
          <w:numId w:val="171"/>
        </w:numPr>
        <w:rPr>
          <w:rFonts w:ascii="Arial" w:cs="Arial" w:eastAsia="Arial" w:hAnsi="Arial"/>
          <w:sz w:val="16"/>
          <w:szCs w:val="16"/>
          <w:color w:val="auto"/>
        </w:rPr>
      </w:pPr>
      <w:r>
        <w:rPr>
          <w:rFonts w:ascii="Arial" w:cs="Arial" w:eastAsia="Arial" w:hAnsi="Arial"/>
          <w:sz w:val="16"/>
          <w:szCs w:val="16"/>
          <w:color w:val="auto"/>
        </w:rPr>
        <w:t>The failure by the Executive or the Company to set forth in the Notice of Termination any fact or circumstance which contributes to a showing of Good Reason or Cause shall not waive any right of the Executive or the Company, respectively, hereunder or preclude the Executive or the Company, respectively, from asserting any such fact or circumstance in enforcing the Executive’s or the Company’s rights hereunder.</w:t>
      </w:r>
    </w:p>
    <w:p>
      <w:pPr>
        <w:spacing w:after="0" w:line="106" w:lineRule="exact"/>
        <w:rPr>
          <w:rFonts w:ascii="Arial" w:cs="Arial" w:eastAsia="Arial" w:hAnsi="Arial"/>
          <w:sz w:val="16"/>
          <w:szCs w:val="16"/>
          <w:color w:val="auto"/>
        </w:rPr>
      </w:pPr>
    </w:p>
    <w:p>
      <w:pPr>
        <w:ind w:right="20" w:firstLine="1492"/>
        <w:spacing w:after="0" w:line="268" w:lineRule="auto"/>
        <w:tabs>
          <w:tab w:leader="none" w:pos="1757"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Any Notice of Termination for Cause given by the Company must be given within 90 days of the occurrence of the event(s) or circumstance(s) that constitute(s) Cause.</w:t>
      </w:r>
    </w:p>
    <w:p>
      <w:pPr>
        <w:spacing w:after="0" w:line="131" w:lineRule="exact"/>
        <w:rPr>
          <w:rFonts w:ascii="Arial" w:cs="Arial" w:eastAsia="Arial" w:hAnsi="Arial"/>
          <w:sz w:val="18"/>
          <w:szCs w:val="18"/>
          <w:color w:val="auto"/>
        </w:rPr>
      </w:pPr>
    </w:p>
    <w:p>
      <w:pPr>
        <w:ind w:firstLine="1492"/>
        <w:spacing w:after="0" w:line="268" w:lineRule="auto"/>
        <w:tabs>
          <w:tab w:leader="none" w:pos="1743"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Any Notice of Termination for Good Reason given by the Executive must be given within 90 days of the occurrence of the event(s) or circumstance(s) that constitute(s) Good Reason.</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Benefits to Executive</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Termination Prior to Change in Control Date</w:t>
      </w:r>
      <w:r>
        <w:rPr>
          <w:rFonts w:ascii="Arial" w:cs="Arial" w:eastAsia="Arial" w:hAnsi="Arial"/>
          <w:sz w:val="18"/>
          <w:szCs w:val="18"/>
          <w:color w:val="auto"/>
        </w:rPr>
        <w:t>.</w:t>
      </w:r>
    </w:p>
    <w:p>
      <w:pPr>
        <w:spacing w:after="0" w:line="171" w:lineRule="exact"/>
        <w:rPr>
          <w:sz w:val="20"/>
          <w:szCs w:val="20"/>
          <w:color w:val="auto"/>
        </w:rPr>
      </w:pPr>
    </w:p>
    <w:p>
      <w:pPr>
        <w:jc w:val="both"/>
        <w:ind w:firstLine="1492"/>
        <w:spacing w:after="0" w:line="259" w:lineRule="auto"/>
        <w:tabs>
          <w:tab w:leader="none" w:pos="1722" w:val="left"/>
        </w:tabs>
        <w:numPr>
          <w:ilvl w:val="1"/>
          <w:numId w:val="173"/>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w:t>
      </w:r>
      <w:r>
        <w:rPr>
          <w:rFonts w:ascii="Arial" w:cs="Arial" w:eastAsia="Arial" w:hAnsi="Arial"/>
          <w:sz w:val="18"/>
          <w:szCs w:val="18"/>
          <w:color w:val="auto"/>
        </w:rPr>
        <w:t>. If, prior to a Change in Control Date (including a situation in which a Change in Control Date never occurs), the Company terminates the Executive’s employment other than for Cause, Disability or death, then the Executive shall be entitled to the following benefits, the distribution of which shall be subject to the provisions of Sections 4.4 and 4.7:</w:t>
      </w:r>
    </w:p>
    <w:p>
      <w:pPr>
        <w:spacing w:after="0" w:line="59" w:lineRule="exact"/>
        <w:rPr>
          <w:rFonts w:ascii="Arial" w:cs="Arial" w:eastAsia="Arial" w:hAnsi="Arial"/>
          <w:sz w:val="18"/>
          <w:szCs w:val="18"/>
          <w:color w:val="auto"/>
        </w:rPr>
      </w:pPr>
    </w:p>
    <w:p>
      <w:pPr>
        <w:ind w:left="2180" w:hanging="232"/>
        <w:spacing w:after="0"/>
        <w:tabs>
          <w:tab w:leader="none" w:pos="2180" w:val="left"/>
        </w:tabs>
        <w:numPr>
          <w:ilvl w:val="2"/>
          <w:numId w:val="173"/>
        </w:numPr>
        <w:rPr>
          <w:rFonts w:ascii="Arial" w:cs="Arial" w:eastAsia="Arial" w:hAnsi="Arial"/>
          <w:sz w:val="16"/>
          <w:szCs w:val="16"/>
          <w:color w:val="auto"/>
        </w:rPr>
      </w:pPr>
      <w:r>
        <w:rPr>
          <w:rFonts w:ascii="Arial" w:cs="Arial" w:eastAsia="Arial" w:hAnsi="Arial"/>
          <w:sz w:val="16"/>
          <w:szCs w:val="16"/>
          <w:color w:val="auto"/>
        </w:rPr>
        <w:t>the Company shall pay to the Executive, in a lump sum in cash on the Date of Termination, the sum of the following amounts:</w:t>
      </w:r>
    </w:p>
    <w:p>
      <w:pPr>
        <w:spacing w:after="0" w:line="38" w:lineRule="exact"/>
        <w:rPr>
          <w:rFonts w:ascii="Arial" w:cs="Arial" w:eastAsia="Arial" w:hAnsi="Arial"/>
          <w:sz w:val="16"/>
          <w:szCs w:val="16"/>
          <w:color w:val="auto"/>
        </w:rPr>
      </w:pPr>
    </w:p>
    <w:p>
      <w:pPr>
        <w:jc w:val="both"/>
        <w:ind w:firstLine="8"/>
        <w:spacing w:after="0" w:line="281" w:lineRule="auto"/>
        <w:tabs>
          <w:tab w:leader="none" w:pos="25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Executive’s base salary through the Date of Termination, (2) any compensation previously deferred by the Executive (together with any accrued interest or earnings thereon) and (3) any accrued vacation pay, in each case to the extent not previously paid (the sum of the amounts described in clauses (1) through</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shall be hereinafter referred to as the “Accrued Obligations”);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17" w:name="page118"/>
    <w:bookmarkEnd w:id="117"/>
    <w:p>
      <w:pPr>
        <w:ind w:right="20" w:firstLine="1948"/>
        <w:spacing w:after="0" w:line="332" w:lineRule="auto"/>
        <w:tabs>
          <w:tab w:leader="none" w:pos="2222" w:val="left"/>
        </w:tabs>
        <w:numPr>
          <w:ilvl w:val="1"/>
          <w:numId w:val="17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the Severance Period, the Company shall continue to pay to the Executive, in accordance with the Company’s regular payroll practices, the Executive’s highest annual base salary during the two-year period prior to the Date of Termination; and</w:t>
      </w:r>
    </w:p>
    <w:p>
      <w:pPr>
        <w:spacing w:after="0" w:line="85" w:lineRule="exact"/>
        <w:rPr>
          <w:rFonts w:ascii="Arial" w:cs="Arial" w:eastAsia="Arial" w:hAnsi="Arial"/>
          <w:sz w:val="16"/>
          <w:szCs w:val="16"/>
          <w:color w:val="auto"/>
        </w:rPr>
      </w:pPr>
    </w:p>
    <w:p>
      <w:pPr>
        <w:jc w:val="both"/>
        <w:ind w:firstLine="1948"/>
        <w:spacing w:after="0" w:line="289" w:lineRule="auto"/>
        <w:tabs>
          <w:tab w:leader="none" w:pos="2260" w:val="left"/>
        </w:tabs>
        <w:numPr>
          <w:ilvl w:val="1"/>
          <w:numId w:val="176"/>
        </w:numPr>
        <w:rPr>
          <w:rFonts w:ascii="Arial" w:cs="Arial" w:eastAsia="Arial" w:hAnsi="Arial"/>
          <w:sz w:val="16"/>
          <w:szCs w:val="16"/>
          <w:color w:val="auto"/>
        </w:rPr>
      </w:pPr>
      <w:r>
        <w:rPr>
          <w:rFonts w:ascii="Arial" w:cs="Arial" w:eastAsia="Arial" w:hAnsi="Arial"/>
          <w:sz w:val="16"/>
          <w:szCs w:val="16"/>
          <w:color w:val="auto"/>
        </w:rPr>
        <w:t xml:space="preserve">during the Severance Period, the Company shall continue to provide to the Executive and the Executive’s family those benefits which would have been provided to them if the Executive’s employment had not been terminated, in accordance with the applicable Benefit Plans in effect on the Date of Termination (to the extent such benefits can be provided to non-employees, or to the extent such health insurance benefits cannot be provided to non-employees, then the cash equivalent thereof, based on the cost thereof to the Company, which cash amount shall be paid proportionately over the Severance Period, monthly in advance); </w:t>
      </w:r>
      <w:r>
        <w:rPr>
          <w:rFonts w:ascii="Arial" w:cs="Arial" w:eastAsia="Arial" w:hAnsi="Arial"/>
          <w:sz w:val="16"/>
          <w:szCs w:val="16"/>
          <w:u w:val="single" w:color="auto"/>
          <w:color w:val="auto"/>
        </w:rPr>
        <w:t>provided</w:t>
      </w:r>
      <w:r>
        <w:rPr>
          <w:rFonts w:ascii="Arial" w:cs="Arial" w:eastAsia="Arial" w:hAnsi="Arial"/>
          <w:sz w:val="16"/>
          <w:szCs w:val="16"/>
          <w:color w:val="auto"/>
        </w:rPr>
        <w:t>, however: (1) that if the Executive becomes reemployed with another employer and is eligible to receive a particular type of benefits (e.g., health insurance benefits) from such employer on terms at least as favorable to the Executive and his family as those being provided by the Company, then the Company shall no longer be required to provide those particular benefits to the Executive and his family; and (2) to the extent that such payments are taxable to the Executive and/or extend beyond the COBRA continuation period, then such payments shall be made monthly in advance.</w:t>
      </w:r>
    </w:p>
    <w:p>
      <w:pPr>
        <w:spacing w:after="0" w:line="118" w:lineRule="exact"/>
        <w:rPr>
          <w:rFonts w:ascii="Arial" w:cs="Arial" w:eastAsia="Arial" w:hAnsi="Arial"/>
          <w:sz w:val="16"/>
          <w:szCs w:val="16"/>
          <w:color w:val="auto"/>
        </w:rPr>
      </w:pPr>
    </w:p>
    <w:p>
      <w:pPr>
        <w:jc w:val="both"/>
        <w:ind w:firstLine="1492"/>
        <w:spacing w:after="0" w:line="291" w:lineRule="auto"/>
        <w:tabs>
          <w:tab w:leader="none" w:pos="1746" w:val="left"/>
        </w:tabs>
        <w:numPr>
          <w:ilvl w:val="0"/>
          <w:numId w:val="177"/>
        </w:numPr>
        <w:rPr>
          <w:rFonts w:ascii="Arial" w:cs="Arial" w:eastAsia="Arial" w:hAnsi="Arial"/>
          <w:sz w:val="16"/>
          <w:szCs w:val="16"/>
          <w:color w:val="auto"/>
        </w:rPr>
      </w:pPr>
      <w:r>
        <w:rPr>
          <w:rFonts w:ascii="Arial" w:cs="Arial" w:eastAsia="Arial" w:hAnsi="Arial"/>
          <w:sz w:val="16"/>
          <w:szCs w:val="16"/>
          <w:u w:val="single" w:color="auto"/>
          <w:color w:val="auto"/>
        </w:rPr>
        <w:t>Other Terminations</w:t>
      </w:r>
      <w:r>
        <w:rPr>
          <w:rFonts w:ascii="Arial" w:cs="Arial" w:eastAsia="Arial" w:hAnsi="Arial"/>
          <w:sz w:val="16"/>
          <w:szCs w:val="16"/>
          <w:color w:val="auto"/>
        </w:rPr>
        <w:t>. If, prior to the Change in Control Date, the Executive’s employment with the Company is terminated other than under the circumstances described in Section 4.1(a), then the Company shall (i) pay the Executive (or his estate, if applicable), in a lump sum in cash on the Date of Termination, the Accrued Obligations and (ii) to the extent not previously paid or provided, timely pay or provide to the Executive any other amounts or benefits required to be paid or provided or which the Executive is eligible to receive following the Executive’s termination of employment under any plan, program, policy, practice, contract or agreement of the Company and its subsidiaries (such other amounts and benefits shall be hereinafter referred to as the “Other Benefits”), the distribution of which shall be subject to the provisions of Section 4.7.</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Termination Following Change in Control Date</w:t>
      </w:r>
      <w:r>
        <w:rPr>
          <w:rFonts w:ascii="Arial" w:cs="Arial" w:eastAsia="Arial" w:hAnsi="Arial"/>
          <w:sz w:val="18"/>
          <w:szCs w:val="18"/>
          <w:color w:val="auto"/>
        </w:rPr>
        <w:t>.</w:t>
      </w:r>
    </w:p>
    <w:p>
      <w:pPr>
        <w:spacing w:after="0" w:line="171" w:lineRule="exact"/>
        <w:rPr>
          <w:sz w:val="20"/>
          <w:szCs w:val="20"/>
          <w:color w:val="auto"/>
        </w:rPr>
      </w:pPr>
    </w:p>
    <w:p>
      <w:pPr>
        <w:jc w:val="both"/>
        <w:ind w:firstLine="1492"/>
        <w:spacing w:after="0" w:line="256" w:lineRule="auto"/>
        <w:tabs>
          <w:tab w:leader="none" w:pos="1722" w:val="left"/>
        </w:tabs>
        <w:numPr>
          <w:ilvl w:val="1"/>
          <w:numId w:val="178"/>
        </w:numPr>
        <w:rPr>
          <w:rFonts w:ascii="Arial" w:cs="Arial" w:eastAsia="Arial" w:hAnsi="Arial"/>
          <w:sz w:val="18"/>
          <w:szCs w:val="18"/>
          <w:color w:val="auto"/>
        </w:rPr>
      </w:pPr>
      <w:r>
        <w:rPr>
          <w:rFonts w:ascii="Arial" w:cs="Arial" w:eastAsia="Arial" w:hAnsi="Arial"/>
          <w:sz w:val="18"/>
          <w:szCs w:val="18"/>
          <w:u w:val="single" w:color="auto"/>
          <w:color w:val="auto"/>
        </w:rPr>
        <w:t>Termination within 12 Months Following Change in Control Date</w:t>
      </w:r>
      <w:r>
        <w:rPr>
          <w:rFonts w:ascii="Arial" w:cs="Arial" w:eastAsia="Arial" w:hAnsi="Arial"/>
          <w:sz w:val="18"/>
          <w:szCs w:val="18"/>
          <w:color w:val="auto"/>
        </w:rPr>
        <w:t>. If the Company terminates the Executive’s employment other than for Cause, Disability or death within 12 months following the Change in Control Date, or if the Executive terminates his employment for Good Reason within 12 months following the Change in Control Date, then the Executive shall be entitled to the following benefits, the distribution of which shall be subject to the provisions of Sections 4.4 and 4.7:</w:t>
      </w:r>
    </w:p>
    <w:p>
      <w:pPr>
        <w:spacing w:after="0" w:line="62" w:lineRule="exact"/>
        <w:rPr>
          <w:rFonts w:ascii="Arial" w:cs="Arial" w:eastAsia="Arial" w:hAnsi="Arial"/>
          <w:sz w:val="18"/>
          <w:szCs w:val="18"/>
          <w:color w:val="auto"/>
        </w:rPr>
      </w:pPr>
    </w:p>
    <w:p>
      <w:pPr>
        <w:ind w:left="2180" w:hanging="232"/>
        <w:spacing w:after="0"/>
        <w:tabs>
          <w:tab w:leader="none" w:pos="2180" w:val="left"/>
        </w:tabs>
        <w:numPr>
          <w:ilvl w:val="2"/>
          <w:numId w:val="178"/>
        </w:numPr>
        <w:rPr>
          <w:rFonts w:ascii="Arial" w:cs="Arial" w:eastAsia="Arial" w:hAnsi="Arial"/>
          <w:sz w:val="16"/>
          <w:szCs w:val="16"/>
          <w:color w:val="auto"/>
        </w:rPr>
      </w:pPr>
      <w:r>
        <w:rPr>
          <w:rFonts w:ascii="Arial" w:cs="Arial" w:eastAsia="Arial" w:hAnsi="Arial"/>
          <w:sz w:val="16"/>
          <w:szCs w:val="16"/>
          <w:color w:val="auto"/>
        </w:rPr>
        <w:t>the Company shall pay to the Executive, in a lump sum in cash on the Date of Termination, (A) the Accrued Obligations and</w:t>
      </w:r>
    </w:p>
    <w:p>
      <w:pPr>
        <w:spacing w:after="0" w:line="38" w:lineRule="exact"/>
        <w:rPr>
          <w:rFonts w:ascii="Arial" w:cs="Arial" w:eastAsia="Arial" w:hAnsi="Arial"/>
          <w:sz w:val="16"/>
          <w:szCs w:val="16"/>
          <w:color w:val="auto"/>
        </w:rPr>
      </w:pPr>
    </w:p>
    <w:p>
      <w:pPr>
        <w:jc w:val="both"/>
        <w:ind w:firstLine="8"/>
        <w:spacing w:after="0" w:line="255" w:lineRule="auto"/>
        <w:tabs>
          <w:tab w:leader="none" w:pos="304"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product of (x) the annual target bonus payable to the Executive for the fiscal year in which the Date of Termination occurs and (y) a fraction, the numerator of which is the number of days in the then-current fiscal year through the Date of Termination, and the denominator of which is 365, less any portion of such bonus previously paid to the Executive;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18" w:name="page119"/>
    <w:bookmarkEnd w:id="118"/>
    <w:p>
      <w:pPr>
        <w:ind w:right="20" w:firstLine="1948"/>
        <w:spacing w:after="0" w:line="332" w:lineRule="auto"/>
        <w:tabs>
          <w:tab w:leader="none" w:pos="2222" w:val="left"/>
        </w:tabs>
        <w:numPr>
          <w:ilvl w:val="1"/>
          <w:numId w:val="18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the Severance Period, the Company shall continue to pay to the Executive, in accordance with the Company’s regular payroll practices, the Executive’s highest annual base salary during the two-year period prior to the Date of Termination; and</w:t>
      </w:r>
    </w:p>
    <w:p>
      <w:pPr>
        <w:spacing w:after="0" w:line="85" w:lineRule="exact"/>
        <w:rPr>
          <w:rFonts w:ascii="Arial" w:cs="Arial" w:eastAsia="Arial" w:hAnsi="Arial"/>
          <w:sz w:val="16"/>
          <w:szCs w:val="16"/>
          <w:color w:val="auto"/>
        </w:rPr>
      </w:pPr>
    </w:p>
    <w:p>
      <w:pPr>
        <w:jc w:val="both"/>
        <w:ind w:firstLine="1948"/>
        <w:spacing w:after="0" w:line="289" w:lineRule="auto"/>
        <w:tabs>
          <w:tab w:leader="none" w:pos="2260" w:val="left"/>
        </w:tabs>
        <w:numPr>
          <w:ilvl w:val="1"/>
          <w:numId w:val="180"/>
        </w:numPr>
        <w:rPr>
          <w:rFonts w:ascii="Arial" w:cs="Arial" w:eastAsia="Arial" w:hAnsi="Arial"/>
          <w:sz w:val="16"/>
          <w:szCs w:val="16"/>
          <w:color w:val="auto"/>
        </w:rPr>
      </w:pPr>
      <w:r>
        <w:rPr>
          <w:rFonts w:ascii="Arial" w:cs="Arial" w:eastAsia="Arial" w:hAnsi="Arial"/>
          <w:sz w:val="16"/>
          <w:szCs w:val="16"/>
          <w:color w:val="auto"/>
        </w:rPr>
        <w:t xml:space="preserve">during the Severance Period, the Company shall continue to provide to the Executive and the Executive’s family those benefits which would have been provided to them if the Executive’s employment had not been terminated, in accordance with the applicable Benefit Plans in effect on the Date of Termination (to the extent such benefits can be provided to non-employees, or to the extent such health benefits cannot be provided to non-employees, then the cash equivalent thereof, based on the cost thereof to the Company, which cash amount shall be paid proportionately over the Severance Period, monthly in advance); </w:t>
      </w:r>
      <w:r>
        <w:rPr>
          <w:rFonts w:ascii="Arial" w:cs="Arial" w:eastAsia="Arial" w:hAnsi="Arial"/>
          <w:sz w:val="16"/>
          <w:szCs w:val="16"/>
          <w:u w:val="single" w:color="auto"/>
          <w:color w:val="auto"/>
        </w:rPr>
        <w:t>provided</w:t>
      </w:r>
      <w:r>
        <w:rPr>
          <w:rFonts w:ascii="Arial" w:cs="Arial" w:eastAsia="Arial" w:hAnsi="Arial"/>
          <w:sz w:val="16"/>
          <w:szCs w:val="16"/>
          <w:color w:val="auto"/>
        </w:rPr>
        <w:t>, however: (1) that if the Executive becomes reemployed with another employer and is eligible to receive a particular type of benefits (e.g., health insurance benefits) from such employer on terms at least as favorable to the Executive and his family as those being provided by the Company, then the Company shall no longer be required to provide those particular benefits to the Executive and his family; and (2) to the extent that such payments are taxable to the Executive and/or extend beyond the COBRA continuation period, then such payments shall be made monthly in advance.</w:t>
      </w:r>
    </w:p>
    <w:p>
      <w:pPr>
        <w:spacing w:after="0" w:line="118" w:lineRule="exact"/>
        <w:rPr>
          <w:rFonts w:ascii="Arial" w:cs="Arial" w:eastAsia="Arial" w:hAnsi="Arial"/>
          <w:sz w:val="16"/>
          <w:szCs w:val="16"/>
          <w:color w:val="auto"/>
        </w:rPr>
      </w:pPr>
    </w:p>
    <w:p>
      <w:pPr>
        <w:jc w:val="both"/>
        <w:ind w:firstLine="1492"/>
        <w:spacing w:after="0" w:line="259" w:lineRule="auto"/>
        <w:tabs>
          <w:tab w:leader="none" w:pos="1746"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Termination More Than 12 Months Following Change in Control Date</w:t>
      </w:r>
      <w:r>
        <w:rPr>
          <w:rFonts w:ascii="Arial" w:cs="Arial" w:eastAsia="Arial" w:hAnsi="Arial"/>
          <w:sz w:val="18"/>
          <w:szCs w:val="18"/>
          <w:color w:val="auto"/>
        </w:rPr>
        <w:t>. If the Company terminates the Executive’s employment other than for Cause, Disability or death more than 12 months following the Change in Control Date, then the Executive shall be entitled to the following benefits, the distribution of which shall be subject to the provisions of Sections 4.4 and 4.7.</w:t>
      </w:r>
    </w:p>
    <w:p>
      <w:pPr>
        <w:spacing w:after="0" w:line="140" w:lineRule="exact"/>
        <w:rPr>
          <w:rFonts w:ascii="Arial" w:cs="Arial" w:eastAsia="Arial" w:hAnsi="Arial"/>
          <w:sz w:val="18"/>
          <w:szCs w:val="18"/>
          <w:color w:val="auto"/>
        </w:rPr>
      </w:pPr>
    </w:p>
    <w:p>
      <w:pPr>
        <w:ind w:left="2160" w:hanging="212"/>
        <w:spacing w:after="0"/>
        <w:tabs>
          <w:tab w:leader="none" w:pos="216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the Company shall pay to the Executive, in a lump sum in cash on the Date of Termination, the Accrued Obligations;</w:t>
      </w:r>
    </w:p>
    <w:p>
      <w:pPr>
        <w:spacing w:after="0" w:line="171" w:lineRule="exact"/>
        <w:rPr>
          <w:rFonts w:ascii="Arial" w:cs="Arial" w:eastAsia="Arial" w:hAnsi="Arial"/>
          <w:sz w:val="18"/>
          <w:szCs w:val="18"/>
          <w:color w:val="auto"/>
        </w:rPr>
      </w:pPr>
    </w:p>
    <w:p>
      <w:pPr>
        <w:ind w:right="20" w:firstLine="1948"/>
        <w:spacing w:after="0" w:line="332" w:lineRule="auto"/>
        <w:tabs>
          <w:tab w:leader="none" w:pos="2222" w:val="left"/>
        </w:tabs>
        <w:numPr>
          <w:ilvl w:val="1"/>
          <w:numId w:val="181"/>
        </w:numPr>
        <w:rPr>
          <w:rFonts w:ascii="Arial" w:cs="Arial" w:eastAsia="Arial" w:hAnsi="Arial"/>
          <w:sz w:val="16"/>
          <w:szCs w:val="16"/>
          <w:color w:val="auto"/>
        </w:rPr>
      </w:pPr>
      <w:r>
        <w:rPr>
          <w:rFonts w:ascii="Arial" w:cs="Arial" w:eastAsia="Arial" w:hAnsi="Arial"/>
          <w:sz w:val="16"/>
          <w:szCs w:val="16"/>
          <w:color w:val="auto"/>
        </w:rPr>
        <w:t>during the Severance Period, the Company shall continue to pay to the Executive, in accordance with the Company’s regular payroll practices, the Executive’s highest annual base salary during the two-year period prior to the Date of Termination; and</w:t>
      </w:r>
    </w:p>
    <w:p>
      <w:pPr>
        <w:spacing w:after="0" w:line="85" w:lineRule="exact"/>
        <w:rPr>
          <w:rFonts w:ascii="Arial" w:cs="Arial" w:eastAsia="Arial" w:hAnsi="Arial"/>
          <w:sz w:val="16"/>
          <w:szCs w:val="16"/>
          <w:color w:val="auto"/>
        </w:rPr>
      </w:pPr>
    </w:p>
    <w:p>
      <w:pPr>
        <w:jc w:val="both"/>
        <w:ind w:firstLine="1948"/>
        <w:spacing w:after="0" w:line="256" w:lineRule="auto"/>
        <w:tabs>
          <w:tab w:leader="none" w:pos="226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during the Severance Period, the Company shall continue to provide to the Executive and the Executive’s family those benefits which would have been provided to them if the Executive’s employment had not been terminated, in accordance with the applicable Benefit Plans in effect on the Date of Termination (to the extent such health benefits can be provided to non-employees, or to the extent such benefits cannot be provided to non-employees, then the cash equivalent thereof, based on the cost thereof to the Company, which</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19" w:name="page120"/>
    <w:bookmarkEnd w:id="119"/>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cash amount shall be paid proportionately over the Severance Period, monthly in advance); </w:t>
      </w:r>
      <w:r>
        <w:rPr>
          <w:rFonts w:ascii="Arial" w:cs="Arial" w:eastAsia="Arial" w:hAnsi="Arial"/>
          <w:sz w:val="18"/>
          <w:szCs w:val="18"/>
          <w:u w:val="single" w:color="auto"/>
          <w:color w:val="auto"/>
        </w:rPr>
        <w:t>provided</w:t>
      </w:r>
      <w:r>
        <w:rPr>
          <w:rFonts w:ascii="Arial" w:cs="Arial" w:eastAsia="Arial" w:hAnsi="Arial"/>
          <w:sz w:val="18"/>
          <w:szCs w:val="18"/>
          <w:color w:val="auto"/>
        </w:rPr>
        <w:t>, however: (1) that if the Executive becomes reemployed with another employer and is eligible to receive a particular type of benefits (e.g., health insurance benefits) from such employer on terms at least as favorable to the Executive and his family as those being provided by the Company, then the Company shall no longer be required to provide those particular benefits to the Executive and his family; and (2) to the extent that such payments are taxable to the Executive and/or extend beyond the COBRA continuation period, then such payments shall be made monthly in advance.</w:t>
      </w:r>
    </w:p>
    <w:p>
      <w:pPr>
        <w:spacing w:after="0" w:line="143" w:lineRule="exact"/>
        <w:rPr>
          <w:sz w:val="20"/>
          <w:szCs w:val="20"/>
          <w:color w:val="auto"/>
        </w:rPr>
      </w:pPr>
    </w:p>
    <w:p>
      <w:pPr>
        <w:jc w:val="both"/>
        <w:ind w:firstLine="1492"/>
        <w:spacing w:after="0" w:line="256" w:lineRule="auto"/>
        <w:tabs>
          <w:tab w:leader="none" w:pos="1722"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Other Terminations</w:t>
      </w:r>
      <w:r>
        <w:rPr>
          <w:rFonts w:ascii="Arial" w:cs="Arial" w:eastAsia="Arial" w:hAnsi="Arial"/>
          <w:sz w:val="18"/>
          <w:szCs w:val="18"/>
          <w:color w:val="auto"/>
        </w:rPr>
        <w:t>. If, following the Change in Control Date, the Executive’s employment with the Company is terminated other than under the circumstances described in Section 4.2(a) or Section 4.2(b), then the Company shall (i) pay the Executive (or his estate, if applicable), in a lump sum in cash on the Date of Termination, the Accrued Obligations and (ii) to the extent not previously paid or provided, timely pay or provide to the Executive the Other Benefits, the distribution of which shall be subject to the provisions of Section 4.7.</w:t>
      </w:r>
    </w:p>
    <w:p>
      <w:pPr>
        <w:spacing w:after="0" w:line="143" w:lineRule="exact"/>
        <w:rPr>
          <w:rFonts w:ascii="Arial" w:cs="Arial" w:eastAsia="Arial" w:hAnsi="Arial"/>
          <w:sz w:val="18"/>
          <w:szCs w:val="18"/>
          <w:color w:val="auto"/>
        </w:rPr>
      </w:pPr>
    </w:p>
    <w:p>
      <w:pPr>
        <w:jc w:val="both"/>
        <w:ind w:firstLine="1492"/>
        <w:spacing w:after="0" w:line="259" w:lineRule="auto"/>
        <w:tabs>
          <w:tab w:leader="none" w:pos="1746"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Subject to Section 4.7, the Company agrees to reimburse the Executive for all legal and other fees and expenses that the Executive reasonably incurs as a result of any claim or dispute regarding the benefits due to the Executive pursuant to this Section 4.2 if the Executive prevails in such claim or dispute.</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Section 280G Provisions</w:t>
      </w:r>
      <w:r>
        <w:rPr>
          <w:rFonts w:ascii="Arial" w:cs="Arial" w:eastAsia="Arial" w:hAnsi="Arial"/>
          <w:sz w:val="18"/>
          <w:szCs w:val="18"/>
          <w:color w:val="auto"/>
        </w:rPr>
        <w:t>.</w:t>
      </w:r>
    </w:p>
    <w:p>
      <w:pPr>
        <w:spacing w:after="0" w:line="171" w:lineRule="exact"/>
        <w:rPr>
          <w:sz w:val="20"/>
          <w:szCs w:val="20"/>
          <w:color w:val="auto"/>
        </w:rPr>
      </w:pPr>
    </w:p>
    <w:p>
      <w:pPr>
        <w:jc w:val="both"/>
        <w:ind w:firstLine="1492"/>
        <w:spacing w:after="0" w:line="291" w:lineRule="auto"/>
        <w:tabs>
          <w:tab w:leader="none" w:pos="1728" w:val="left"/>
        </w:tabs>
        <w:numPr>
          <w:ilvl w:val="0"/>
          <w:numId w:val="183"/>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in the event that the Company undergoes a Change in Ownership or Control (as defined below), the Company shall not be obligated to provide to the Executive a portion of any Contingent Compensation Payments (as defined below) that the Executive would otherwise be entitled to receive to the extent necessary to eliminate Excess Parachute Payments (as defined below) for the Executive, except as set forth in Section 4.3(b). For purposes of this Section 4.3, the Contingent Compensation Payments so eliminated shall be referred to as the “Eliminated Payments” and the aggregate amount (determined in accordance with Treasury Regulation Section 1.280G-1, Q/A-30 or any successor provision) of the Contingent Compensation Payments so eliminated shall be referred to as the “Eliminated Amount.”</w:t>
      </w:r>
    </w:p>
    <w:p>
      <w:pPr>
        <w:spacing w:after="0" w:line="120" w:lineRule="exact"/>
        <w:rPr>
          <w:rFonts w:ascii="Arial" w:cs="Arial" w:eastAsia="Arial" w:hAnsi="Arial"/>
          <w:sz w:val="16"/>
          <w:szCs w:val="16"/>
          <w:color w:val="auto"/>
        </w:rPr>
      </w:pPr>
    </w:p>
    <w:p>
      <w:pPr>
        <w:jc w:val="both"/>
        <w:ind w:firstLine="1492"/>
        <w:spacing w:after="0" w:line="253" w:lineRule="auto"/>
        <w:tabs>
          <w:tab w:leader="none" w:pos="1758" w:val="left"/>
        </w:tabs>
        <w:numPr>
          <w:ilvl w:val="0"/>
          <w:numId w:val="183"/>
        </w:numPr>
        <w:rPr>
          <w:rFonts w:ascii="Arial" w:cs="Arial" w:eastAsia="Arial" w:hAnsi="Arial"/>
          <w:sz w:val="18"/>
          <w:szCs w:val="18"/>
          <w:color w:val="auto"/>
        </w:rPr>
      </w:pPr>
      <w:r>
        <w:rPr>
          <w:rFonts w:ascii="Arial" w:cs="Arial" w:eastAsia="Arial" w:hAnsi="Arial"/>
          <w:sz w:val="18"/>
          <w:szCs w:val="18"/>
          <w:color w:val="auto"/>
        </w:rPr>
        <w:t>Notwithstanding the provisions of Section 4.3(a), no such reduction in Contingent Compensation Payments shall be made if (i) the Eliminated Amount (computed without regard to this sentence) exceeds (ii) 110% of the aggregate present value (determined in accordance with Treasury Regulation Section 1.280G-1, Q/A-31, Q/A-32, Q/A-33 or any successor provisions) of the amount of any additional taxes that would be incurred by the Executive if the Eliminated Payments (determined without regard to this sentence) were paid to him (including, state and federal income taxes on the Eliminated Payments, the excise tax imposed by Section 4999 of the Internal Revenue Code of 1986, as amended (the “Code”, which term shall include applicable Treasury Regulations), payable with respect to all of the Contingent Compensation Payments in excess of the Executive’s “base amount” (as defined in Section 280G(b)(3) of the Code), and any withholding taxes). The override of such reduction in Contingent Compensation Payments pursuant to this Section 4.3(b) shall be referred to as a</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20" w:name="page121"/>
    <w:bookmarkEnd w:id="120"/>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4.3(b) Override.” For purposes of this paragraph, if any federal, state or local income taxes would be attributable to the receipt of any Eliminated Payment, the amount of such taxes shall be computed by multiplying the amount of the Eliminated Payment by the maximum combined federal, state and local income tax rate provided by law.</w:t>
      </w:r>
    </w:p>
    <w:p>
      <w:pPr>
        <w:spacing w:after="0" w:line="140" w:lineRule="exact"/>
        <w:rPr>
          <w:sz w:val="20"/>
          <w:szCs w:val="20"/>
          <w:color w:val="auto"/>
        </w:rPr>
      </w:pPr>
    </w:p>
    <w:p>
      <w:pPr>
        <w:ind w:left="1740" w:hanging="248"/>
        <w:spacing w:after="0"/>
        <w:tabs>
          <w:tab w:leader="none" w:pos="17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For purposes of this Section 4.3 the following terms shall have the following respective meanings:</w:t>
      </w:r>
    </w:p>
    <w:p>
      <w:pPr>
        <w:spacing w:after="0" w:line="90" w:lineRule="exact"/>
        <w:rPr>
          <w:rFonts w:ascii="Arial" w:cs="Arial" w:eastAsia="Arial" w:hAnsi="Arial"/>
          <w:sz w:val="18"/>
          <w:szCs w:val="18"/>
          <w:color w:val="auto"/>
        </w:rPr>
      </w:pPr>
    </w:p>
    <w:p>
      <w:pPr>
        <w:ind w:firstLine="1948"/>
        <w:spacing w:after="0" w:line="268" w:lineRule="auto"/>
        <w:tabs>
          <w:tab w:leader="none" w:pos="2157" w:val="left"/>
        </w:tabs>
        <w:numPr>
          <w:ilvl w:val="1"/>
          <w:numId w:val="184"/>
        </w:numPr>
        <w:rPr>
          <w:rFonts w:ascii="Arial" w:cs="Arial" w:eastAsia="Arial" w:hAnsi="Arial"/>
          <w:sz w:val="18"/>
          <w:szCs w:val="18"/>
          <w:color w:val="auto"/>
        </w:rPr>
      </w:pPr>
      <w:r>
        <w:rPr>
          <w:rFonts w:ascii="Arial" w:cs="Arial" w:eastAsia="Arial" w:hAnsi="Arial"/>
          <w:sz w:val="18"/>
          <w:szCs w:val="18"/>
          <w:color w:val="auto"/>
        </w:rPr>
        <w:t>“Change in Ownership or Control” shall mean a change in the ownership or effective control of the Company or in the ownership of a substantial portion of the assets of the Company determined in accordance with Section 280G(b)(2) of the Code.</w:t>
      </w:r>
    </w:p>
    <w:p>
      <w:pPr>
        <w:spacing w:after="0" w:line="131" w:lineRule="exact"/>
        <w:rPr>
          <w:rFonts w:ascii="Arial" w:cs="Arial" w:eastAsia="Arial" w:hAnsi="Arial"/>
          <w:sz w:val="18"/>
          <w:szCs w:val="18"/>
          <w:color w:val="auto"/>
        </w:rPr>
      </w:pPr>
    </w:p>
    <w:p>
      <w:pPr>
        <w:jc w:val="both"/>
        <w:ind w:firstLine="1948"/>
        <w:spacing w:after="0" w:line="259" w:lineRule="auto"/>
        <w:tabs>
          <w:tab w:leader="none" w:pos="2216" w:val="left"/>
        </w:tabs>
        <w:numPr>
          <w:ilvl w:val="1"/>
          <w:numId w:val="184"/>
        </w:numPr>
        <w:rPr>
          <w:rFonts w:ascii="Arial" w:cs="Arial" w:eastAsia="Arial" w:hAnsi="Arial"/>
          <w:sz w:val="18"/>
          <w:szCs w:val="18"/>
          <w:color w:val="auto"/>
        </w:rPr>
      </w:pPr>
      <w:r>
        <w:rPr>
          <w:rFonts w:ascii="Arial" w:cs="Arial" w:eastAsia="Arial" w:hAnsi="Arial"/>
          <w:sz w:val="18"/>
          <w:szCs w:val="18"/>
          <w:color w:val="auto"/>
        </w:rPr>
        <w:t>“Contingent Compensation Payment” shall mean any payment (or benefit) in the nature of compensation that is made or made available (under this Agreement or otherwise) to a “disqualified individual” (as defined in Section 280G(c) of the Code) and that is contingent (within the meaning of Section 280G(b)(2)(A)(i) of the Code) on a Change in Ownership or Control of the Company.</w:t>
      </w:r>
    </w:p>
    <w:p>
      <w:pPr>
        <w:spacing w:after="0" w:line="140" w:lineRule="exact"/>
        <w:rPr>
          <w:rFonts w:ascii="Arial" w:cs="Arial" w:eastAsia="Arial" w:hAnsi="Arial"/>
          <w:sz w:val="18"/>
          <w:szCs w:val="18"/>
          <w:color w:val="auto"/>
        </w:rPr>
      </w:pPr>
    </w:p>
    <w:p>
      <w:pPr>
        <w:ind w:left="2260" w:hanging="312"/>
        <w:spacing w:after="0"/>
        <w:tabs>
          <w:tab w:leader="none" w:pos="226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“Excess Parachute Payment” shall mean a payment described in Section 280G(b)(1) of the Code.</w:t>
      </w:r>
    </w:p>
    <w:p>
      <w:pPr>
        <w:spacing w:after="0" w:line="171" w:lineRule="exact"/>
        <w:rPr>
          <w:rFonts w:ascii="Arial" w:cs="Arial" w:eastAsia="Arial" w:hAnsi="Arial"/>
          <w:sz w:val="18"/>
          <w:szCs w:val="18"/>
          <w:color w:val="auto"/>
        </w:rPr>
      </w:pPr>
    </w:p>
    <w:p>
      <w:pPr>
        <w:jc w:val="both"/>
        <w:ind w:firstLine="1492"/>
        <w:spacing w:after="0" w:line="259" w:lineRule="auto"/>
        <w:tabs>
          <w:tab w:leader="none" w:pos="1746"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Any payments or other benefits otherwise due to the Executive following a Change in Ownership or Control that could reasonably be characterized (as determined by the Company) as Contingent Compensation Payments (the “Potential Payments”) shall not be made until the dates provided for in this Section 4.3(d).</w:t>
      </w:r>
    </w:p>
    <w:p>
      <w:pPr>
        <w:spacing w:after="0" w:line="140" w:lineRule="exact"/>
        <w:rPr>
          <w:rFonts w:ascii="Arial" w:cs="Arial" w:eastAsia="Arial" w:hAnsi="Arial"/>
          <w:sz w:val="18"/>
          <w:szCs w:val="18"/>
          <w:color w:val="auto"/>
        </w:rPr>
      </w:pPr>
    </w:p>
    <w:p>
      <w:pPr>
        <w:jc w:val="both"/>
        <w:ind w:firstLine="1948"/>
        <w:spacing w:after="0" w:line="253" w:lineRule="auto"/>
        <w:tabs>
          <w:tab w:leader="none" w:pos="2179" w:val="left"/>
        </w:tabs>
        <w:numPr>
          <w:ilvl w:val="1"/>
          <w:numId w:val="184"/>
        </w:numPr>
        <w:rPr>
          <w:rFonts w:ascii="Arial" w:cs="Arial" w:eastAsia="Arial" w:hAnsi="Arial"/>
          <w:sz w:val="18"/>
          <w:szCs w:val="18"/>
          <w:color w:val="auto"/>
        </w:rPr>
      </w:pPr>
      <w:r>
        <w:rPr>
          <w:rFonts w:ascii="Arial" w:cs="Arial" w:eastAsia="Arial" w:hAnsi="Arial"/>
          <w:sz w:val="18"/>
          <w:szCs w:val="18"/>
          <w:color w:val="auto"/>
        </w:rPr>
        <w:t>In the event that the Company undergoes a Change in Ownership or Control, and the Executive becomes entitled to receive Contingent Compensation Payments relating to such Change in Ownership or Control, the Company shall (A) determine at such time or times as may be necessary to comply with the requirements under Section 280G of the Code whether such Contingent Compensation Payments constitute in whole or in part Excess Parachute Payments and (B) in the event the Company determines that such Contingent Compensation Payments constitute in whole or in part Excess Parachute Payments, notify the Executive (within 30 days after each such determination and with reasonable detail regarding the basis for its determinations) of the following: (1) which Potential Payments constitute Contingent Compensation Payments, (2) the Eliminated Amount and (3) whether the Section 4.3(b) Override is applicable.</w:t>
      </w:r>
    </w:p>
    <w:p>
      <w:pPr>
        <w:spacing w:after="0" w:line="147" w:lineRule="exact"/>
        <w:rPr>
          <w:rFonts w:ascii="Arial" w:cs="Arial" w:eastAsia="Arial" w:hAnsi="Arial"/>
          <w:sz w:val="18"/>
          <w:szCs w:val="18"/>
          <w:color w:val="auto"/>
        </w:rPr>
      </w:pPr>
    </w:p>
    <w:p>
      <w:pPr>
        <w:jc w:val="both"/>
        <w:ind w:firstLine="1948"/>
        <w:spacing w:after="0" w:line="256" w:lineRule="auto"/>
        <w:tabs>
          <w:tab w:leader="none" w:pos="2233" w:val="left"/>
        </w:tabs>
        <w:numPr>
          <w:ilvl w:val="1"/>
          <w:numId w:val="184"/>
        </w:numPr>
        <w:rPr>
          <w:rFonts w:ascii="Arial" w:cs="Arial" w:eastAsia="Arial" w:hAnsi="Arial"/>
          <w:sz w:val="18"/>
          <w:szCs w:val="18"/>
          <w:color w:val="auto"/>
        </w:rPr>
      </w:pPr>
      <w:r>
        <w:rPr>
          <w:rFonts w:ascii="Arial" w:cs="Arial" w:eastAsia="Arial" w:hAnsi="Arial"/>
          <w:sz w:val="18"/>
          <w:szCs w:val="18"/>
          <w:color w:val="auto"/>
        </w:rPr>
        <w:t>Within 30 days after delivery of such notice to the Executive, the Executive shall deliver a response to the Company (the “Executive Response”) stating either (A) that he agrees with the Company’s determination pursuant to the preceding sentence, or (B) that he disagrees with such determination, in which case he shall set forth (1) which Potential Payments should be characterized as Contingent Compensation Payments, (2) the Eliminated Amount, or (3) whether the Section 4.3(b) Override is applicable.</w:t>
      </w:r>
    </w:p>
    <w:p>
      <w:pPr>
        <w:spacing w:after="0" w:line="143" w:lineRule="exact"/>
        <w:rPr>
          <w:rFonts w:ascii="Arial" w:cs="Arial" w:eastAsia="Arial" w:hAnsi="Arial"/>
          <w:sz w:val="18"/>
          <w:szCs w:val="18"/>
          <w:color w:val="auto"/>
        </w:rPr>
      </w:pPr>
    </w:p>
    <w:p>
      <w:pPr>
        <w:ind w:right="20" w:firstLine="1948"/>
        <w:spacing w:after="0" w:line="332" w:lineRule="auto"/>
        <w:tabs>
          <w:tab w:leader="none" w:pos="2260" w:val="left"/>
        </w:tabs>
        <w:numPr>
          <w:ilvl w:val="1"/>
          <w:numId w:val="184"/>
        </w:numPr>
        <w:rPr>
          <w:rFonts w:ascii="Arial" w:cs="Arial" w:eastAsia="Arial" w:hAnsi="Arial"/>
          <w:sz w:val="16"/>
          <w:szCs w:val="16"/>
          <w:color w:val="auto"/>
        </w:rPr>
      </w:pPr>
      <w:r>
        <w:rPr>
          <w:rFonts w:ascii="Arial" w:cs="Arial" w:eastAsia="Arial" w:hAnsi="Arial"/>
          <w:sz w:val="16"/>
          <w:szCs w:val="16"/>
          <w:color w:val="auto"/>
        </w:rPr>
        <w:t>If and to the extent that any Contingent Compensation Payments are required to be treated as Eliminated Payments pursuant to this Section 4.3, then the Payments shall be reduced or eliminated, as determined by the Company, in the following order:</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21" w:name="page122"/>
    <w:bookmarkEnd w:id="121"/>
    <w:p>
      <w:pPr>
        <w:jc w:val="both"/>
        <w:ind w:firstLine="8"/>
        <w:spacing w:after="0" w:line="259" w:lineRule="auto"/>
        <w:tabs>
          <w:tab w:leader="none" w:pos="292" w:val="left"/>
        </w:tabs>
        <w:numPr>
          <w:ilvl w:val="0"/>
          <w:numId w:val="1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cash payments, (B) any taxable benefits, (C) any nontaxable benefits, and (D) any vesting of equity awards, in each case in reverse order beginning with payments or benefits that are to be paid the farthest in time from the date that triggers the applicability of the excise tax, to the extent necessary to maximize the Eliminated Payments.</w:t>
      </w:r>
    </w:p>
    <w:p>
      <w:pPr>
        <w:spacing w:after="0" w:line="140" w:lineRule="exact"/>
        <w:rPr>
          <w:rFonts w:ascii="Arial" w:cs="Arial" w:eastAsia="Arial" w:hAnsi="Arial"/>
          <w:sz w:val="18"/>
          <w:szCs w:val="18"/>
          <w:color w:val="auto"/>
        </w:rPr>
      </w:pPr>
    </w:p>
    <w:p>
      <w:pPr>
        <w:jc w:val="both"/>
        <w:ind w:firstLine="1948"/>
        <w:spacing w:after="0" w:line="256" w:lineRule="auto"/>
        <w:tabs>
          <w:tab w:leader="none" w:pos="2244" w:val="left"/>
        </w:tabs>
        <w:numPr>
          <w:ilvl w:val="1"/>
          <w:numId w:val="185"/>
        </w:numPr>
        <w:rPr>
          <w:rFonts w:ascii="Arial" w:cs="Arial" w:eastAsia="Arial" w:hAnsi="Arial"/>
          <w:sz w:val="18"/>
          <w:szCs w:val="18"/>
          <w:color w:val="auto"/>
        </w:rPr>
      </w:pPr>
      <w:r>
        <w:rPr>
          <w:rFonts w:ascii="Arial" w:cs="Arial" w:eastAsia="Arial" w:hAnsi="Arial"/>
          <w:sz w:val="18"/>
          <w:szCs w:val="18"/>
          <w:color w:val="auto"/>
        </w:rPr>
        <w:t>If the Executive fails to deliver an Executive Response on or before the required date, the Company’s initial determinations shall be final, and the Company shall make the Potential Payments (other than the Eliminated Payments) to the Executive within 10 business days following the due date for delivery to the Company of the Executive Response (except for any Potential Payments which are not due to be made until after such date, which Potential Payments shall be made on the date on which they are due).</w:t>
      </w:r>
    </w:p>
    <w:p>
      <w:pPr>
        <w:spacing w:after="0" w:line="143" w:lineRule="exact"/>
        <w:rPr>
          <w:rFonts w:ascii="Arial" w:cs="Arial" w:eastAsia="Arial" w:hAnsi="Arial"/>
          <w:sz w:val="18"/>
          <w:szCs w:val="18"/>
          <w:color w:val="auto"/>
        </w:rPr>
      </w:pPr>
    </w:p>
    <w:p>
      <w:pPr>
        <w:jc w:val="both"/>
        <w:ind w:firstLine="1948"/>
        <w:spacing w:after="0" w:line="255" w:lineRule="auto"/>
        <w:tabs>
          <w:tab w:leader="none" w:pos="2222" w:val="left"/>
        </w:tabs>
        <w:numPr>
          <w:ilvl w:val="1"/>
          <w:numId w:val="185"/>
        </w:numPr>
        <w:rPr>
          <w:rFonts w:ascii="Arial" w:cs="Arial" w:eastAsia="Arial" w:hAnsi="Arial"/>
          <w:sz w:val="18"/>
          <w:szCs w:val="18"/>
          <w:color w:val="auto"/>
        </w:rPr>
      </w:pPr>
      <w:r>
        <w:rPr>
          <w:rFonts w:ascii="Arial" w:cs="Arial" w:eastAsia="Arial" w:hAnsi="Arial"/>
          <w:sz w:val="18"/>
          <w:szCs w:val="18"/>
          <w:color w:val="auto"/>
        </w:rPr>
        <w:t>If the Executive states in the Executive Response that he agrees with the Company’s determinations, the Company’s initial determinations shall be final, the Contingent Compensation Payments that shall be treated as Eliminated Payments shall be as set forth in the Executive Response, and the Company shall make the Potential Payments (other than the Eliminated Payments) to the Executive within 10 business days following delivery to the Company of the Executive Response (except for any Potential Payments which are not due to be made until after such date, which Potential Payments shall be made on the date on which they are due).</w:t>
      </w:r>
    </w:p>
    <w:p>
      <w:pPr>
        <w:spacing w:after="0" w:line="142" w:lineRule="exact"/>
        <w:rPr>
          <w:rFonts w:ascii="Arial" w:cs="Arial" w:eastAsia="Arial" w:hAnsi="Arial"/>
          <w:sz w:val="18"/>
          <w:szCs w:val="18"/>
          <w:color w:val="auto"/>
        </w:rPr>
      </w:pPr>
    </w:p>
    <w:p>
      <w:pPr>
        <w:jc w:val="both"/>
        <w:ind w:firstLine="1948"/>
        <w:spacing w:after="0" w:line="289" w:lineRule="auto"/>
        <w:tabs>
          <w:tab w:leader="none" w:pos="2249" w:val="left"/>
        </w:tabs>
        <w:numPr>
          <w:ilvl w:val="1"/>
          <w:numId w:val="185"/>
        </w:numPr>
        <w:rPr>
          <w:rFonts w:ascii="Arial" w:cs="Arial" w:eastAsia="Arial" w:hAnsi="Arial"/>
          <w:sz w:val="16"/>
          <w:szCs w:val="16"/>
          <w:color w:val="auto"/>
        </w:rPr>
      </w:pPr>
      <w:r>
        <w:rPr>
          <w:rFonts w:ascii="Arial" w:cs="Arial" w:eastAsia="Arial" w:hAnsi="Arial"/>
          <w:sz w:val="16"/>
          <w:szCs w:val="16"/>
          <w:color w:val="auto"/>
        </w:rPr>
        <w:t>If the Executive states in the Executive Response that he disagrees with the Company’s determinations, then, for a period of 60 days following delivery of the Executive Response, the Executive and the Company shall use good faith efforts to resolve such dispute. If such dispute is not resolved within such 60-day period, such dispute shall be settled exclusively by arbitration in Boston, Massachusetts, in accordance with the rules of the American Arbitration Association then in effect. Judgment may be entered on the arbitrator’s award in any court having jurisdiction. The Company shall, within 10 business days following delivery to the Company of the Executive Response, make to the Executive those Potential Payments as to which there is no dispute between the Company and the Executive regarding whether they should be made (except for any such Potential Payments which are not due to be made until after such date, which Potential Payments shall be made on the date on which they are due). The balance of the Potential Payments (other than Eliminated Payments) shall be made within 10 business days following the resolution of such dispute.</w:t>
      </w:r>
    </w:p>
    <w:p>
      <w:pPr>
        <w:spacing w:after="0" w:line="118" w:lineRule="exact"/>
        <w:rPr>
          <w:rFonts w:ascii="Arial" w:cs="Arial" w:eastAsia="Arial" w:hAnsi="Arial"/>
          <w:sz w:val="16"/>
          <w:szCs w:val="16"/>
          <w:color w:val="auto"/>
        </w:rPr>
      </w:pPr>
    </w:p>
    <w:p>
      <w:pPr>
        <w:jc w:val="both"/>
        <w:ind w:firstLine="1948"/>
        <w:spacing w:after="0" w:line="259" w:lineRule="auto"/>
        <w:tabs>
          <w:tab w:leader="none" w:pos="2297" w:val="left"/>
        </w:tabs>
        <w:numPr>
          <w:ilvl w:val="1"/>
          <w:numId w:val="185"/>
        </w:numPr>
        <w:rPr>
          <w:rFonts w:ascii="Arial" w:cs="Arial" w:eastAsia="Arial" w:hAnsi="Arial"/>
          <w:sz w:val="18"/>
          <w:szCs w:val="18"/>
          <w:color w:val="auto"/>
        </w:rPr>
      </w:pPr>
      <w:r>
        <w:rPr>
          <w:rFonts w:ascii="Arial" w:cs="Arial" w:eastAsia="Arial" w:hAnsi="Arial"/>
          <w:sz w:val="18"/>
          <w:szCs w:val="18"/>
          <w:color w:val="auto"/>
        </w:rPr>
        <w:t>Subject to the limitations contained in Sections 4.3(a) and (b) hereof, the amount of any payments to be made to the Executive following the resolution of such dispute shall be increased by amount of the accrued interest thereon computed at the prime rate announced from time to time by Bank of America, compounded monthly from the date that such payments originally were due.</w:t>
      </w:r>
    </w:p>
    <w:p>
      <w:pPr>
        <w:spacing w:after="0" w:line="140" w:lineRule="exact"/>
        <w:rPr>
          <w:rFonts w:ascii="Arial" w:cs="Arial" w:eastAsia="Arial" w:hAnsi="Arial"/>
          <w:sz w:val="18"/>
          <w:szCs w:val="18"/>
          <w:color w:val="auto"/>
        </w:rPr>
      </w:pPr>
    </w:p>
    <w:p>
      <w:pPr>
        <w:jc w:val="both"/>
        <w:ind w:firstLine="1948"/>
        <w:spacing w:after="0" w:line="298" w:lineRule="auto"/>
        <w:tabs>
          <w:tab w:leader="none" w:pos="2353" w:val="left"/>
        </w:tabs>
        <w:numPr>
          <w:ilvl w:val="1"/>
          <w:numId w:val="185"/>
        </w:numPr>
        <w:rPr>
          <w:rFonts w:ascii="Arial" w:cs="Arial" w:eastAsia="Arial" w:hAnsi="Arial"/>
          <w:sz w:val="16"/>
          <w:szCs w:val="16"/>
          <w:color w:val="auto"/>
        </w:rPr>
      </w:pPr>
      <w:r>
        <w:rPr>
          <w:rFonts w:ascii="Arial" w:cs="Arial" w:eastAsia="Arial" w:hAnsi="Arial"/>
          <w:sz w:val="16"/>
          <w:szCs w:val="16"/>
          <w:color w:val="auto"/>
        </w:rPr>
        <w:t>In the event the Company is required to perform a redetermination in accordance with Treas. Reg. 1.280G-1 Q/A-33(b) with respect to any Contingent Compensation Payments, this Section 4.3(d) shall apply with respect to such redetermination and the parties shall make such adjustments as may be necessary as a result of such redetermination including, if appropriate, the payment by the Company of Contingent Compensation Payments previously treated as Eliminated Payments if the Section 4.3(b) Override applies as a result of such redetermination.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22" w:name="page123"/>
    <w:bookmarkEnd w:id="122"/>
    <w:p>
      <w:pPr>
        <w:ind w:firstLine="1492"/>
        <w:spacing w:after="0" w:line="332" w:lineRule="auto"/>
        <w:tabs>
          <w:tab w:leader="none" w:pos="1752" w:val="left"/>
        </w:tabs>
        <w:numPr>
          <w:ilvl w:val="0"/>
          <w:numId w:val="18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provisions of this Section 4.3 are intended to apply to any and all payments or benefits available to the Executive under this Agreement or any other agreement or plan of the Company under which the Executive receives Contingent Compensation Payments.</w:t>
      </w:r>
    </w:p>
    <w:p>
      <w:pPr>
        <w:spacing w:after="0" w:line="85" w:lineRule="exact"/>
        <w:rPr>
          <w:sz w:val="20"/>
          <w:szCs w:val="20"/>
          <w:color w:val="auto"/>
        </w:rPr>
      </w:pPr>
    </w:p>
    <w:p>
      <w:pPr>
        <w:jc w:val="both"/>
        <w:ind w:firstLine="913"/>
        <w:spacing w:after="0" w:line="273"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Release</w:t>
      </w:r>
      <w:r>
        <w:rPr>
          <w:rFonts w:ascii="Arial" w:cs="Arial" w:eastAsia="Arial" w:hAnsi="Arial"/>
          <w:sz w:val="16"/>
          <w:szCs w:val="16"/>
          <w:color w:val="auto"/>
        </w:rPr>
        <w:t xml:space="preserve">. The obligation of the Company to make the payments and provide the benefits to the Executive under Section 4.1(a), Section 4.2(a) or Section 4.2(b) is conditioned upon the Executive signing a release of claims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or such other form as may be agreed to by the Company and the Executive (the “Employee Release”), within 21 days (the “Release Period”) following the Date of Termination and upon the Executive not revoking the Employee Release in a timely manner thereafter. Provided that the Employee Release has become binding, the payments to the Executive under</w:t>
      </w:r>
    </w:p>
    <w:p>
      <w:pPr>
        <w:jc w:val="both"/>
        <w:spacing w:after="0" w:line="230" w:lineRule="auto"/>
        <w:rPr>
          <w:sz w:val="20"/>
          <w:szCs w:val="20"/>
          <w:color w:val="auto"/>
        </w:rPr>
      </w:pPr>
      <w:r>
        <w:rPr>
          <w:rFonts w:ascii="Arial" w:cs="Arial" w:eastAsia="Arial" w:hAnsi="Arial"/>
          <w:sz w:val="18"/>
          <w:szCs w:val="18"/>
          <w:color w:val="auto"/>
        </w:rPr>
        <w:t>Section 4.1(a), Section 4.2(a) or Section 4.2(b) shall be payable or shall commence on the 30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following the Date of Termination. Notwithstanding the foregoing, the provisions of benefits under Section 4.1(a)(iii), Section 4.2(a)(iii) or Section 4.2(b)(iii) shall continue during the Release Period and any applicable revocation period.</w:t>
      </w:r>
    </w:p>
    <w:p>
      <w:pPr>
        <w:spacing w:after="0" w:line="185"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Exclusive Severance Benefits</w:t>
      </w:r>
      <w:r>
        <w:rPr>
          <w:rFonts w:ascii="Arial" w:cs="Arial" w:eastAsia="Arial" w:hAnsi="Arial"/>
          <w:sz w:val="18"/>
          <w:szCs w:val="18"/>
          <w:color w:val="auto"/>
        </w:rPr>
        <w:t>. The making of the payments and the provision of the benefits by the Company to the Executive under Section 4.1(a), Section 4.2(a) or Section 4.2(b) shall constitute the entire obligation of the Company to the Executive as a result of the termination of his employment under the circumstances set forth in such Sections, and the Executive shall not be entitled to additional payments or benefits under any other plan, program, policy, practice, contract or agreement of the Company or its subsidiaries.</w:t>
      </w:r>
    </w:p>
    <w:p>
      <w:pPr>
        <w:spacing w:after="0" w:line="143"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Mitigation</w:t>
      </w:r>
      <w:r>
        <w:rPr>
          <w:rFonts w:ascii="Arial" w:cs="Arial" w:eastAsia="Arial" w:hAnsi="Arial"/>
          <w:sz w:val="18"/>
          <w:szCs w:val="18"/>
          <w:color w:val="auto"/>
        </w:rPr>
        <w:t>. The Executive shall not be required to mitigate the amount of any payment or benefits provided for in Section 4.1(a), Section 4.2(a) or Section 4.2(b) by seeking other employment or otherwise. Further, except as provided in Section 4.1(a)(iii), Section 4.2(a)(iii) or Section 4.2(b)(iii), the amount of any payment or benefits provided for in Section 4.1(a), Section 4.2(a) or Section 4.2(b) shall not be reduced by any compensation earned or benefits received by the Executive as a result of employment by another employer.</w:t>
      </w:r>
    </w:p>
    <w:p>
      <w:pPr>
        <w:spacing w:after="0" w:line="143"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Section 409A</w:t>
      </w:r>
      <w:r>
        <w:rPr>
          <w:rFonts w:ascii="Arial" w:cs="Arial" w:eastAsia="Arial" w:hAnsi="Arial"/>
          <w:sz w:val="16"/>
          <w:szCs w:val="16"/>
          <w:color w:val="auto"/>
        </w:rPr>
        <w:t>. Subject to this Section 4.7, any severance payments or benefits under this Agreement shall begin only upon the date of the Executive’s “separation from service” (as determined below), which occurs on or after the date of the Executive’s termination. The following rules shall apply with respect to distribution of the payments and benefits, if any, to be provided to the Executive under Sections 4.1 or 4.2, as applicable:</w:t>
      </w:r>
    </w:p>
    <w:p>
      <w:pPr>
        <w:spacing w:after="0" w:line="26" w:lineRule="exact"/>
        <w:rPr>
          <w:sz w:val="20"/>
          <w:szCs w:val="20"/>
          <w:color w:val="auto"/>
        </w:rPr>
      </w:pPr>
    </w:p>
    <w:p>
      <w:pPr>
        <w:jc w:val="both"/>
        <w:ind w:firstLine="1492"/>
        <w:spacing w:after="0" w:line="256" w:lineRule="auto"/>
        <w:tabs>
          <w:tab w:leader="none" w:pos="1748"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It is intended that each installment of the payments and benefits provided under Sections 4.1 and 4.2 shall be treated as a separate “payment” for purposes of Section 409A of the U.S. Internal Revenue Code of 1986, as amended, and the guidance issued thereunder (“Section 409A”). Neither the Company nor the Executive shall have the right to accelerate or defer the delivery of any such payments or benefits except to the extent specifically permitted or required by Section 409A;</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23" w:name="page124"/>
    <w:bookmarkEnd w:id="123"/>
    <w:p>
      <w:pPr>
        <w:jc w:val="both"/>
        <w:ind w:firstLine="1492"/>
        <w:spacing w:after="0" w:line="259" w:lineRule="auto"/>
        <w:tabs>
          <w:tab w:leader="none" w:pos="1739" w:val="left"/>
        </w:tabs>
        <w:numPr>
          <w:ilvl w:val="0"/>
          <w:numId w:val="1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as of the date of the “separation from service” of the Executive from the Company (within the meaning of Section 4.7(d) below), the Executive is not a “specified employee” (within the meaning of Section 409A), then each installment of the payments and benefits shall be made on the dates and terms set forth in Sections 4.1 or 4.2, as applicable; and</w:t>
      </w:r>
    </w:p>
    <w:p>
      <w:pPr>
        <w:spacing w:after="0" w:line="140" w:lineRule="exact"/>
        <w:rPr>
          <w:rFonts w:ascii="Arial" w:cs="Arial" w:eastAsia="Arial" w:hAnsi="Arial"/>
          <w:sz w:val="18"/>
          <w:szCs w:val="18"/>
          <w:color w:val="auto"/>
        </w:rPr>
      </w:pPr>
    </w:p>
    <w:p>
      <w:pPr>
        <w:ind w:left="1740" w:hanging="248"/>
        <w:spacing w:after="0"/>
        <w:tabs>
          <w:tab w:leader="none" w:pos="174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If, as of the date of the separation from service of the Executive from the Company, the Executive is a specified employee, then:</w:t>
      </w:r>
    </w:p>
    <w:p>
      <w:pPr>
        <w:spacing w:after="0" w:line="194" w:lineRule="exact"/>
        <w:rPr>
          <w:rFonts w:ascii="Arial" w:cs="Arial" w:eastAsia="Arial" w:hAnsi="Arial"/>
          <w:sz w:val="16"/>
          <w:szCs w:val="16"/>
          <w:color w:val="auto"/>
        </w:rPr>
      </w:pPr>
    </w:p>
    <w:p>
      <w:pPr>
        <w:jc w:val="both"/>
        <w:ind w:firstLine="1948"/>
        <w:spacing w:after="0" w:line="256" w:lineRule="auto"/>
        <w:tabs>
          <w:tab w:leader="none" w:pos="2158" w:val="left"/>
        </w:tabs>
        <w:numPr>
          <w:ilvl w:val="1"/>
          <w:numId w:val="188"/>
        </w:numPr>
        <w:rPr>
          <w:rFonts w:ascii="Arial" w:cs="Arial" w:eastAsia="Arial" w:hAnsi="Arial"/>
          <w:sz w:val="18"/>
          <w:szCs w:val="18"/>
          <w:color w:val="auto"/>
        </w:rPr>
      </w:pPr>
      <w:r>
        <w:rPr>
          <w:rFonts w:ascii="Arial" w:cs="Arial" w:eastAsia="Arial" w:hAnsi="Arial"/>
          <w:sz w:val="18"/>
          <w:szCs w:val="18"/>
          <w:color w:val="auto"/>
        </w:rPr>
        <w:t>Each installment of the payments and benefits due under Sections 4.1 or 4.2 that, in accordance with the dates and terms set forth herein, will in all circumstances, regardless of when the separation from service occurs, be paid within the short-term deferral period (as defined under Section 409A) shall be treated as a short-term deferral within the meaning of Treasury Regulation Section 1.409A-1(b)(4) to the maximum extent permissible under Section 409A.</w:t>
      </w:r>
    </w:p>
    <w:p>
      <w:pPr>
        <w:spacing w:after="0" w:line="143" w:lineRule="exact"/>
        <w:rPr>
          <w:rFonts w:ascii="Arial" w:cs="Arial" w:eastAsia="Arial" w:hAnsi="Arial"/>
          <w:sz w:val="18"/>
          <w:szCs w:val="18"/>
          <w:color w:val="auto"/>
        </w:rPr>
      </w:pPr>
    </w:p>
    <w:p>
      <w:pPr>
        <w:jc w:val="both"/>
        <w:ind w:firstLine="1948"/>
        <w:spacing w:after="0" w:line="287" w:lineRule="auto"/>
        <w:tabs>
          <w:tab w:leader="none" w:pos="2208" w:val="left"/>
        </w:tabs>
        <w:numPr>
          <w:ilvl w:val="1"/>
          <w:numId w:val="188"/>
        </w:numPr>
        <w:rPr>
          <w:rFonts w:ascii="Arial" w:cs="Arial" w:eastAsia="Arial" w:hAnsi="Arial"/>
          <w:sz w:val="16"/>
          <w:szCs w:val="16"/>
          <w:color w:val="auto"/>
        </w:rPr>
      </w:pPr>
      <w:r>
        <w:rPr>
          <w:rFonts w:ascii="Arial" w:cs="Arial" w:eastAsia="Arial" w:hAnsi="Arial"/>
          <w:sz w:val="16"/>
          <w:szCs w:val="16"/>
          <w:color w:val="auto"/>
        </w:rPr>
        <w:t xml:space="preserve">Each installment of the payments and benefits due under Sections 4.1 or 4.2 that is not described in Section 4.7(c)(i), above, and that would, absent this subsection, be paid within the six-month period following the separation from service of the Executive from the Company shall not be paid until the date that is six months and one day after such separation from service (or, if earlier, the Executive’s death), with any such installments that are required to be delayed being accumulated during the six-month period and paid in a lump sum on the date that is six months and one day following the Executive’s separation from service and any subsequent installments, if any, being paid in accordance with the dates and terms set forth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preceding provisions of this sentence shall not apply to any installment of payments and benefits if and to the maximum extent that that such installment is deemed to be paid under a separation pay plan that does not provide for a deferral of compensation by reason of the application of Treasury Regulation 1.409A-1(b)(9)(iii) (relating to separation pay upon an involuntary separation from service). Any installments that qualify for the exception under Treasury Regulation Section Section 1.409A-1(b)(9)(iii) must be paid no later than the last day of the Executive’s second taxable year following his taxable year in which the separation from service occurs.</w:t>
      </w:r>
    </w:p>
    <w:p>
      <w:pPr>
        <w:spacing w:after="0" w:line="122" w:lineRule="exact"/>
        <w:rPr>
          <w:rFonts w:ascii="Arial" w:cs="Arial" w:eastAsia="Arial" w:hAnsi="Arial"/>
          <w:sz w:val="16"/>
          <w:szCs w:val="16"/>
          <w:color w:val="auto"/>
        </w:rPr>
      </w:pPr>
    </w:p>
    <w:p>
      <w:pPr>
        <w:jc w:val="both"/>
        <w:ind w:firstLine="1492"/>
        <w:spacing w:after="0" w:line="306" w:lineRule="auto"/>
        <w:tabs>
          <w:tab w:leader="none" w:pos="1758"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The determination of whether and when a separation from service from the Company has occurred shall be made and in a manner consistent with and based on the presumptions set forth in, Treasury Regulation Section 1.409A-1(h). Solely for purposes of this Section 4.7(d), “Company” shall include all persons with whom the Company would be considered a single employer as determined under Treasury Regulation Section 1.409A-1(h)(3).</w:t>
      </w:r>
    </w:p>
    <w:p>
      <w:pPr>
        <w:spacing w:after="0" w:line="106" w:lineRule="exact"/>
        <w:rPr>
          <w:rFonts w:ascii="Arial" w:cs="Arial" w:eastAsia="Arial" w:hAnsi="Arial"/>
          <w:sz w:val="16"/>
          <w:szCs w:val="16"/>
          <w:color w:val="auto"/>
        </w:rPr>
      </w:pPr>
    </w:p>
    <w:p>
      <w:pPr>
        <w:jc w:val="both"/>
        <w:ind w:firstLine="1492"/>
        <w:spacing w:after="0" w:line="291" w:lineRule="auto"/>
        <w:tabs>
          <w:tab w:leader="none" w:pos="1722" w:val="left"/>
        </w:tabs>
        <w:numPr>
          <w:ilvl w:val="0"/>
          <w:numId w:val="188"/>
        </w:numPr>
        <w:rPr>
          <w:rFonts w:ascii="Arial" w:cs="Arial" w:eastAsia="Arial" w:hAnsi="Arial"/>
          <w:sz w:val="16"/>
          <w:szCs w:val="16"/>
          <w:color w:val="auto"/>
        </w:rPr>
      </w:pPr>
      <w:r>
        <w:rPr>
          <w:rFonts w:ascii="Arial" w:cs="Arial" w:eastAsia="Arial" w:hAnsi="Arial"/>
          <w:sz w:val="16"/>
          <w:szCs w:val="16"/>
          <w:color w:val="auto"/>
        </w:rPr>
        <w:t>All reimbursements and in-kind benefits provided under the Agreement shall be made or provided in accordance with the requirements of Section 409A to the extent that such reimbursements or in-kind benefits are subject to Section 409A, including, where applicable, the requirement that (i) any reimbursement is for expenses incurred during the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24" w:name="page125"/>
    <w:bookmarkEnd w:id="124"/>
    <w:p>
      <w:pPr>
        <w:jc w:val="both"/>
        <w:ind w:firstLine="1492"/>
        <w:spacing w:after="0" w:line="259" w:lineRule="auto"/>
        <w:tabs>
          <w:tab w:leader="none" w:pos="1713" w:val="left"/>
        </w:tabs>
        <w:numPr>
          <w:ilvl w:val="1"/>
          <w:numId w:val="1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makes no representation or warranty and shall have no liability to the Executive or any other person if any provisions of this Agreement are determined to constitute deferred compensation subject to Section 409A and do not satisfy an exemption from, or the conditions of, Section 409A.</w:t>
      </w:r>
    </w:p>
    <w:p>
      <w:pPr>
        <w:spacing w:after="0" w:line="140" w:lineRule="exact"/>
        <w:rPr>
          <w:rFonts w:ascii="Arial" w:cs="Arial" w:eastAsia="Arial" w:hAnsi="Arial"/>
          <w:sz w:val="18"/>
          <w:szCs w:val="18"/>
          <w:color w:val="auto"/>
        </w:rPr>
      </w:pPr>
    </w:p>
    <w:p>
      <w:pPr>
        <w:jc w:val="both"/>
        <w:ind w:firstLine="464"/>
        <w:spacing w:after="0" w:line="255" w:lineRule="auto"/>
        <w:tabs>
          <w:tab w:leader="none" w:pos="632"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Settlement of Disputes; Arbitration</w:t>
      </w:r>
      <w:r>
        <w:rPr>
          <w:rFonts w:ascii="Arial" w:cs="Arial" w:eastAsia="Arial" w:hAnsi="Arial"/>
          <w:sz w:val="18"/>
          <w:szCs w:val="18"/>
          <w:color w:val="auto"/>
        </w:rPr>
        <w:t>. All claims by the Executive for benefits under this Agreement shall be directed to the Board and shall be in writing. Any denial by the Board of a claim for benefits under this Agreement shall be delivered to the Executive in writing and shall set forth the reasons for the denial and the provisions of this Agreement relied upon. Any further dispute or controversy arising under or in connection with this Agreement shall be settled exclusively by arbitration in Boston, Massachusetts, in accordance with the rules of the American Arbitration Association then in effect. Judgment may be entered on the arbitrator’s award in any court having jurisdiction.</w:t>
      </w:r>
    </w:p>
    <w:p>
      <w:pPr>
        <w:spacing w:after="0" w:line="142" w:lineRule="exact"/>
        <w:rPr>
          <w:rFonts w:ascii="Arial" w:cs="Arial" w:eastAsia="Arial" w:hAnsi="Arial"/>
          <w:sz w:val="18"/>
          <w:szCs w:val="18"/>
          <w:color w:val="auto"/>
        </w:rPr>
      </w:pPr>
    </w:p>
    <w:p>
      <w:pPr>
        <w:ind w:left="640" w:hanging="176"/>
        <w:spacing w:after="0"/>
        <w:tabs>
          <w:tab w:leader="none" w:pos="640"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71"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Successors</w:t>
      </w:r>
      <w:r>
        <w:rPr>
          <w:rFonts w:ascii="Arial" w:cs="Arial" w:eastAsia="Arial" w:hAnsi="Arial"/>
          <w:sz w:val="18"/>
          <w:szCs w:val="18"/>
          <w:color w:val="auto"/>
        </w:rPr>
        <w:t>. This Agreement shall be binding upon the Company and its successors and assigns. This Agreement shall inure to the benefit of and be enforceable by the Executive’s personal or legal representatives, executors, administrators, successors, heirs, distributees, devisees and legatees. If the Executive should die while any amount would still be payable to the Executive or his family hereunder if the Executive had continued to live, all such amounts, unless otherwise provided herein, shall be paid in accordance with the terms of this Agreement to the executors, personal representatives or administrators of the Executive’s estate.</w:t>
      </w:r>
    </w:p>
    <w:p>
      <w:pPr>
        <w:spacing w:after="0" w:line="143" w:lineRule="exact"/>
        <w:rPr>
          <w:sz w:val="20"/>
          <w:szCs w:val="20"/>
          <w:color w:val="auto"/>
        </w:rPr>
      </w:pPr>
    </w:p>
    <w:p>
      <w:pPr>
        <w:jc w:val="both"/>
        <w:ind w:firstLine="913"/>
        <w:spacing w:after="0" w:line="289"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Notice</w:t>
      </w:r>
      <w:r>
        <w:rPr>
          <w:rFonts w:ascii="Arial" w:cs="Arial" w:eastAsia="Arial" w:hAnsi="Arial"/>
          <w:sz w:val="16"/>
          <w:szCs w:val="16"/>
          <w:color w:val="auto"/>
        </w:rPr>
        <w:t>. All notices, instructions and other communications given hereunder or in connection herewith shall be in writing. Any such notice, instruction or communication shall be sent either (i) by registered or certified mail, return receipt requested, postage prepaid, or (ii) prepaid via a reputable nationwide overnight courier service, in each case addressed to the Company, at 64 Jackson Road, Devens, Massachusetts 01434, and to the Executive at the Executive’s address indicated on the signature page of this Agreement (or to such other address as either the Company or the Executive may have furnished to the other in writing in accordance herewith). Any such notice, instruction or communication shall be deemed to have been delivered five business days after it is sent by registered or certified mail, return receipt requested, postage prepaid, or one business day after it is sent via a reputable nationwide overnight courier service. Either party may give any notice, instruction or other communication hereunder using any other means, but no such notice, instruction or other communication shall be deemed to have been duly delivered unless and until it actually is received by the party for whom it is intended.</w:t>
      </w:r>
    </w:p>
    <w:p>
      <w:pPr>
        <w:spacing w:after="0" w:line="118"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Employment by Subsidiary</w:t>
      </w:r>
      <w:r>
        <w:rPr>
          <w:rFonts w:ascii="Arial" w:cs="Arial" w:eastAsia="Arial" w:hAnsi="Arial"/>
          <w:sz w:val="18"/>
          <w:szCs w:val="18"/>
          <w:color w:val="auto"/>
        </w:rPr>
        <w:t>. For purposes of this Agreement, the Executive’s employment with the Company shall not be deemed to have terminated solely as a result of the Executive continuing to be employed by a wholly-owned subsidiary of the Company.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25" w:name="page126"/>
    <w:bookmarkEnd w:id="125"/>
    <w:p>
      <w:pPr>
        <w:jc w:val="both"/>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6.4 </w:t>
      </w: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of this Agreement shall not affect the validity or enforceability of any other provision of this Agreement, which shall remain in full force and effect.</w:t>
      </w:r>
    </w:p>
    <w:p>
      <w:pPr>
        <w:spacing w:after="0" w:line="132"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interpretation, construction and performance of this Agreement shall be governed by the internal laws of the Commonwealth of Massachusetts, without regard to conflicts of law principles.</w:t>
      </w:r>
    </w:p>
    <w:p>
      <w:pPr>
        <w:spacing w:after="0" w:line="132"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Waivers</w:t>
      </w:r>
      <w:r>
        <w:rPr>
          <w:rFonts w:ascii="Arial" w:cs="Arial" w:eastAsia="Arial" w:hAnsi="Arial"/>
          <w:sz w:val="18"/>
          <w:szCs w:val="18"/>
          <w:color w:val="auto"/>
        </w:rPr>
        <w:t>. No waiver by the Executive at any time of any breach of, or compliance with, any provision of this Agreement to be performed by the Company shall be deemed a waiver of that or any other provision at any subsequent time.</w:t>
      </w:r>
    </w:p>
    <w:p>
      <w:pPr>
        <w:spacing w:after="0" w:line="132"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to be an original but both of which together shall constitute one and the same instrument.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Tax Withholding</w:t>
      </w:r>
      <w:r>
        <w:rPr>
          <w:rFonts w:ascii="Arial" w:cs="Arial" w:eastAsia="Arial" w:hAnsi="Arial"/>
          <w:sz w:val="16"/>
          <w:szCs w:val="16"/>
          <w:color w:val="auto"/>
        </w:rPr>
        <w:t>. Any payments provided for hereunder shall be paid net of any applicable tax withholding required under federal, state or local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165" w:lineRule="exact"/>
        <w:rPr>
          <w:sz w:val="20"/>
          <w:szCs w:val="20"/>
          <w:color w:val="auto"/>
        </w:rPr>
      </w:pPr>
    </w:p>
    <w:p>
      <w:pPr>
        <w:jc w:val="both"/>
        <w:ind w:firstLine="913"/>
        <w:spacing w:after="0" w:line="254"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sets forth the entire agreement of the parties hereto in respect of the subject matter contained herein and supersedes all prior agreements, promises, covenants, arrangements, communications, representations or warranties, whether oral or written, by any officer, employee or representative of any party hereto in respect of the subject matter contained herein; and any prior agreement of the parties hereto in respect of the subject matter contained herein is hereby terminated and cancelled. Notwithstanding the foregoing, the provisions of any stock option agreements between the Company and the Executive (including any terms thereof relating to acceleration of vesting) shall not be superseded by or modified by the terms of this Agreement.</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Amendments</w:t>
      </w:r>
      <w:r>
        <w:rPr>
          <w:rFonts w:ascii="Arial" w:cs="Arial" w:eastAsia="Arial" w:hAnsi="Arial"/>
          <w:sz w:val="16"/>
          <w:szCs w:val="16"/>
          <w:color w:val="auto"/>
        </w:rPr>
        <w:t>. This Agreement may be amended or modified only by a written instrument executed by both the Company and the Executive.</w:t>
      </w:r>
    </w:p>
    <w:p>
      <w:pPr>
        <w:spacing w:after="0" w:line="194"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Executive’s Acknowledgements</w:t>
      </w:r>
      <w:r>
        <w:rPr>
          <w:rFonts w:ascii="Arial" w:cs="Arial" w:eastAsia="Arial" w:hAnsi="Arial"/>
          <w:sz w:val="16"/>
          <w:szCs w:val="16"/>
          <w:color w:val="auto"/>
        </w:rPr>
        <w:t>. The Executive acknowledges that he: (a) has read this Agreement; (b) has been represented in the preparation, negotiation, and execution of this Agreement by legal counsel of the Executive’s own choice or has voluntarily declined to seek such counsel; (c) understands the terms and consequences of this Agreement; and (d) understands that the law firm of Wilmer Cutler Pickering Hale and Dorr LLP is acting as counsel to the Company in connection with the transactions contemplated by this Agreement, and is not acting as counsel for the Executive.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executed this Agreement as of the day and year first set forth above.</w:t>
      </w:r>
    </w:p>
    <w:p>
      <w:pPr>
        <w:spacing w:after="0" w:line="212" w:lineRule="exact"/>
        <w:rPr>
          <w:sz w:val="20"/>
          <w:szCs w:val="20"/>
          <w:color w:val="auto"/>
        </w:rPr>
      </w:pPr>
    </w:p>
    <w:p>
      <w:pPr>
        <w:jc w:val="right"/>
        <w:ind w:right="680"/>
        <w:spacing w:after="0"/>
        <w:rPr>
          <w:sz w:val="20"/>
          <w:szCs w:val="20"/>
          <w:color w:val="auto"/>
        </w:rPr>
      </w:pPr>
      <w:r>
        <w:rPr>
          <w:rFonts w:ascii="Arial" w:cs="Arial" w:eastAsia="Arial" w:hAnsi="Arial"/>
          <w:sz w:val="18"/>
          <w:szCs w:val="18"/>
          <w:color w:val="auto"/>
        </w:rPr>
        <w:t>AMERICAN SUPERCONDUCTOR CORPORATION</w:t>
      </w:r>
    </w:p>
    <w:p>
      <w:pPr>
        <w:spacing w:after="0" w:line="225"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1020" w:type="dxa"/>
            <w:vAlign w:val="bottom"/>
          </w:tcPr>
          <w:p>
            <w:pPr>
              <w:spacing w:after="0"/>
              <w:rPr>
                <w:sz w:val="20"/>
                <w:szCs w:val="20"/>
                <w:color w:val="auto"/>
              </w:rPr>
            </w:pPr>
            <w:r>
              <w:rPr>
                <w:rFonts w:ascii="Arial" w:cs="Arial" w:eastAsia="Arial" w:hAnsi="Arial"/>
                <w:sz w:val="18"/>
                <w:szCs w:val="18"/>
                <w:color w:val="auto"/>
              </w:rPr>
              <w:t>Signature:</w:t>
            </w:r>
          </w:p>
        </w:tc>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Yurek</w:t>
            </w:r>
          </w:p>
        </w:tc>
      </w:tr>
      <w:tr>
        <w:trPr>
          <w:trHeight w:val="217"/>
        </w:trPr>
        <w:tc>
          <w:tcPr>
            <w:tcW w:w="1020" w:type="dxa"/>
            <w:vAlign w:val="bottom"/>
          </w:tcPr>
          <w:p>
            <w:pPr>
              <w:spacing w:after="0"/>
              <w:rPr>
                <w:sz w:val="20"/>
                <w:szCs w:val="20"/>
                <w:color w:val="auto"/>
              </w:rPr>
            </w:pPr>
            <w:r>
              <w:rPr>
                <w:rFonts w:ascii="Arial" w:cs="Arial" w:eastAsia="Arial" w:hAnsi="Arial"/>
                <w:sz w:val="18"/>
                <w:szCs w:val="18"/>
                <w:color w:val="auto"/>
              </w:rPr>
              <w:t>Print name:</w:t>
            </w:r>
          </w:p>
        </w:tc>
        <w:tc>
          <w:tcPr>
            <w:tcW w:w="3540" w:type="dxa"/>
            <w:vAlign w:val="bottom"/>
          </w:tcPr>
          <w:p>
            <w:pPr>
              <w:spacing w:after="0"/>
              <w:rPr>
                <w:sz w:val="20"/>
                <w:szCs w:val="20"/>
                <w:color w:val="auto"/>
              </w:rPr>
            </w:pPr>
            <w:r>
              <w:rPr>
                <w:rFonts w:ascii="Arial" w:cs="Arial" w:eastAsia="Arial" w:hAnsi="Arial"/>
                <w:sz w:val="18"/>
                <w:szCs w:val="18"/>
                <w:color w:val="auto"/>
              </w:rPr>
              <w:t>Gregory Yurek</w:t>
            </w:r>
          </w:p>
        </w:tc>
      </w:tr>
      <w:tr>
        <w:trPr>
          <w:trHeight w:val="222"/>
        </w:trPr>
        <w:tc>
          <w:tcPr>
            <w:tcW w:w="1020" w:type="dxa"/>
            <w:vAlign w:val="bottom"/>
          </w:tcPr>
          <w:p>
            <w:pPr>
              <w:spacing w:after="0"/>
              <w:rPr>
                <w:sz w:val="20"/>
                <w:szCs w:val="20"/>
                <w:color w:val="auto"/>
              </w:rPr>
            </w:pPr>
            <w:r>
              <w:rPr>
                <w:rFonts w:ascii="Arial" w:cs="Arial" w:eastAsia="Arial" w:hAnsi="Arial"/>
                <w:sz w:val="18"/>
                <w:szCs w:val="18"/>
                <w:color w:val="auto"/>
              </w:rPr>
              <w:t>Title:</w:t>
            </w:r>
          </w:p>
        </w:tc>
        <w:tc>
          <w:tcPr>
            <w:tcW w:w="35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w w:val="97"/>
              </w:rPr>
              <w:t>EXECUTIVE</w:t>
            </w:r>
          </w:p>
        </w:tc>
        <w:tc>
          <w:tcPr>
            <w:tcW w:w="3540" w:type="dxa"/>
            <w:vAlign w:val="bottom"/>
          </w:tcPr>
          <w:p>
            <w:pPr>
              <w:spacing w:after="0"/>
              <w:rPr>
                <w:sz w:val="24"/>
                <w:szCs w:val="24"/>
                <w:color w:val="auto"/>
              </w:rPr>
            </w:pP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Signature:</w:t>
            </w:r>
          </w:p>
        </w:tc>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P. McGahn</w:t>
            </w:r>
          </w:p>
        </w:tc>
      </w:tr>
      <w:tr>
        <w:trPr>
          <w:trHeight w:val="223"/>
        </w:trPr>
        <w:tc>
          <w:tcPr>
            <w:tcW w:w="1020" w:type="dxa"/>
            <w:vAlign w:val="bottom"/>
          </w:tcPr>
          <w:p>
            <w:pPr>
              <w:spacing w:after="0"/>
              <w:rPr>
                <w:sz w:val="20"/>
                <w:szCs w:val="20"/>
                <w:color w:val="auto"/>
              </w:rPr>
            </w:pPr>
            <w:r>
              <w:rPr>
                <w:rFonts w:ascii="Arial" w:cs="Arial" w:eastAsia="Arial" w:hAnsi="Arial"/>
                <w:sz w:val="18"/>
                <w:szCs w:val="18"/>
                <w:color w:val="auto"/>
              </w:rPr>
              <w:t>Print name:</w:t>
            </w:r>
          </w:p>
        </w:tc>
        <w:tc>
          <w:tcPr>
            <w:tcW w:w="3540" w:type="dxa"/>
            <w:vAlign w:val="bottom"/>
          </w:tcPr>
          <w:p>
            <w:pPr>
              <w:spacing w:after="0"/>
              <w:rPr>
                <w:sz w:val="20"/>
                <w:szCs w:val="20"/>
                <w:color w:val="auto"/>
              </w:rPr>
            </w:pPr>
            <w:r>
              <w:rPr>
                <w:rFonts w:ascii="Arial" w:cs="Arial" w:eastAsia="Arial" w:hAnsi="Arial"/>
                <w:sz w:val="18"/>
                <w:szCs w:val="18"/>
                <w:color w:val="auto"/>
              </w:rPr>
              <w:t>Daniel P. McGahn</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Address:</w:t>
            </w:r>
          </w:p>
        </w:tc>
        <w:tc>
          <w:tcPr>
            <w:tcW w:w="3540" w:type="dxa"/>
            <w:vAlign w:val="bottom"/>
          </w:tcPr>
          <w:p>
            <w:pPr>
              <w:spacing w:after="0"/>
              <w:rPr>
                <w:sz w:val="24"/>
                <w:szCs w:val="24"/>
                <w:color w:val="auto"/>
              </w:rPr>
            </w:pPr>
          </w:p>
        </w:tc>
      </w:tr>
    </w:tbl>
    <w:p>
      <w:pPr>
        <w:spacing w:after="0" w:line="10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 American Superconductor Corporation</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64 Jackson Road</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Devens, MA 01434-4020</w:t>
      </w:r>
    </w:p>
    <w:p>
      <w:pPr>
        <w:spacing w:after="0" w:line="15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700" w:top="280"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RELEASE</w:t>
      </w:r>
    </w:p>
    <w:p>
      <w:pPr>
        <w:spacing w:after="0" w:line="171"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In consideration of the payment to me of the severance benefits pursuant to Section 4.1(a), 4.2(a) or 4.2(b) of my Executive Severance Agreement with</w:t>
      </w:r>
    </w:p>
    <w:p>
      <w:pPr>
        <w:spacing w:after="0" w:line="38" w:lineRule="exact"/>
        <w:rPr>
          <w:sz w:val="20"/>
          <w:szCs w:val="20"/>
          <w:color w:val="auto"/>
        </w:rPr>
      </w:pPr>
    </w:p>
    <w:p>
      <w:pPr>
        <w:spacing w:after="0"/>
        <w:tabs>
          <w:tab w:leader="none" w:pos="5380" w:val="left"/>
          <w:tab w:leader="none" w:pos="5600" w:val="left"/>
          <w:tab w:leader="none" w:pos="6160" w:val="left"/>
        </w:tabs>
        <w:rPr>
          <w:sz w:val="20"/>
          <w:szCs w:val="20"/>
          <w:color w:val="auto"/>
        </w:rPr>
      </w:pPr>
      <w:r>
        <w:rPr>
          <w:rFonts w:ascii="Arial" w:cs="Arial" w:eastAsia="Arial" w:hAnsi="Arial"/>
          <w:sz w:val="18"/>
          <w:szCs w:val="18"/>
          <w:color w:val="auto"/>
        </w:rPr>
        <w:t>American Superconductor Corporation (the “Company”) dated</w:t>
      </w:r>
      <w:r>
        <w:rPr>
          <w:sz w:val="20"/>
          <w:szCs w:val="20"/>
          <w:color w:val="auto"/>
        </w:rPr>
        <w:tab/>
      </w:r>
      <w:r>
        <w:rPr>
          <w:rFonts w:ascii="Arial" w:cs="Arial" w:eastAsia="Arial" w:hAnsi="Arial"/>
          <w:sz w:val="18"/>
          <w:szCs w:val="18"/>
          <w:color w:val="auto"/>
        </w:rPr>
        <w:t>[</w:t>
        <w:tab/>
        <w:t>], 20</w:t>
      </w:r>
      <w:r>
        <w:rPr>
          <w:sz w:val="20"/>
          <w:szCs w:val="20"/>
          <w:color w:val="auto"/>
        </w:rPr>
        <w:tab/>
      </w:r>
      <w:r>
        <w:rPr>
          <w:rFonts w:ascii="Arial" w:cs="Arial" w:eastAsia="Arial" w:hAnsi="Arial"/>
          <w:sz w:val="16"/>
          <w:szCs w:val="16"/>
          <w:color w:val="auto"/>
        </w:rPr>
        <w:t>(the “Agreement”), I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-17780</wp:posOffset>
            </wp:positionV>
            <wp:extent cx="104965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049655" cy="8890"/>
                    </a:xfrm>
                    <a:prstGeom prst="rect">
                      <a:avLst/>
                    </a:prstGeom>
                    <a:noFill/>
                  </pic:spPr>
                </pic:pic>
              </a:graphicData>
            </a:graphic>
          </wp:anchor>
        </w:drawing>
      </w:r>
    </w:p>
    <w:p>
      <w:pPr>
        <w:spacing w:after="0" w:line="64" w:lineRule="exact"/>
        <w:rPr>
          <w:sz w:val="20"/>
          <w:szCs w:val="20"/>
          <w:color w:val="auto"/>
        </w:rPr>
      </w:pPr>
    </w:p>
    <w:p>
      <w:pPr>
        <w:jc w:val="both"/>
        <w:ind w:firstLine="8"/>
        <w:spacing w:after="0" w:line="285" w:lineRule="auto"/>
        <w:tabs>
          <w:tab w:leader="none" w:pos="208" w:val="left"/>
        </w:tabs>
        <w:numPr>
          <w:ilvl w:val="0"/>
          <w:numId w:val="191"/>
        </w:numPr>
        <w:rPr>
          <w:rFonts w:ascii="Arial" w:cs="Arial" w:eastAsia="Arial" w:hAnsi="Arial"/>
          <w:sz w:val="16"/>
          <w:szCs w:val="16"/>
          <w:color w:val="auto"/>
        </w:rPr>
      </w:pPr>
      <w:r>
        <w:rPr>
          <w:rFonts w:ascii="Arial" w:cs="Arial" w:eastAsia="Arial" w:hAnsi="Arial"/>
          <w:sz w:val="16"/>
          <w:szCs w:val="16"/>
          <w:color w:val="auto"/>
        </w:rPr>
        <w:t>I, on behalf of myself and my representatives, agents, estate, heirs, successors and assigns, hereby irrevocably and unconditionally release, remise and discharge the Company, its officers, directors, stockholders, affiliates (within the meaning of the Securities Act of 1933), attorneys, agents and employees, and their respective predecessors, successors and assigns (collectively, the “Company Releasees”), from any and all actions or causes of action, suits, claims, complaints, liabilities, contracts, torts, debts, damages, controversies, rights and demands, whether existing or contingent, known or unknown, arising up to and through the date of this Release out of my employment, or the termination of my employment, with the Company, including, but not limited to, all employment discrimination claims under the Age Discrimination in Employment Act, 29 U.S.C. §621 et seq., Title VII of the Civil Rights Act of 1964, 42 U.S.C. § 2000e et seq., the Americans With Disabilities Act of 1990, 42 U.S.C. § 12101 et seq., the Family and Medical Leave Act, 29 U.S.C. § 2601 et seq., the Worker Adjustment and Retraining Notification Act (“WARN”), 29 U.S.C. § 2101 et seq., the Massachusetts Fair Employment Practices Act, M.G.L. c.151B, § 1 et seq., the Massachusetts Civil Rights Act, M.G.L. c.12, §§ 11H and 11I, the Massachusetts Equal Rights Act, M.G.L. c.93, § 102 and M.G.L. c.214, § 1C, the Massachusetts Labor and Industries Act, M.G.L. c.149, § 1 et seq., and the Massachusetts Privacy Act, M.G.L. c.214, § 1B, all as amended, and all claims arising out of the Fair Credit Reporting Act, 15 U.S.C. § 1681 et seq. and the Employee Retirement Income Security Act of 1974 (“ERISA”), 29 U.S.C. § 1001 et seq., all as amended; and all claims to any non-vested ownership interest in the Company, contractual or otherwise, including, but not limited to, claims to stock or stock options. Notwithstanding the foregoing, (a) nothing in this Release prevents me from filing, cooperating with, or participating in any proceeding before the EEOC or a state Fair Employment Practices Agency (except that I acknowledge that I may not recover any monetary benefits in connection with any such claim, charge or proceeding), (b) this Release does not extend to any rights I have that arise after the date hereof under the Agreement and (c) this Release does not extend to any rights I may have to indemnification as an officer or director of the Company under the provisions of the Company’s By-laws or applicable law.</w:t>
      </w:r>
    </w:p>
    <w:p>
      <w:pPr>
        <w:spacing w:after="0" w:line="123" w:lineRule="exact"/>
        <w:rPr>
          <w:rFonts w:ascii="Arial" w:cs="Arial" w:eastAsia="Arial" w:hAnsi="Arial"/>
          <w:sz w:val="16"/>
          <w:szCs w:val="16"/>
          <w:color w:val="auto"/>
        </w:rPr>
      </w:pPr>
    </w:p>
    <w:p>
      <w:pPr>
        <w:ind w:right="20" w:firstLine="8"/>
        <w:spacing w:after="0" w:line="268" w:lineRule="auto"/>
        <w:tabs>
          <w:tab w:leader="none" w:pos="179"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 have been advised by the Company to consult with counsel before signing this Release, and have been given the opportunity to consult with my own counsel prior to signing this Release.</w:t>
      </w:r>
    </w:p>
    <w:p>
      <w:pPr>
        <w:spacing w:after="0" w:line="131" w:lineRule="exact"/>
        <w:rPr>
          <w:rFonts w:ascii="Arial" w:cs="Arial" w:eastAsia="Arial" w:hAnsi="Arial"/>
          <w:sz w:val="18"/>
          <w:szCs w:val="18"/>
          <w:color w:val="auto"/>
        </w:rPr>
      </w:pPr>
    </w:p>
    <w:p>
      <w:pPr>
        <w:ind w:left="180" w:hanging="172"/>
        <w:spacing w:after="0"/>
        <w:tabs>
          <w:tab w:leader="none" w:pos="1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 have been given up to twenty-one (21) days from the receipt of this Release to consider whether to execute this Release.</w:t>
      </w:r>
    </w:p>
    <w:p>
      <w:pPr>
        <w:spacing w:after="0" w:line="171" w:lineRule="exact"/>
        <w:rPr>
          <w:rFonts w:ascii="Arial" w:cs="Arial" w:eastAsia="Arial" w:hAnsi="Arial"/>
          <w:sz w:val="18"/>
          <w:szCs w:val="18"/>
          <w:color w:val="auto"/>
        </w:rPr>
      </w:pPr>
    </w:p>
    <w:p>
      <w:pPr>
        <w:jc w:val="both"/>
        <w:ind w:firstLine="8"/>
        <w:spacing w:after="0" w:line="259" w:lineRule="auto"/>
        <w:tabs>
          <w:tab w:leader="none" w:pos="179"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 have been advised that even after I sign this Release, I may revoke it within seven (7) days of the date of my signing by delivering a signed revocation notice to the Secretary of the Company. Delivery by ordinary mail will effectively revoke my assent to this Release if it is postmarked no later than seven days after I sign this Release.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28" w:name="page129"/>
    <w:bookmarkEnd w:id="128"/>
    <w:p>
      <w:pPr>
        <w:ind w:left="172" w:hanging="172"/>
        <w:spacing w:after="0"/>
        <w:tabs>
          <w:tab w:leader="none" w:pos="172" w:val="left"/>
        </w:tabs>
        <w:numPr>
          <w:ilvl w:val="0"/>
          <w:numId w:val="1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Release shall not become effective and in force until eight days after I sign, provided I have not timely revoked my acceptance.</w:t>
      </w:r>
    </w:p>
    <w:p>
      <w:pPr>
        <w:spacing w:after="0" w:line="171" w:lineRule="exact"/>
        <w:rPr>
          <w:rFonts w:ascii="Arial" w:cs="Arial" w:eastAsia="Arial" w:hAnsi="Arial"/>
          <w:sz w:val="18"/>
          <w:szCs w:val="18"/>
          <w:color w:val="auto"/>
        </w:rPr>
      </w:pPr>
    </w:p>
    <w:p>
      <w:pPr>
        <w:ind w:left="172" w:hanging="172"/>
        <w:spacing w:after="0"/>
        <w:tabs>
          <w:tab w:leader="none" w:pos="172" w:val="left"/>
        </w:tabs>
        <w:numPr>
          <w:ilvl w:val="0"/>
          <w:numId w:val="192"/>
        </w:numPr>
        <w:rPr>
          <w:rFonts w:ascii="Arial" w:cs="Arial" w:eastAsia="Arial" w:hAnsi="Arial"/>
          <w:sz w:val="16"/>
          <w:szCs w:val="16"/>
          <w:color w:val="auto"/>
        </w:rPr>
      </w:pPr>
      <w:r>
        <w:rPr>
          <w:rFonts w:ascii="Arial" w:cs="Arial" w:eastAsia="Arial" w:hAnsi="Arial"/>
          <w:sz w:val="16"/>
          <w:szCs w:val="16"/>
          <w:color w:val="auto"/>
        </w:rPr>
        <w:t>I acknowledge and reaffirm my obligations under the American Superconductor Corporation Employee Nondisclosure and Developments Agreement.</w:t>
      </w:r>
    </w:p>
    <w:p>
      <w:pPr>
        <w:spacing w:after="0" w:line="194" w:lineRule="exact"/>
        <w:rPr>
          <w:rFonts w:ascii="Arial" w:cs="Arial" w:eastAsia="Arial" w:hAnsi="Arial"/>
          <w:sz w:val="16"/>
          <w:szCs w:val="16"/>
          <w:color w:val="auto"/>
        </w:rPr>
      </w:pPr>
    </w:p>
    <w:p>
      <w:pPr>
        <w:ind w:left="-8" w:firstLine="8"/>
        <w:spacing w:after="0" w:line="268" w:lineRule="auto"/>
        <w:tabs>
          <w:tab w:leader="none" w:pos="179"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 representation, promise or inducement has been offered or made to induce me to enter into this Release, and I am competent to execute this Release and accept full responsibility therefor.</w:t>
      </w:r>
    </w:p>
    <w:p>
      <w:pPr>
        <w:spacing w:after="0" w:line="172"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5205730</wp:posOffset>
            </wp:positionH>
            <wp:positionV relativeFrom="paragraph">
              <wp:posOffset>10795</wp:posOffset>
            </wp:positionV>
            <wp:extent cx="20408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124"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5205730</wp:posOffset>
            </wp:positionH>
            <wp:positionV relativeFrom="paragraph">
              <wp:posOffset>10795</wp:posOffset>
            </wp:positionV>
            <wp:extent cx="20408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124"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Date of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5205730</wp:posOffset>
            </wp:positionH>
            <wp:positionV relativeFrom="paragraph">
              <wp:posOffset>10795</wp:posOffset>
            </wp:positionV>
            <wp:extent cx="20408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16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92"/>
          </w:cols>
          <w:pgMar w:left="248" w:top="280" w:right="25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10.7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Amended and Restated Executive Severance Agreement</w:t>
      </w:r>
    </w:p>
    <w:p>
      <w:pPr>
        <w:spacing w:after="0" w:line="171"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AMENDED AND RESTATED</w:t>
      </w:r>
      <w:r>
        <w:rPr>
          <w:rFonts w:ascii="Arial" w:cs="Arial" w:eastAsia="Arial" w:hAnsi="Arial"/>
          <w:sz w:val="18"/>
          <w:szCs w:val="18"/>
          <w:color w:val="auto"/>
        </w:rPr>
        <w:t xml:space="preserve"> EXECUTIVE SEVERANCE AGREEMENT by and between American Superconductor Corporation, a Delaware corporation (the “Company”), and Timothy D. Poor (the “Executive”) is made as of December 23, 2008 (the “Effective Date”).</w:t>
      </w:r>
    </w:p>
    <w:p>
      <w:pPr>
        <w:spacing w:after="0" w:line="132"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WHEREAS, the Board of Directors of the Company (the “Board”) has determined that appropriate steps should be taken to reinforce and encourage the continued employment and dedication of the Executive and to minimize the distraction from the possibility of an unwarranted termination of employment.</w:t>
      </w:r>
    </w:p>
    <w:p>
      <w:pPr>
        <w:spacing w:after="0" w:line="8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WHEREAS, the Company and the Executive acknowledge and agree that the benefits described in this Agreement are not intended to, and shall not, constitute a severance plan, and shall confer no benefit on anyone other than the parties hereto.</w:t>
      </w:r>
    </w:p>
    <w:p>
      <w:pPr>
        <w:spacing w:after="0" w:line="13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WHEREAS, the Company and the Executive originally entered into this Executive Severance Agreement on May 14, 2008, and now desire to amend and restate it to reflect certain developments in the tax law.</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NOW, THEREFORE, as an inducement for and in consideration of the Executive remaining in its employ, the Company agrees that the Executive shall receive the severance benefits set forth in this Agreement in the event the Executive’s employment with the Company is terminated under the specific circumstances described below.</w:t>
      </w:r>
    </w:p>
    <w:p>
      <w:pPr>
        <w:spacing w:after="0" w:line="140" w:lineRule="exact"/>
        <w:rPr>
          <w:sz w:val="20"/>
          <w:szCs w:val="20"/>
          <w:color w:val="auto"/>
        </w:rPr>
      </w:pPr>
    </w:p>
    <w:p>
      <w:pPr>
        <w:ind w:left="640" w:hanging="176"/>
        <w:spacing w:after="0"/>
        <w:tabs>
          <w:tab w:leader="none" w:pos="640"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Key Definitions</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 the following terms shall have the following respective meanings: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an event or occurrence set forth in any one or more of subsections (a) through (c) below:</w:t>
      </w:r>
    </w:p>
    <w:p>
      <w:pPr>
        <w:spacing w:after="0" w:line="90" w:lineRule="exact"/>
        <w:rPr>
          <w:sz w:val="20"/>
          <w:szCs w:val="20"/>
          <w:color w:val="auto"/>
        </w:rPr>
      </w:pPr>
    </w:p>
    <w:p>
      <w:pPr>
        <w:jc w:val="both"/>
        <w:ind w:firstLine="1492"/>
        <w:spacing w:after="0" w:line="290" w:lineRule="auto"/>
        <w:tabs>
          <w:tab w:leader="none" w:pos="1735" w:val="left"/>
        </w:tabs>
        <w:numPr>
          <w:ilvl w:val="0"/>
          <w:numId w:val="194"/>
        </w:numPr>
        <w:rPr>
          <w:rFonts w:ascii="Arial" w:cs="Arial" w:eastAsia="Arial" w:hAnsi="Arial"/>
          <w:sz w:val="16"/>
          <w:szCs w:val="16"/>
          <w:color w:val="auto"/>
        </w:rPr>
      </w:pPr>
      <w:r>
        <w:rPr>
          <w:rFonts w:ascii="Arial" w:cs="Arial" w:eastAsia="Arial" w:hAnsi="Arial"/>
          <w:sz w:val="16"/>
          <w:szCs w:val="16"/>
          <w:color w:val="auto"/>
        </w:rPr>
        <w:t xml:space="preserve">the acquisition by an individual, entity or group (within the meaning of Section 13(d)(3) or 14(d)(2) of the Securities Exchange Act of 1934, as amended (the “Exchange Act”)) (a “Person”) of beneficial ownership of any capital stock of the Company if, after such acquisition, such Person beneficially owns (within the meaning of Rule 13d-3 promulgated under the Exchange Act) 50% or more of either (x) the then-outstanding shares of common stock of the Company (the “Outstanding Company Common Stock”) or (y) the combined voting power of the then-outstanding securities of the Company entitled to vote generally in the election of directors (the “Outstanding Company Voting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for purposes of this subsection (a), the following acquisitions shall not constitute a Change in Control: (i) any acquisition directly from the Company, or (ii) any acquisition by any employee benefit plan (or related trust) sponsored or maintained by the Company or any corporation controlled by the Company; or</w:t>
      </w:r>
    </w:p>
    <w:p>
      <w:pPr>
        <w:sectPr>
          <w:pgSz w:w="11900" w:h="16838" w:orient="portrait"/>
          <w:cols w:equalWidth="0" w:num="1">
            <w:col w:w="11420"/>
          </w:cols>
          <w:pgMar w:left="240" w:top="125" w:right="239" w:bottom="1440" w:gutter="0" w:footer="0" w:header="0"/>
        </w:sectPr>
      </w:pPr>
    </w:p>
    <w:bookmarkStart w:id="130" w:name="page131"/>
    <w:bookmarkEnd w:id="130"/>
    <w:p>
      <w:pPr>
        <w:jc w:val="both"/>
        <w:ind w:firstLine="1492"/>
        <w:spacing w:after="0" w:line="290" w:lineRule="auto"/>
        <w:tabs>
          <w:tab w:leader="none" w:pos="1738" w:val="left"/>
        </w:tabs>
        <w:numPr>
          <w:ilvl w:val="0"/>
          <w:numId w:val="19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Continuing Directors (as defined below) no longer constituting a majority of the Board (or, if applicable, the Board of Directors of a successor corporation to the Company), where the term “Continuing Director” means at any date a member of the Board (i) who was a member of the Board on the date of the execution of this Agreement or (ii) 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there shall be excluded from this clause (ii)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w:t>
      </w:r>
    </w:p>
    <w:p>
      <w:pPr>
        <w:spacing w:after="0" w:line="118" w:lineRule="exact"/>
        <w:rPr>
          <w:rFonts w:ascii="Arial" w:cs="Arial" w:eastAsia="Arial" w:hAnsi="Arial"/>
          <w:sz w:val="16"/>
          <w:szCs w:val="16"/>
          <w:color w:val="auto"/>
        </w:rPr>
      </w:pPr>
    </w:p>
    <w:p>
      <w:pPr>
        <w:jc w:val="both"/>
        <w:ind w:firstLine="1492"/>
        <w:spacing w:after="0" w:line="288" w:lineRule="auto"/>
        <w:tabs>
          <w:tab w:leader="none" w:pos="1737" w:val="left"/>
        </w:tabs>
        <w:numPr>
          <w:ilvl w:val="0"/>
          <w:numId w:val="195"/>
        </w:numPr>
        <w:rPr>
          <w:rFonts w:ascii="Arial" w:cs="Arial" w:eastAsia="Arial" w:hAnsi="Arial"/>
          <w:sz w:val="16"/>
          <w:szCs w:val="16"/>
          <w:color w:val="auto"/>
        </w:rPr>
      </w:pPr>
      <w:r>
        <w:rPr>
          <w:rFonts w:ascii="Arial" w:cs="Arial" w:eastAsia="Arial" w:hAnsi="Arial"/>
          <w:sz w:val="16"/>
          <w:szCs w:val="16"/>
          <w:color w:val="auto"/>
        </w:rPr>
        <w:t>the consummation of a merger, consolidation, reorganization, recapitalization or statutory share exchange involving the Company or a sale or other disposition of all or substantially all of the assets of the Company in one or a series of related transactions (a “Business Combination”), other than a Business Combination in which all or substantially all of the individuals and entities who were the beneficial owners of the Outstanding Company Common Stock and Outstanding Company Voting Securities immediately prior to such Business Combination beneficially own, directly or indirectly, immediately following such Business Combination, more than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respectively.</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 “</w:t>
      </w:r>
      <w:r>
        <w:rPr>
          <w:rFonts w:ascii="Arial" w:cs="Arial" w:eastAsia="Arial" w:hAnsi="Arial"/>
          <w:sz w:val="18"/>
          <w:szCs w:val="18"/>
          <w:u w:val="single" w:color="auto"/>
          <w:color w:val="auto"/>
        </w:rPr>
        <w:t>Change in Control Date</w:t>
      </w:r>
      <w:r>
        <w:rPr>
          <w:rFonts w:ascii="Arial" w:cs="Arial" w:eastAsia="Arial" w:hAnsi="Arial"/>
          <w:sz w:val="18"/>
          <w:szCs w:val="18"/>
          <w:color w:val="auto"/>
        </w:rPr>
        <w:t>” means the first date during the Term (as defined in Section 2) on which a Change in Control occurs.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1.3 “</w:t>
      </w:r>
      <w:r>
        <w:rPr>
          <w:rFonts w:ascii="Arial" w:cs="Arial" w:eastAsia="Arial" w:hAnsi="Arial"/>
          <w:sz w:val="18"/>
          <w:szCs w:val="18"/>
          <w:u w:val="single" w:color="auto"/>
          <w:color w:val="auto"/>
        </w:rPr>
        <w:t>Cause</w:t>
      </w:r>
      <w:r>
        <w:rPr>
          <w:rFonts w:ascii="Arial" w:cs="Arial" w:eastAsia="Arial" w:hAnsi="Arial"/>
          <w:sz w:val="18"/>
          <w:szCs w:val="18"/>
          <w:color w:val="auto"/>
        </w:rPr>
        <w:t>” means:</w:t>
      </w:r>
    </w:p>
    <w:p>
      <w:pPr>
        <w:spacing w:after="0" w:line="90" w:lineRule="exact"/>
        <w:rPr>
          <w:sz w:val="20"/>
          <w:szCs w:val="20"/>
          <w:color w:val="auto"/>
        </w:rPr>
      </w:pPr>
    </w:p>
    <w:p>
      <w:pPr>
        <w:jc w:val="both"/>
        <w:ind w:firstLine="1492"/>
        <w:spacing w:after="0" w:line="256" w:lineRule="auto"/>
        <w:tabs>
          <w:tab w:leader="none" w:pos="173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Executive’s failure to perform his reasonable assigned duties to the standards reasonably required by the Company (other than any such failure resulting from incapacity due to physical or mental illness), which failure is not cured within 30 days after a written notice is received by the Executive from the Company describing in reasonable detail the manner in which the Board of Directors believes the Executive has not performed the Executive’s duties to the standards reasonably required by the Company; or</w:t>
      </w:r>
    </w:p>
    <w:p>
      <w:pPr>
        <w:spacing w:after="0" w:line="143" w:lineRule="exact"/>
        <w:rPr>
          <w:rFonts w:ascii="Arial" w:cs="Arial" w:eastAsia="Arial" w:hAnsi="Arial"/>
          <w:sz w:val="18"/>
          <w:szCs w:val="18"/>
          <w:color w:val="auto"/>
        </w:rPr>
      </w:pPr>
    </w:p>
    <w:p>
      <w:pPr>
        <w:jc w:val="both"/>
        <w:ind w:firstLine="1492"/>
        <w:spacing w:after="0" w:line="259" w:lineRule="auto"/>
        <w:tabs>
          <w:tab w:leader="none" w:pos="1744"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Executive’s willful engagement in illegal conduct or gross misconduct that is materially injurious to the Company. For purposes of this Section 1.3(b), no act or failure to act by the Executive shall be considered “willful” unless it is done intentionally and without reasonable belief that the Executive’s action was in the best interests of the Company.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31" w:name="page132"/>
    <w:bookmarkEnd w:id="13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1.4 “</w:t>
      </w:r>
      <w:r>
        <w:rPr>
          <w:rFonts w:ascii="Arial" w:cs="Arial" w:eastAsia="Arial" w:hAnsi="Arial"/>
          <w:sz w:val="18"/>
          <w:szCs w:val="18"/>
          <w:u w:val="single" w:color="auto"/>
          <w:color w:val="auto"/>
        </w:rPr>
        <w:t>Good Reason</w:t>
      </w:r>
      <w:r>
        <w:rPr>
          <w:rFonts w:ascii="Arial" w:cs="Arial" w:eastAsia="Arial" w:hAnsi="Arial"/>
          <w:sz w:val="18"/>
          <w:szCs w:val="18"/>
          <w:color w:val="auto"/>
        </w:rPr>
        <w:t>” means the occurrence, without the Executive’s written consent, of any of the following events or circumstances:</w:t>
      </w:r>
    </w:p>
    <w:p>
      <w:pPr>
        <w:spacing w:after="0" w:line="90" w:lineRule="exact"/>
        <w:rPr>
          <w:sz w:val="20"/>
          <w:szCs w:val="20"/>
          <w:color w:val="auto"/>
        </w:rPr>
      </w:pPr>
    </w:p>
    <w:p>
      <w:pPr>
        <w:ind w:left="1740" w:hanging="248"/>
        <w:spacing w:after="0"/>
        <w:tabs>
          <w:tab w:leader="none" w:pos="17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 material diminution in the Executive’s base compensation; or</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 material diminution in the Executive’s authority, duties, or responsibilities; or</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 material change in the geographic location at which the Executive must perform his duties; or</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any other action or inaction of the Company which constitutes a material breach by the Company of this Agreement.</w:t>
      </w:r>
    </w:p>
    <w:p>
      <w:pPr>
        <w:spacing w:after="0" w:line="171"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Any termination by the Executive for Good Reason shall be communicated by means of a written notice delivered by the Executive to the Company within 90 days of the initial existence of the occurrence or condition on which the Executive bases his claim for Good Reason. If the condition is capable of being corrected, the Company shall have 30 days during which it may remedy the condition (the “</w:t>
      </w:r>
      <w:r>
        <w:rPr>
          <w:rFonts w:ascii="Arial" w:cs="Arial" w:eastAsia="Arial" w:hAnsi="Arial"/>
          <w:sz w:val="16"/>
          <w:szCs w:val="16"/>
          <w:u w:val="single" w:color="auto"/>
          <w:color w:val="auto"/>
        </w:rPr>
        <w:t>Cure Period</w:t>
      </w:r>
      <w:r>
        <w:rPr>
          <w:rFonts w:ascii="Arial" w:cs="Arial" w:eastAsia="Arial" w:hAnsi="Arial"/>
          <w:sz w:val="16"/>
          <w:szCs w:val="16"/>
          <w:color w:val="auto"/>
        </w:rPr>
        <w:t>”). Notwithstanding the occurrence of any such event or circumstance, such occurrence shall not be deemed to constitute Good Reason if such event or circumstance has been fully corrected within the Cure Period and the Executive has been reasonably compensated for any losses or damages resulting therefrom. If the condition is not corrected, the Executive must leave employment within one (1) year after the Company fails to cure the condition giving rise to the Executive’s claim for Good Reason during the Cure Period.</w:t>
      </w:r>
    </w:p>
    <w:p>
      <w:pPr>
        <w:spacing w:after="0" w:line="12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1.5 “</w:t>
      </w:r>
      <w:r>
        <w:rPr>
          <w:rFonts w:ascii="Arial" w:cs="Arial" w:eastAsia="Arial" w:hAnsi="Arial"/>
          <w:sz w:val="18"/>
          <w:szCs w:val="18"/>
          <w:u w:val="single" w:color="auto"/>
          <w:color w:val="auto"/>
        </w:rPr>
        <w:t>Disability</w:t>
      </w:r>
      <w:r>
        <w:rPr>
          <w:rFonts w:ascii="Arial" w:cs="Arial" w:eastAsia="Arial" w:hAnsi="Arial"/>
          <w:sz w:val="18"/>
          <w:szCs w:val="18"/>
          <w:color w:val="auto"/>
        </w:rPr>
        <w:t>” means the Executive’s absence from the full-time performance of the Executive’s duties with the Company for 180 consecutive calendar days as a result of incapacity due to mental or physical illness which is determined to be total and permanent by a physician selected by the Company or its insurers and acceptable to the Executive or the Executive’s legal representative.</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1.6 “</w:t>
      </w:r>
      <w:r>
        <w:rPr>
          <w:rFonts w:ascii="Arial" w:cs="Arial" w:eastAsia="Arial" w:hAnsi="Arial"/>
          <w:sz w:val="16"/>
          <w:szCs w:val="16"/>
          <w:u w:val="single" w:color="auto"/>
          <w:color w:val="auto"/>
        </w:rPr>
        <w:t>Severance Period</w:t>
      </w:r>
      <w:r>
        <w:rPr>
          <w:rFonts w:ascii="Arial" w:cs="Arial" w:eastAsia="Arial" w:hAnsi="Arial"/>
          <w:sz w:val="16"/>
          <w:szCs w:val="16"/>
          <w:color w:val="auto"/>
        </w:rPr>
        <w:t>” shall mean the period of 12 months immediately following the Date of Termination (as defined in Section 3.2(a) below).</w:t>
      </w:r>
    </w:p>
    <w:p>
      <w:pPr>
        <w:spacing w:after="0" w:line="194" w:lineRule="exact"/>
        <w:rPr>
          <w:sz w:val="20"/>
          <w:szCs w:val="20"/>
          <w:color w:val="auto"/>
        </w:rPr>
      </w:pPr>
    </w:p>
    <w:p>
      <w:pPr>
        <w:jc w:val="both"/>
        <w:ind w:firstLine="464"/>
        <w:spacing w:after="0" w:line="290" w:lineRule="auto"/>
        <w:tabs>
          <w:tab w:leader="none" w:pos="632" w:val="left"/>
        </w:tabs>
        <w:numPr>
          <w:ilvl w:val="0"/>
          <w:numId w:val="198"/>
        </w:numPr>
        <w:rPr>
          <w:rFonts w:ascii="Arial" w:cs="Arial" w:eastAsia="Arial" w:hAnsi="Arial"/>
          <w:sz w:val="16"/>
          <w:szCs w:val="16"/>
          <w:color w:val="auto"/>
        </w:rPr>
      </w:pPr>
      <w:r>
        <w:rPr>
          <w:rFonts w:ascii="Arial" w:cs="Arial" w:eastAsia="Arial" w:hAnsi="Arial"/>
          <w:sz w:val="16"/>
          <w:szCs w:val="16"/>
          <w:u w:val="single" w:color="auto"/>
          <w:color w:val="auto"/>
        </w:rPr>
        <w:t>Term of Agreement</w:t>
      </w:r>
      <w:r>
        <w:rPr>
          <w:rFonts w:ascii="Arial" w:cs="Arial" w:eastAsia="Arial" w:hAnsi="Arial"/>
          <w:sz w:val="16"/>
          <w:szCs w:val="16"/>
          <w:color w:val="auto"/>
        </w:rPr>
        <w:t xml:space="preserve">. This Agreement, and all rights and obligations of the parties hereunder, shall take effect upon the Effective Date and shall expire upon the first to occur of (a) the expiration of the Term (as defined below) if neither a termination of employment covered by Section 4.1(a) below nor a Change in Control occurred during the Term, or (b) the fulfillment by the Company of all of its obligations under Section 4 following a termination of the Executive’s employment with the Company. “Term” shall mean the period commencing as of the Effective Date and continuing in effect through March 31, 2011;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commencing on April 1, 2011 and each April 1 thereafter (each hereinafter referred to as a “Renewal Date”), the Term shall be automatically extended for one additional year so as to terminate four years from such Renewal Date, unless at least 90 days prior to such Renewal Date, the Company shall have given the Executive written notice that the Term will not be extended.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32" w:name="page133"/>
    <w:bookmarkEnd w:id="132"/>
    <w:p>
      <w:pPr>
        <w:ind w:left="640" w:hanging="176"/>
        <w:spacing w:after="0"/>
        <w:tabs>
          <w:tab w:leader="none" w:pos="640"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Employment Status; Termination Following Change in Control</w:t>
      </w:r>
      <w:r>
        <w:rPr>
          <w:rFonts w:ascii="Arial" w:cs="Arial" w:eastAsia="Arial" w:hAnsi="Arial"/>
          <w:sz w:val="18"/>
          <w:szCs w:val="18"/>
          <w:color w:val="auto"/>
        </w:rPr>
        <w:t>.</w:t>
      </w:r>
    </w:p>
    <w:p>
      <w:pPr>
        <w:spacing w:after="0" w:line="9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Not an Employment Contract</w:t>
      </w:r>
      <w:r>
        <w:rPr>
          <w:rFonts w:ascii="Arial" w:cs="Arial" w:eastAsia="Arial" w:hAnsi="Arial"/>
          <w:sz w:val="18"/>
          <w:szCs w:val="18"/>
          <w:color w:val="auto"/>
        </w:rPr>
        <w:t>. The Executive acknowledges that this Agreement does not constitute a contract of employment or impose on the Company any obligation to retain the Executive as an employee and that this Agreement does not prevent the Company or the Executive from terminating his employment at any time, before or after a Change in Control.</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90" w:lineRule="exact"/>
        <w:rPr>
          <w:sz w:val="20"/>
          <w:szCs w:val="20"/>
          <w:color w:val="auto"/>
        </w:rPr>
      </w:pPr>
    </w:p>
    <w:p>
      <w:pPr>
        <w:jc w:val="both"/>
        <w:ind w:firstLine="1492"/>
        <w:spacing w:after="0" w:line="288" w:lineRule="auto"/>
        <w:tabs>
          <w:tab w:leader="none" w:pos="1727" w:val="left"/>
        </w:tabs>
        <w:numPr>
          <w:ilvl w:val="1"/>
          <w:numId w:val="200"/>
        </w:numPr>
        <w:rPr>
          <w:rFonts w:ascii="Arial" w:cs="Arial" w:eastAsia="Arial" w:hAnsi="Arial"/>
          <w:sz w:val="16"/>
          <w:szCs w:val="16"/>
          <w:color w:val="auto"/>
        </w:rPr>
      </w:pPr>
      <w:r>
        <w:rPr>
          <w:rFonts w:ascii="Arial" w:cs="Arial" w:eastAsia="Arial" w:hAnsi="Arial"/>
          <w:sz w:val="16"/>
          <w:szCs w:val="16"/>
          <w:color w:val="auto"/>
        </w:rPr>
        <w:t>Any termination of the Executive’s employment by the Company at any time during the Term or at any time after the Change in Control Date, or by the Executive within 12 months following the Change in Control Date (other than due to the death of the Executive) shall be communicated by a written notice to the other party hereto (the “Notice of Termination”), given in accordance with Section 6.2. Any Notice of Termination shall: (i) indicate (in the case of a termination by the Company) whether such termination is for Cause and (in the case of a termination by the Executive within 12 months following the Change in Control Date) whether such termination is for Good Reason, (ii) to the extent applicable, set forth in reasonable detail the facts and circumstances claimed to provide a basis for termination of the Executive’s employment for Cause or for Good Reason and (iii) specify the Date of Termination (as defined below). The effective date of an employment termination (the “Date of Termination”) shall be the close of business on the date specified in the Notice of Termination (which date may not be less than 15 days or more than 120 days after the date of delivery of such Notice of Termination), in the case of a termination other than one due to the Executive’s death, or the date of the Executive’s death, as the case may be.</w:t>
      </w:r>
    </w:p>
    <w:p>
      <w:pPr>
        <w:spacing w:after="0" w:line="119" w:lineRule="exact"/>
        <w:rPr>
          <w:rFonts w:ascii="Arial" w:cs="Arial" w:eastAsia="Arial" w:hAnsi="Arial"/>
          <w:sz w:val="16"/>
          <w:szCs w:val="16"/>
          <w:color w:val="auto"/>
        </w:rPr>
      </w:pPr>
    </w:p>
    <w:p>
      <w:pPr>
        <w:jc w:val="both"/>
        <w:ind w:firstLine="1492"/>
        <w:spacing w:after="0" w:line="306" w:lineRule="auto"/>
        <w:tabs>
          <w:tab w:leader="none" w:pos="1744" w:val="left"/>
        </w:tabs>
        <w:numPr>
          <w:ilvl w:val="1"/>
          <w:numId w:val="200"/>
        </w:numPr>
        <w:rPr>
          <w:rFonts w:ascii="Arial" w:cs="Arial" w:eastAsia="Arial" w:hAnsi="Arial"/>
          <w:sz w:val="16"/>
          <w:szCs w:val="16"/>
          <w:color w:val="auto"/>
        </w:rPr>
      </w:pPr>
      <w:r>
        <w:rPr>
          <w:rFonts w:ascii="Arial" w:cs="Arial" w:eastAsia="Arial" w:hAnsi="Arial"/>
          <w:sz w:val="16"/>
          <w:szCs w:val="16"/>
          <w:color w:val="auto"/>
        </w:rPr>
        <w:t>The failure by the Executive or the Company to set forth in the Notice of Termination any fact or circumstance which contributes to a showing of Good Reason or Cause shall not waive any right of the Executive or the Company, respectively, hereunder or preclude the Executive or the Company, respectively, from asserting any such fact or circumstance in enforcing the Executive’s or the Company’s rights hereunder.</w:t>
      </w:r>
    </w:p>
    <w:p>
      <w:pPr>
        <w:spacing w:after="0" w:line="106" w:lineRule="exact"/>
        <w:rPr>
          <w:rFonts w:ascii="Arial" w:cs="Arial" w:eastAsia="Arial" w:hAnsi="Arial"/>
          <w:sz w:val="16"/>
          <w:szCs w:val="16"/>
          <w:color w:val="auto"/>
        </w:rPr>
      </w:pPr>
    </w:p>
    <w:p>
      <w:pPr>
        <w:ind w:right="20" w:firstLine="1492"/>
        <w:spacing w:after="0" w:line="268" w:lineRule="auto"/>
        <w:tabs>
          <w:tab w:leader="none" w:pos="1757"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Any Notice of Termination for Cause given by the Company must be given within 90 days of the occurrence of the event(s) or circumstance(s) that constitute(s) Cause.</w:t>
      </w:r>
    </w:p>
    <w:p>
      <w:pPr>
        <w:spacing w:after="0" w:line="131" w:lineRule="exact"/>
        <w:rPr>
          <w:rFonts w:ascii="Arial" w:cs="Arial" w:eastAsia="Arial" w:hAnsi="Arial"/>
          <w:sz w:val="18"/>
          <w:szCs w:val="18"/>
          <w:color w:val="auto"/>
        </w:rPr>
      </w:pPr>
    </w:p>
    <w:p>
      <w:pPr>
        <w:ind w:firstLine="1492"/>
        <w:spacing w:after="0" w:line="268" w:lineRule="auto"/>
        <w:tabs>
          <w:tab w:leader="none" w:pos="1743"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Any Notice of Termination for Good Reason given by the Executive must be given within 90 days of the occurrence of the event(s) or circumstance(s) that constitute(s) Good Reason.</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Benefits to Executive</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Termination Prior to Change in Control Date</w:t>
      </w:r>
      <w:r>
        <w:rPr>
          <w:rFonts w:ascii="Arial" w:cs="Arial" w:eastAsia="Arial" w:hAnsi="Arial"/>
          <w:sz w:val="18"/>
          <w:szCs w:val="18"/>
          <w:color w:val="auto"/>
        </w:rPr>
        <w:t>.</w:t>
      </w:r>
    </w:p>
    <w:p>
      <w:pPr>
        <w:spacing w:after="0" w:line="90" w:lineRule="exact"/>
        <w:rPr>
          <w:sz w:val="20"/>
          <w:szCs w:val="20"/>
          <w:color w:val="auto"/>
        </w:rPr>
      </w:pPr>
    </w:p>
    <w:p>
      <w:pPr>
        <w:jc w:val="both"/>
        <w:ind w:firstLine="1492"/>
        <w:spacing w:after="0" w:line="259" w:lineRule="auto"/>
        <w:tabs>
          <w:tab w:leader="none" w:pos="1722" w:val="left"/>
        </w:tabs>
        <w:numPr>
          <w:ilvl w:val="1"/>
          <w:numId w:val="202"/>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w:t>
      </w:r>
      <w:r>
        <w:rPr>
          <w:rFonts w:ascii="Arial" w:cs="Arial" w:eastAsia="Arial" w:hAnsi="Arial"/>
          <w:sz w:val="18"/>
          <w:szCs w:val="18"/>
          <w:color w:val="auto"/>
        </w:rPr>
        <w:t>. If, prior to a Change in Control Date (including a situation in which a Change in Control Date never occurs), the Company terminates the Executive’s employment other than for Cause, Disability or death, then the Executive shall be entitled to the following benefits, the distribution of which shall be subject to the provisions of Sections 4.4 and 4.7:</w:t>
      </w:r>
    </w:p>
    <w:p>
      <w:pPr>
        <w:spacing w:after="0" w:line="59" w:lineRule="exact"/>
        <w:rPr>
          <w:rFonts w:ascii="Arial" w:cs="Arial" w:eastAsia="Arial" w:hAnsi="Arial"/>
          <w:sz w:val="18"/>
          <w:szCs w:val="18"/>
          <w:color w:val="auto"/>
        </w:rPr>
      </w:pPr>
    </w:p>
    <w:p>
      <w:pPr>
        <w:ind w:left="2180" w:hanging="232"/>
        <w:spacing w:after="0"/>
        <w:tabs>
          <w:tab w:leader="none" w:pos="2180" w:val="left"/>
        </w:tabs>
        <w:numPr>
          <w:ilvl w:val="2"/>
          <w:numId w:val="202"/>
        </w:numPr>
        <w:rPr>
          <w:rFonts w:ascii="Arial" w:cs="Arial" w:eastAsia="Arial" w:hAnsi="Arial"/>
          <w:sz w:val="16"/>
          <w:szCs w:val="16"/>
          <w:color w:val="auto"/>
        </w:rPr>
      </w:pPr>
      <w:r>
        <w:rPr>
          <w:rFonts w:ascii="Arial" w:cs="Arial" w:eastAsia="Arial" w:hAnsi="Arial"/>
          <w:sz w:val="16"/>
          <w:szCs w:val="16"/>
          <w:color w:val="auto"/>
        </w:rPr>
        <w:t>the Company shall pay to the Executive, in a lump sum in cash on the Date of Termination, the sum of the following amounts:</w:t>
      </w:r>
    </w:p>
    <w:p>
      <w:pPr>
        <w:spacing w:after="0" w:line="38" w:lineRule="exact"/>
        <w:rPr>
          <w:rFonts w:ascii="Arial" w:cs="Arial" w:eastAsia="Arial" w:hAnsi="Arial"/>
          <w:sz w:val="16"/>
          <w:szCs w:val="16"/>
          <w:color w:val="auto"/>
        </w:rPr>
      </w:pPr>
    </w:p>
    <w:p>
      <w:pPr>
        <w:jc w:val="both"/>
        <w:ind w:firstLine="8"/>
        <w:spacing w:after="0" w:line="281" w:lineRule="auto"/>
        <w:tabs>
          <w:tab w:leader="none" w:pos="25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the Executive’s base salary through the Date of Termination, (2) any compensation previously deferred by the Executive (together with any accrued interest or earnings thereon) and (3) any accrued vacation pay, in each case to the extent not previously paid (the sum of the amounts described in clauses (1) through</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shall be hereinafter referred to as the “Accrued Obligations”);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33" w:name="page134"/>
    <w:bookmarkEnd w:id="133"/>
    <w:p>
      <w:pPr>
        <w:ind w:right="20" w:firstLine="1948"/>
        <w:spacing w:after="0" w:line="332" w:lineRule="auto"/>
        <w:tabs>
          <w:tab w:leader="none" w:pos="2222" w:val="left"/>
        </w:tabs>
        <w:numPr>
          <w:ilvl w:val="1"/>
          <w:numId w:val="20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the Severance Period, the Company shall continue to pay to the Executive, in accordance with the Company’s regular payroll practices, the Executive’s highest annual base salary during the two-year period prior to the Date of Termination; and</w:t>
      </w:r>
    </w:p>
    <w:p>
      <w:pPr>
        <w:spacing w:after="0" w:line="85" w:lineRule="exact"/>
        <w:rPr>
          <w:rFonts w:ascii="Arial" w:cs="Arial" w:eastAsia="Arial" w:hAnsi="Arial"/>
          <w:sz w:val="16"/>
          <w:szCs w:val="16"/>
          <w:color w:val="auto"/>
        </w:rPr>
      </w:pPr>
    </w:p>
    <w:p>
      <w:pPr>
        <w:jc w:val="both"/>
        <w:ind w:firstLine="1948"/>
        <w:spacing w:after="0" w:line="289" w:lineRule="auto"/>
        <w:tabs>
          <w:tab w:leader="none" w:pos="2260" w:val="left"/>
        </w:tabs>
        <w:numPr>
          <w:ilvl w:val="1"/>
          <w:numId w:val="205"/>
        </w:numPr>
        <w:rPr>
          <w:rFonts w:ascii="Arial" w:cs="Arial" w:eastAsia="Arial" w:hAnsi="Arial"/>
          <w:sz w:val="16"/>
          <w:szCs w:val="16"/>
          <w:color w:val="auto"/>
        </w:rPr>
      </w:pPr>
      <w:r>
        <w:rPr>
          <w:rFonts w:ascii="Arial" w:cs="Arial" w:eastAsia="Arial" w:hAnsi="Arial"/>
          <w:sz w:val="16"/>
          <w:szCs w:val="16"/>
          <w:color w:val="auto"/>
        </w:rPr>
        <w:t xml:space="preserve">during the Severance Period, the Company shall continue to provide to the Executive and the Executive’s family those benefits which would have been provided to them if the Executive’s employment had not been terminated, in accordance with the applicable Benefit Plans in effect on the Date of Termination (to the extent such benefits can be provided to non-employees, or to the extent such health insurance benefits cannot be provided to non-employees, then the cash equivalent thereof, based on the cost thereof to the Company, which cash amount shall be paid proportionately over the Severance Period, monthly in advance); </w:t>
      </w:r>
      <w:r>
        <w:rPr>
          <w:rFonts w:ascii="Arial" w:cs="Arial" w:eastAsia="Arial" w:hAnsi="Arial"/>
          <w:sz w:val="16"/>
          <w:szCs w:val="16"/>
          <w:u w:val="single" w:color="auto"/>
          <w:color w:val="auto"/>
        </w:rPr>
        <w:t>provided</w:t>
      </w:r>
      <w:r>
        <w:rPr>
          <w:rFonts w:ascii="Arial" w:cs="Arial" w:eastAsia="Arial" w:hAnsi="Arial"/>
          <w:sz w:val="16"/>
          <w:szCs w:val="16"/>
          <w:color w:val="auto"/>
        </w:rPr>
        <w:t>, however: (1) that if the Executive becomes reemployed with another employer and is eligible to receive a particular type of benefits (e.g., health insurance benefits) from such employer on terms at least as favorable to the Executive and his family as those being provided by the Company, then the Company shall no longer be required to provide those particular benefits to the Executive and his family; and (2) to the extent that such payments are taxable to the Executive and/or extend beyond the COBRA continuation period, then such payments shall be made monthly in advance.</w:t>
      </w:r>
    </w:p>
    <w:p>
      <w:pPr>
        <w:spacing w:after="0" w:line="118" w:lineRule="exact"/>
        <w:rPr>
          <w:rFonts w:ascii="Arial" w:cs="Arial" w:eastAsia="Arial" w:hAnsi="Arial"/>
          <w:sz w:val="16"/>
          <w:szCs w:val="16"/>
          <w:color w:val="auto"/>
        </w:rPr>
      </w:pPr>
    </w:p>
    <w:p>
      <w:pPr>
        <w:jc w:val="both"/>
        <w:ind w:firstLine="1492"/>
        <w:spacing w:after="0" w:line="291" w:lineRule="auto"/>
        <w:tabs>
          <w:tab w:leader="none" w:pos="1746" w:val="left"/>
        </w:tabs>
        <w:numPr>
          <w:ilvl w:val="0"/>
          <w:numId w:val="206"/>
        </w:numPr>
        <w:rPr>
          <w:rFonts w:ascii="Arial" w:cs="Arial" w:eastAsia="Arial" w:hAnsi="Arial"/>
          <w:sz w:val="16"/>
          <w:szCs w:val="16"/>
          <w:color w:val="auto"/>
        </w:rPr>
      </w:pPr>
      <w:r>
        <w:rPr>
          <w:rFonts w:ascii="Arial" w:cs="Arial" w:eastAsia="Arial" w:hAnsi="Arial"/>
          <w:sz w:val="16"/>
          <w:szCs w:val="16"/>
          <w:u w:val="single" w:color="auto"/>
          <w:color w:val="auto"/>
        </w:rPr>
        <w:t>Other Terminations</w:t>
      </w:r>
      <w:r>
        <w:rPr>
          <w:rFonts w:ascii="Arial" w:cs="Arial" w:eastAsia="Arial" w:hAnsi="Arial"/>
          <w:sz w:val="16"/>
          <w:szCs w:val="16"/>
          <w:color w:val="auto"/>
        </w:rPr>
        <w:t>. If, prior to the Change in Control Date, the Executive’s employment with the Company is terminated other than under the circumstances described in Section 4.1(a), then the Company shall (i) pay the Executive (or his estate, if applicable), in a lump sum in cash on the Date of Termination, the Accrued Obligations and (ii) to the extent not previously paid or provided, timely pay or provide to the Executive any other amounts or benefits required to be paid or provided or which the Executive is eligible to receive following the Executive’s termination of employment under any plan, program, policy, practice, contract or agreement of the Company and its subsidiaries (such other amounts and benefits shall be hereinafter referred to as the “Other Benefits”), the distribution of which shall be subject to the provisions of Section 4.7.</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Termination Following Change in Control Date</w:t>
      </w:r>
      <w:r>
        <w:rPr>
          <w:rFonts w:ascii="Arial" w:cs="Arial" w:eastAsia="Arial" w:hAnsi="Arial"/>
          <w:sz w:val="18"/>
          <w:szCs w:val="18"/>
          <w:color w:val="auto"/>
        </w:rPr>
        <w:t>.</w:t>
      </w:r>
    </w:p>
    <w:p>
      <w:pPr>
        <w:spacing w:after="0" w:line="90" w:lineRule="exact"/>
        <w:rPr>
          <w:sz w:val="20"/>
          <w:szCs w:val="20"/>
          <w:color w:val="auto"/>
        </w:rPr>
      </w:pPr>
    </w:p>
    <w:p>
      <w:pPr>
        <w:jc w:val="both"/>
        <w:ind w:firstLine="1492"/>
        <w:spacing w:after="0" w:line="256" w:lineRule="auto"/>
        <w:tabs>
          <w:tab w:leader="none" w:pos="1722" w:val="left"/>
        </w:tabs>
        <w:numPr>
          <w:ilvl w:val="1"/>
          <w:numId w:val="207"/>
        </w:numPr>
        <w:rPr>
          <w:rFonts w:ascii="Arial" w:cs="Arial" w:eastAsia="Arial" w:hAnsi="Arial"/>
          <w:sz w:val="18"/>
          <w:szCs w:val="18"/>
          <w:color w:val="auto"/>
        </w:rPr>
      </w:pPr>
      <w:r>
        <w:rPr>
          <w:rFonts w:ascii="Arial" w:cs="Arial" w:eastAsia="Arial" w:hAnsi="Arial"/>
          <w:sz w:val="18"/>
          <w:szCs w:val="18"/>
          <w:u w:val="single" w:color="auto"/>
          <w:color w:val="auto"/>
        </w:rPr>
        <w:t>Termination within 12 Months Following Change in Control Date</w:t>
      </w:r>
      <w:r>
        <w:rPr>
          <w:rFonts w:ascii="Arial" w:cs="Arial" w:eastAsia="Arial" w:hAnsi="Arial"/>
          <w:sz w:val="18"/>
          <w:szCs w:val="18"/>
          <w:color w:val="auto"/>
        </w:rPr>
        <w:t>. If the Company terminates the Executive’s employment other than for Cause, Disability or death within 12 months following the Change in Control Date, or if the Executive terminates his employment for Good Reason within 12 months following the Change in Control Date, then the Executive shall be entitled to the following benefits, the distribution of which shall be subject to the provisions of Sections 4.4 and 4.7:</w:t>
      </w:r>
    </w:p>
    <w:p>
      <w:pPr>
        <w:spacing w:after="0" w:line="62" w:lineRule="exact"/>
        <w:rPr>
          <w:rFonts w:ascii="Arial" w:cs="Arial" w:eastAsia="Arial" w:hAnsi="Arial"/>
          <w:sz w:val="18"/>
          <w:szCs w:val="18"/>
          <w:color w:val="auto"/>
        </w:rPr>
      </w:pPr>
    </w:p>
    <w:p>
      <w:pPr>
        <w:ind w:left="2180" w:hanging="232"/>
        <w:spacing w:after="0"/>
        <w:tabs>
          <w:tab w:leader="none" w:pos="2180" w:val="left"/>
        </w:tabs>
        <w:numPr>
          <w:ilvl w:val="2"/>
          <w:numId w:val="207"/>
        </w:numPr>
        <w:rPr>
          <w:rFonts w:ascii="Arial" w:cs="Arial" w:eastAsia="Arial" w:hAnsi="Arial"/>
          <w:sz w:val="16"/>
          <w:szCs w:val="16"/>
          <w:color w:val="auto"/>
        </w:rPr>
      </w:pPr>
      <w:r>
        <w:rPr>
          <w:rFonts w:ascii="Arial" w:cs="Arial" w:eastAsia="Arial" w:hAnsi="Arial"/>
          <w:sz w:val="16"/>
          <w:szCs w:val="16"/>
          <w:color w:val="auto"/>
        </w:rPr>
        <w:t>the Company shall pay to the Executive, in a lump sum in cash on the Date of Termination, (A) the Accrued Obligations and</w:t>
      </w:r>
    </w:p>
    <w:p>
      <w:pPr>
        <w:spacing w:after="0" w:line="38" w:lineRule="exact"/>
        <w:rPr>
          <w:rFonts w:ascii="Arial" w:cs="Arial" w:eastAsia="Arial" w:hAnsi="Arial"/>
          <w:sz w:val="16"/>
          <w:szCs w:val="16"/>
          <w:color w:val="auto"/>
        </w:rPr>
      </w:pPr>
    </w:p>
    <w:p>
      <w:pPr>
        <w:jc w:val="both"/>
        <w:ind w:firstLine="8"/>
        <w:spacing w:after="0" w:line="255" w:lineRule="auto"/>
        <w:tabs>
          <w:tab w:leader="none" w:pos="304"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product of (x) the annual target bonus payable to the Executive for the fiscal year in which the Date of Termination occurs and (y) a fraction, the numerator of which is the number of days in the then-current fiscal year through the Date of Termination, and the denominator of which is 365, less any portion of such bonus previously paid to the Executive;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34" w:name="page135"/>
    <w:bookmarkEnd w:id="134"/>
    <w:p>
      <w:pPr>
        <w:ind w:right="20" w:firstLine="1948"/>
        <w:spacing w:after="0" w:line="332" w:lineRule="auto"/>
        <w:tabs>
          <w:tab w:leader="none" w:pos="2222" w:val="left"/>
        </w:tabs>
        <w:numPr>
          <w:ilvl w:val="1"/>
          <w:numId w:val="20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the Severance Period, the Company shall continue to pay to the Executive, in accordance with the Company’s regular payroll practices, the Executive’s highest annual base salary during the two-year period prior to the Date of Termination; and</w:t>
      </w:r>
    </w:p>
    <w:p>
      <w:pPr>
        <w:spacing w:after="0" w:line="85" w:lineRule="exact"/>
        <w:rPr>
          <w:rFonts w:ascii="Arial" w:cs="Arial" w:eastAsia="Arial" w:hAnsi="Arial"/>
          <w:sz w:val="16"/>
          <w:szCs w:val="16"/>
          <w:color w:val="auto"/>
        </w:rPr>
      </w:pPr>
    </w:p>
    <w:p>
      <w:pPr>
        <w:jc w:val="both"/>
        <w:ind w:firstLine="1948"/>
        <w:spacing w:after="0" w:line="289" w:lineRule="auto"/>
        <w:tabs>
          <w:tab w:leader="none" w:pos="2260" w:val="left"/>
        </w:tabs>
        <w:numPr>
          <w:ilvl w:val="1"/>
          <w:numId w:val="209"/>
        </w:numPr>
        <w:rPr>
          <w:rFonts w:ascii="Arial" w:cs="Arial" w:eastAsia="Arial" w:hAnsi="Arial"/>
          <w:sz w:val="16"/>
          <w:szCs w:val="16"/>
          <w:color w:val="auto"/>
        </w:rPr>
      </w:pPr>
      <w:r>
        <w:rPr>
          <w:rFonts w:ascii="Arial" w:cs="Arial" w:eastAsia="Arial" w:hAnsi="Arial"/>
          <w:sz w:val="16"/>
          <w:szCs w:val="16"/>
          <w:color w:val="auto"/>
        </w:rPr>
        <w:t xml:space="preserve">during the Severance Period, the Company shall continue to provide to the Executive and the Executive’s family those benefits which would have been provided to them if the Executive’s employment had not been terminated, in accordance with the applicable Benefit Plans in effect on the Date of Termination (to the extent such benefits can be provided to non-employees, or to the extent such health benefits cannot be provided to non-employees, then the cash equivalent thereof, based on the cost thereof to the Company, which cash amount shall be paid proportionately over the Severance Period, monthly in advance); </w:t>
      </w:r>
      <w:r>
        <w:rPr>
          <w:rFonts w:ascii="Arial" w:cs="Arial" w:eastAsia="Arial" w:hAnsi="Arial"/>
          <w:sz w:val="16"/>
          <w:szCs w:val="16"/>
          <w:u w:val="single" w:color="auto"/>
          <w:color w:val="auto"/>
        </w:rPr>
        <w:t>provided</w:t>
      </w:r>
      <w:r>
        <w:rPr>
          <w:rFonts w:ascii="Arial" w:cs="Arial" w:eastAsia="Arial" w:hAnsi="Arial"/>
          <w:sz w:val="16"/>
          <w:szCs w:val="16"/>
          <w:color w:val="auto"/>
        </w:rPr>
        <w:t>, however: (1) that if the Executive becomes reemployed with another employer and is eligible to receive a particular type of benefits (e.g., health insurance benefits) from such employer on terms at least as favorable to the Executive and his family as those being provided by the Company, then the Company shall no longer be required to provide those particular benefits to the Executive and his family; and (2) to the extent that such payments are taxable to the Executive and/or extend beyond the COBRA continuation period, then such payments shall be made monthly in advance.</w:t>
      </w:r>
    </w:p>
    <w:p>
      <w:pPr>
        <w:spacing w:after="0" w:line="118" w:lineRule="exact"/>
        <w:rPr>
          <w:rFonts w:ascii="Arial" w:cs="Arial" w:eastAsia="Arial" w:hAnsi="Arial"/>
          <w:sz w:val="16"/>
          <w:szCs w:val="16"/>
          <w:color w:val="auto"/>
        </w:rPr>
      </w:pPr>
    </w:p>
    <w:p>
      <w:pPr>
        <w:jc w:val="both"/>
        <w:ind w:firstLine="1492"/>
        <w:spacing w:after="0" w:line="259" w:lineRule="auto"/>
        <w:tabs>
          <w:tab w:leader="none" w:pos="1746"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Termination More Than 12 Months Following Change in Control Date</w:t>
      </w:r>
      <w:r>
        <w:rPr>
          <w:rFonts w:ascii="Arial" w:cs="Arial" w:eastAsia="Arial" w:hAnsi="Arial"/>
          <w:sz w:val="18"/>
          <w:szCs w:val="18"/>
          <w:color w:val="auto"/>
        </w:rPr>
        <w:t>. If the Company terminates the Executive’s employment other than for Cause, Disability or death more than 12 months following the Change in Control Date, then the Executive shall be entitled to the following benefits, the distribution of which shall be subject to the provisions of Sections 4.4 and 4.7:</w:t>
      </w:r>
    </w:p>
    <w:p>
      <w:pPr>
        <w:spacing w:after="0" w:line="59" w:lineRule="exact"/>
        <w:rPr>
          <w:rFonts w:ascii="Arial" w:cs="Arial" w:eastAsia="Arial" w:hAnsi="Arial"/>
          <w:sz w:val="18"/>
          <w:szCs w:val="18"/>
          <w:color w:val="auto"/>
        </w:rPr>
      </w:pPr>
    </w:p>
    <w:p>
      <w:pPr>
        <w:ind w:left="2160" w:hanging="212"/>
        <w:spacing w:after="0"/>
        <w:tabs>
          <w:tab w:leader="none" w:pos="216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the Company shall pay to the Executive, in a lump sum in cash on the Date of Termination, the Accrued Obligations;</w:t>
      </w:r>
    </w:p>
    <w:p>
      <w:pPr>
        <w:spacing w:after="0" w:line="171" w:lineRule="exact"/>
        <w:rPr>
          <w:rFonts w:ascii="Arial" w:cs="Arial" w:eastAsia="Arial" w:hAnsi="Arial"/>
          <w:sz w:val="18"/>
          <w:szCs w:val="18"/>
          <w:color w:val="auto"/>
        </w:rPr>
      </w:pPr>
    </w:p>
    <w:p>
      <w:pPr>
        <w:ind w:right="20" w:firstLine="1948"/>
        <w:spacing w:after="0" w:line="332" w:lineRule="auto"/>
        <w:tabs>
          <w:tab w:leader="none" w:pos="2222" w:val="left"/>
        </w:tabs>
        <w:numPr>
          <w:ilvl w:val="1"/>
          <w:numId w:val="210"/>
        </w:numPr>
        <w:rPr>
          <w:rFonts w:ascii="Arial" w:cs="Arial" w:eastAsia="Arial" w:hAnsi="Arial"/>
          <w:sz w:val="16"/>
          <w:szCs w:val="16"/>
          <w:color w:val="auto"/>
        </w:rPr>
      </w:pPr>
      <w:r>
        <w:rPr>
          <w:rFonts w:ascii="Arial" w:cs="Arial" w:eastAsia="Arial" w:hAnsi="Arial"/>
          <w:sz w:val="16"/>
          <w:szCs w:val="16"/>
          <w:color w:val="auto"/>
        </w:rPr>
        <w:t>during the Severance Period, the Company shall continue to pay to the Executive, in accordance with the Company’s regular payroll practices, the Executive’s highest annual base salary during the two-year period prior to the Date of Termination; and</w:t>
      </w:r>
    </w:p>
    <w:p>
      <w:pPr>
        <w:spacing w:after="0" w:line="85" w:lineRule="exact"/>
        <w:rPr>
          <w:rFonts w:ascii="Arial" w:cs="Arial" w:eastAsia="Arial" w:hAnsi="Arial"/>
          <w:sz w:val="16"/>
          <w:szCs w:val="16"/>
          <w:color w:val="auto"/>
        </w:rPr>
      </w:pPr>
    </w:p>
    <w:p>
      <w:pPr>
        <w:jc w:val="both"/>
        <w:ind w:firstLine="1948"/>
        <w:spacing w:after="0" w:line="256" w:lineRule="auto"/>
        <w:tabs>
          <w:tab w:leader="none" w:pos="226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during the Severance Period, the Company shall continue to provide to the Executive and the Executive’s family those benefits which would have been provided to them if the Executive’s employment had not been terminated, in accordance with the applicable Benefit Plans in effect on the Date of Termination (to the extent such health benefits can be provided to non-employees, or to the extent such benefits cannot be provided to non-employees, then the cash equivalent thereof, based on the cost thereof to the Company, which</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35" w:name="page136"/>
    <w:bookmarkEnd w:id="135"/>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cash amount shall be paid proportionately over the Severance Period, monthly in advance); </w:t>
      </w:r>
      <w:r>
        <w:rPr>
          <w:rFonts w:ascii="Arial" w:cs="Arial" w:eastAsia="Arial" w:hAnsi="Arial"/>
          <w:sz w:val="18"/>
          <w:szCs w:val="18"/>
          <w:u w:val="single" w:color="auto"/>
          <w:color w:val="auto"/>
        </w:rPr>
        <w:t>provided</w:t>
      </w:r>
      <w:r>
        <w:rPr>
          <w:rFonts w:ascii="Arial" w:cs="Arial" w:eastAsia="Arial" w:hAnsi="Arial"/>
          <w:sz w:val="18"/>
          <w:szCs w:val="18"/>
          <w:color w:val="auto"/>
        </w:rPr>
        <w:t>, however: (1) that if the Executive becomes reemployed with another employer and is eligible to receive a particular type of benefits (e.g., health insurance benefits) from such employer on terms at least as favorable to the Executive and his family as those being provided by the Company, then the Company shall no longer be required to provide those particular benefits to the Executive and his family; and (2) to the extent that such payments are taxable to the Executive and/or extend beyond the COBRA continuation period, then such payments shall be made monthly in advance.</w:t>
      </w:r>
    </w:p>
    <w:p>
      <w:pPr>
        <w:spacing w:after="0" w:line="143" w:lineRule="exact"/>
        <w:rPr>
          <w:sz w:val="20"/>
          <w:szCs w:val="20"/>
          <w:color w:val="auto"/>
        </w:rPr>
      </w:pPr>
    </w:p>
    <w:p>
      <w:pPr>
        <w:jc w:val="both"/>
        <w:ind w:firstLine="1492"/>
        <w:spacing w:after="0" w:line="256" w:lineRule="auto"/>
        <w:tabs>
          <w:tab w:leader="none" w:pos="1722"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Other Terminations</w:t>
      </w:r>
      <w:r>
        <w:rPr>
          <w:rFonts w:ascii="Arial" w:cs="Arial" w:eastAsia="Arial" w:hAnsi="Arial"/>
          <w:sz w:val="18"/>
          <w:szCs w:val="18"/>
          <w:color w:val="auto"/>
        </w:rPr>
        <w:t>. If, following the Change in Control Date, the Executive’s employment with the Company is terminated other than under the circumstances described in Section 4.2(a) or Section 4.2(b), then the Company shall (i) pay the Executive (or his estate, if applicable), in a lump sum in cash on the Date of Termination, the Accrued Obligations and (ii) to the extent not previously paid or provided, timely pay or provide to the Executive the Other Benefits, the distribution of which shall be subject to the provisions of Section 4.7.</w:t>
      </w:r>
    </w:p>
    <w:p>
      <w:pPr>
        <w:spacing w:after="0" w:line="143" w:lineRule="exact"/>
        <w:rPr>
          <w:rFonts w:ascii="Arial" w:cs="Arial" w:eastAsia="Arial" w:hAnsi="Arial"/>
          <w:sz w:val="18"/>
          <w:szCs w:val="18"/>
          <w:color w:val="auto"/>
        </w:rPr>
      </w:pPr>
    </w:p>
    <w:p>
      <w:pPr>
        <w:jc w:val="both"/>
        <w:ind w:firstLine="1492"/>
        <w:spacing w:after="0" w:line="259" w:lineRule="auto"/>
        <w:tabs>
          <w:tab w:leader="none" w:pos="1746"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Subject to Section 4.7, the Company agrees to reimburse the Executive for all legal and other fees and expenses that the Executive reasonably incurs as a result of any claim or dispute regarding the benefits due to the Executive pursuant to this Section 4.2 if the Executive prevails in such claim or dispute.</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Section 280G Provisions</w:t>
      </w:r>
      <w:r>
        <w:rPr>
          <w:rFonts w:ascii="Arial" w:cs="Arial" w:eastAsia="Arial" w:hAnsi="Arial"/>
          <w:sz w:val="18"/>
          <w:szCs w:val="18"/>
          <w:color w:val="auto"/>
        </w:rPr>
        <w:t>.</w:t>
      </w:r>
    </w:p>
    <w:p>
      <w:pPr>
        <w:spacing w:after="0" w:line="90" w:lineRule="exact"/>
        <w:rPr>
          <w:sz w:val="20"/>
          <w:szCs w:val="20"/>
          <w:color w:val="auto"/>
        </w:rPr>
      </w:pPr>
    </w:p>
    <w:p>
      <w:pPr>
        <w:jc w:val="both"/>
        <w:ind w:firstLine="1492"/>
        <w:spacing w:after="0" w:line="291" w:lineRule="auto"/>
        <w:tabs>
          <w:tab w:leader="none" w:pos="1728" w:val="left"/>
        </w:tabs>
        <w:numPr>
          <w:ilvl w:val="0"/>
          <w:numId w:val="212"/>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in the event that the Company undergoes a Change in Ownership or Control (as defined below), the Company shall not be obligated to provide to the Executive a portion of any Contingent Compensation Payments (as defined below) that the Executive would otherwise be entitled to receive to the extent necessary to eliminate Excess Parachute Payments (as defined below) for the Executive, except as set forth in Section 4.3(b). For purposes of this Section 4.3, the Contingent Compensation Payments so eliminated shall be referred to as the “Eliminated Payments” and the aggregate amount (determined in accordance with Treasury Regulation Section 1.280G-1, Q/A-30 or any successor provision) of the Contingent Compensation Payments so eliminated shall be referred to as the “Eliminated Amount.”</w:t>
      </w:r>
    </w:p>
    <w:p>
      <w:pPr>
        <w:spacing w:after="0" w:line="120" w:lineRule="exact"/>
        <w:rPr>
          <w:rFonts w:ascii="Arial" w:cs="Arial" w:eastAsia="Arial" w:hAnsi="Arial"/>
          <w:sz w:val="16"/>
          <w:szCs w:val="16"/>
          <w:color w:val="auto"/>
        </w:rPr>
      </w:pPr>
    </w:p>
    <w:p>
      <w:pPr>
        <w:jc w:val="both"/>
        <w:ind w:firstLine="1492"/>
        <w:spacing w:after="0" w:line="253" w:lineRule="auto"/>
        <w:tabs>
          <w:tab w:leader="none" w:pos="1758" w:val="left"/>
        </w:tabs>
        <w:numPr>
          <w:ilvl w:val="0"/>
          <w:numId w:val="212"/>
        </w:numPr>
        <w:rPr>
          <w:rFonts w:ascii="Arial" w:cs="Arial" w:eastAsia="Arial" w:hAnsi="Arial"/>
          <w:sz w:val="18"/>
          <w:szCs w:val="18"/>
          <w:color w:val="auto"/>
        </w:rPr>
      </w:pPr>
      <w:r>
        <w:rPr>
          <w:rFonts w:ascii="Arial" w:cs="Arial" w:eastAsia="Arial" w:hAnsi="Arial"/>
          <w:sz w:val="18"/>
          <w:szCs w:val="18"/>
          <w:color w:val="auto"/>
        </w:rPr>
        <w:t>Notwithstanding the provisions of Section 4.3(a), no such reduction in Contingent Compensation Payments shall be made if (i) the Eliminated Amount (computed without regard to this sentence) exceeds (ii) 110% of the aggregate present value (determined in accordance with Treasury Regulation Section 1.280G-1, Q/A-31, Q/A-32, Q/A-33 or any successor provisions) of the amount of any additional taxes that would be incurred by the Executive if the Eliminated Payments (determined without regard to this sentence) were paid to him (including, state and federal income taxes on the Eliminated Payments, the excise tax imposed by Section 4999 of the Internal Revenue Code of 1986, as amended (the “Code”, which term shall include applicable Treasury Regulations), payable with respect to all of the Contingent Compensation Payments in excess of the Executive’s “base amount” (as defined in Section 280G(b)(3) of the Code), and any withholding taxes). The override of such reduction in Contingent Compensation Payments pursuant to this Section 4.3(b) shall be referred to as a</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36" w:name="page137"/>
    <w:bookmarkEnd w:id="136"/>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4.3(b) Override.” For purposes of this paragraph, if any federal, state or local income taxes would be attributable to the receipt of any Eliminated Payment, the amount of such taxes shall be computed by multiplying the amount of the Eliminated Payment by the maximum combined federal, state and local income tax rate provided by law.</w:t>
      </w:r>
    </w:p>
    <w:p>
      <w:pPr>
        <w:spacing w:after="0" w:line="140" w:lineRule="exact"/>
        <w:rPr>
          <w:sz w:val="20"/>
          <w:szCs w:val="20"/>
          <w:color w:val="auto"/>
        </w:rPr>
      </w:pPr>
    </w:p>
    <w:p>
      <w:pPr>
        <w:ind w:left="1740" w:hanging="248"/>
        <w:spacing w:after="0"/>
        <w:tabs>
          <w:tab w:leader="none" w:pos="17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For purposes of this Section 4.3 the following terms shall have the following respective meanings:</w:t>
      </w:r>
    </w:p>
    <w:p>
      <w:pPr>
        <w:spacing w:after="0" w:line="90" w:lineRule="exact"/>
        <w:rPr>
          <w:rFonts w:ascii="Arial" w:cs="Arial" w:eastAsia="Arial" w:hAnsi="Arial"/>
          <w:sz w:val="18"/>
          <w:szCs w:val="18"/>
          <w:color w:val="auto"/>
        </w:rPr>
      </w:pPr>
    </w:p>
    <w:p>
      <w:pPr>
        <w:ind w:firstLine="1948"/>
        <w:spacing w:after="0" w:line="268" w:lineRule="auto"/>
        <w:tabs>
          <w:tab w:leader="none" w:pos="2157" w:val="left"/>
        </w:tabs>
        <w:numPr>
          <w:ilvl w:val="1"/>
          <w:numId w:val="213"/>
        </w:numPr>
        <w:rPr>
          <w:rFonts w:ascii="Arial" w:cs="Arial" w:eastAsia="Arial" w:hAnsi="Arial"/>
          <w:sz w:val="18"/>
          <w:szCs w:val="18"/>
          <w:color w:val="auto"/>
        </w:rPr>
      </w:pPr>
      <w:r>
        <w:rPr>
          <w:rFonts w:ascii="Arial" w:cs="Arial" w:eastAsia="Arial" w:hAnsi="Arial"/>
          <w:sz w:val="18"/>
          <w:szCs w:val="18"/>
          <w:color w:val="auto"/>
        </w:rPr>
        <w:t>“Change in Ownership or Control” shall mean a change in the ownership or effective control of the Company or in the ownership of a substantial portion of the assets of the Company determined in accordance with Section 280G(b)(2) of the Code.</w:t>
      </w:r>
    </w:p>
    <w:p>
      <w:pPr>
        <w:spacing w:after="0" w:line="131" w:lineRule="exact"/>
        <w:rPr>
          <w:rFonts w:ascii="Arial" w:cs="Arial" w:eastAsia="Arial" w:hAnsi="Arial"/>
          <w:sz w:val="18"/>
          <w:szCs w:val="18"/>
          <w:color w:val="auto"/>
        </w:rPr>
      </w:pPr>
    </w:p>
    <w:p>
      <w:pPr>
        <w:jc w:val="both"/>
        <w:ind w:firstLine="1948"/>
        <w:spacing w:after="0" w:line="259" w:lineRule="auto"/>
        <w:tabs>
          <w:tab w:leader="none" w:pos="2216" w:val="left"/>
        </w:tabs>
        <w:numPr>
          <w:ilvl w:val="1"/>
          <w:numId w:val="213"/>
        </w:numPr>
        <w:rPr>
          <w:rFonts w:ascii="Arial" w:cs="Arial" w:eastAsia="Arial" w:hAnsi="Arial"/>
          <w:sz w:val="18"/>
          <w:szCs w:val="18"/>
          <w:color w:val="auto"/>
        </w:rPr>
      </w:pPr>
      <w:r>
        <w:rPr>
          <w:rFonts w:ascii="Arial" w:cs="Arial" w:eastAsia="Arial" w:hAnsi="Arial"/>
          <w:sz w:val="18"/>
          <w:szCs w:val="18"/>
          <w:color w:val="auto"/>
        </w:rPr>
        <w:t>“Contingent Compensation Payment” shall mean any payment (or benefit) in the nature of compensation that is made or made available (under this Agreement or otherwise) to a “disqualified individual” (as defined in Section 280G(c) of the Code) and that is contingent (within the meaning of Section 280G(b)(2)(A)(i) of the Code) on a Change in Ownership or Control of the Company.</w:t>
      </w:r>
    </w:p>
    <w:p>
      <w:pPr>
        <w:spacing w:after="0" w:line="140" w:lineRule="exact"/>
        <w:rPr>
          <w:rFonts w:ascii="Arial" w:cs="Arial" w:eastAsia="Arial" w:hAnsi="Arial"/>
          <w:sz w:val="18"/>
          <w:szCs w:val="18"/>
          <w:color w:val="auto"/>
        </w:rPr>
      </w:pPr>
    </w:p>
    <w:p>
      <w:pPr>
        <w:ind w:left="2260" w:hanging="312"/>
        <w:spacing w:after="0"/>
        <w:tabs>
          <w:tab w:leader="none" w:pos="226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“Excess Parachute Payment” shall mean a payment described in Section 280G(b)(1) of the Code.</w:t>
      </w:r>
    </w:p>
    <w:p>
      <w:pPr>
        <w:spacing w:after="0" w:line="171" w:lineRule="exact"/>
        <w:rPr>
          <w:rFonts w:ascii="Arial" w:cs="Arial" w:eastAsia="Arial" w:hAnsi="Arial"/>
          <w:sz w:val="18"/>
          <w:szCs w:val="18"/>
          <w:color w:val="auto"/>
        </w:rPr>
      </w:pPr>
    </w:p>
    <w:p>
      <w:pPr>
        <w:jc w:val="both"/>
        <w:ind w:firstLine="1492"/>
        <w:spacing w:after="0" w:line="259" w:lineRule="auto"/>
        <w:tabs>
          <w:tab w:leader="none" w:pos="1746"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Any payments or other benefits otherwise due to the Executive following a Change in Ownership or Control that could reasonably be characterized (as determined by the Company) as Contingent Compensation Payments (the “Potential Payments”) shall not be made until the dates provided for in this Section 4.3(d).</w:t>
      </w:r>
    </w:p>
    <w:p>
      <w:pPr>
        <w:spacing w:after="0" w:line="140" w:lineRule="exact"/>
        <w:rPr>
          <w:rFonts w:ascii="Arial" w:cs="Arial" w:eastAsia="Arial" w:hAnsi="Arial"/>
          <w:sz w:val="18"/>
          <w:szCs w:val="18"/>
          <w:color w:val="auto"/>
        </w:rPr>
      </w:pPr>
    </w:p>
    <w:p>
      <w:pPr>
        <w:jc w:val="both"/>
        <w:ind w:firstLine="1948"/>
        <w:spacing w:after="0" w:line="253" w:lineRule="auto"/>
        <w:tabs>
          <w:tab w:leader="none" w:pos="2179" w:val="left"/>
        </w:tabs>
        <w:numPr>
          <w:ilvl w:val="1"/>
          <w:numId w:val="213"/>
        </w:numPr>
        <w:rPr>
          <w:rFonts w:ascii="Arial" w:cs="Arial" w:eastAsia="Arial" w:hAnsi="Arial"/>
          <w:sz w:val="18"/>
          <w:szCs w:val="18"/>
          <w:color w:val="auto"/>
        </w:rPr>
      </w:pPr>
      <w:r>
        <w:rPr>
          <w:rFonts w:ascii="Arial" w:cs="Arial" w:eastAsia="Arial" w:hAnsi="Arial"/>
          <w:sz w:val="18"/>
          <w:szCs w:val="18"/>
          <w:color w:val="auto"/>
        </w:rPr>
        <w:t>In the event that the Company undergoes a Change in Ownership or Control, and the Executive becomes entitled to receive Contingent Compensation Payments relating to such Change in Ownership or Control, the Company shall (A) determine at such time or times as may be necessary to comply with the requirements under Section 280G of the Code whether such Contingent Compensation Payments constitute in whole or in part Excess Parachute Payments and (B) in the event the Company determines that such Contingent Compensation Payments constitute in whole or in part Excess Parachute Payments, notify the Executive (within 30 days after each such determination and with reasonable detail regarding the basis for its determinations) of the following: (1) which Potential Payments constitute Contingent Compensation Payments, (2) the Eliminated Amount and (3) whether the Section 4.3(b) Override is applicable.</w:t>
      </w:r>
    </w:p>
    <w:p>
      <w:pPr>
        <w:spacing w:after="0" w:line="147" w:lineRule="exact"/>
        <w:rPr>
          <w:rFonts w:ascii="Arial" w:cs="Arial" w:eastAsia="Arial" w:hAnsi="Arial"/>
          <w:sz w:val="18"/>
          <w:szCs w:val="18"/>
          <w:color w:val="auto"/>
        </w:rPr>
      </w:pPr>
    </w:p>
    <w:p>
      <w:pPr>
        <w:jc w:val="both"/>
        <w:ind w:firstLine="1948"/>
        <w:spacing w:after="0" w:line="256" w:lineRule="auto"/>
        <w:tabs>
          <w:tab w:leader="none" w:pos="2233" w:val="left"/>
        </w:tabs>
        <w:numPr>
          <w:ilvl w:val="1"/>
          <w:numId w:val="213"/>
        </w:numPr>
        <w:rPr>
          <w:rFonts w:ascii="Arial" w:cs="Arial" w:eastAsia="Arial" w:hAnsi="Arial"/>
          <w:sz w:val="18"/>
          <w:szCs w:val="18"/>
          <w:color w:val="auto"/>
        </w:rPr>
      </w:pPr>
      <w:r>
        <w:rPr>
          <w:rFonts w:ascii="Arial" w:cs="Arial" w:eastAsia="Arial" w:hAnsi="Arial"/>
          <w:sz w:val="18"/>
          <w:szCs w:val="18"/>
          <w:color w:val="auto"/>
        </w:rPr>
        <w:t>Within 30 days after delivery of such notice to the Executive, the Executive shall deliver a response to the Company (the “Executive Response”) stating either (A) that he agrees with the Company’s determination pursuant to the preceding sentence, or (B) that he disagrees with such determination, in which case he shall set forth (1) which Potential Payments should be characterized as Contingent Compensation Payments, (2) the Eliminated Amount, or (3) whether the Section 4.3(b) Override is applicable.</w:t>
      </w:r>
    </w:p>
    <w:p>
      <w:pPr>
        <w:spacing w:after="0" w:line="143" w:lineRule="exact"/>
        <w:rPr>
          <w:rFonts w:ascii="Arial" w:cs="Arial" w:eastAsia="Arial" w:hAnsi="Arial"/>
          <w:sz w:val="18"/>
          <w:szCs w:val="18"/>
          <w:color w:val="auto"/>
        </w:rPr>
      </w:pPr>
    </w:p>
    <w:p>
      <w:pPr>
        <w:ind w:right="20" w:firstLine="1948"/>
        <w:spacing w:after="0" w:line="332" w:lineRule="auto"/>
        <w:tabs>
          <w:tab w:leader="none" w:pos="2260" w:val="left"/>
        </w:tabs>
        <w:numPr>
          <w:ilvl w:val="1"/>
          <w:numId w:val="213"/>
        </w:numPr>
        <w:rPr>
          <w:rFonts w:ascii="Arial" w:cs="Arial" w:eastAsia="Arial" w:hAnsi="Arial"/>
          <w:sz w:val="16"/>
          <w:szCs w:val="16"/>
          <w:color w:val="auto"/>
        </w:rPr>
      </w:pPr>
      <w:r>
        <w:rPr>
          <w:rFonts w:ascii="Arial" w:cs="Arial" w:eastAsia="Arial" w:hAnsi="Arial"/>
          <w:sz w:val="16"/>
          <w:szCs w:val="16"/>
          <w:color w:val="auto"/>
        </w:rPr>
        <w:t>If and to the extent that any Contingent Compensation Payments are required to be treated as Eliminated Payments pursuant to this Section 4.3, then the Payments shall be reduced or eliminated, as determined by the Company, in the following order:</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37" w:name="page138"/>
    <w:bookmarkEnd w:id="137"/>
    <w:p>
      <w:pPr>
        <w:jc w:val="both"/>
        <w:ind w:firstLine="8"/>
        <w:spacing w:after="0" w:line="259" w:lineRule="auto"/>
        <w:tabs>
          <w:tab w:leader="none" w:pos="292" w:val="left"/>
        </w:tabs>
        <w:numPr>
          <w:ilvl w:val="0"/>
          <w:numId w:val="2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cash payments, (B) any taxable benefits, (C) any nontaxable benefits, and (D) any vesting of equity awards, in each case in reverse order beginning with payments or benefits that are to be paid the farthest in time from the date that triggers the applicability of the excise tax, to the extent necessary to maximize the Eliminated Payments.</w:t>
      </w:r>
    </w:p>
    <w:p>
      <w:pPr>
        <w:spacing w:after="0" w:line="140" w:lineRule="exact"/>
        <w:rPr>
          <w:rFonts w:ascii="Arial" w:cs="Arial" w:eastAsia="Arial" w:hAnsi="Arial"/>
          <w:sz w:val="18"/>
          <w:szCs w:val="18"/>
          <w:color w:val="auto"/>
        </w:rPr>
      </w:pPr>
    </w:p>
    <w:p>
      <w:pPr>
        <w:jc w:val="both"/>
        <w:ind w:firstLine="1948"/>
        <w:spacing w:after="0" w:line="256" w:lineRule="auto"/>
        <w:tabs>
          <w:tab w:leader="none" w:pos="2244" w:val="left"/>
        </w:tabs>
        <w:numPr>
          <w:ilvl w:val="1"/>
          <w:numId w:val="214"/>
        </w:numPr>
        <w:rPr>
          <w:rFonts w:ascii="Arial" w:cs="Arial" w:eastAsia="Arial" w:hAnsi="Arial"/>
          <w:sz w:val="18"/>
          <w:szCs w:val="18"/>
          <w:color w:val="auto"/>
        </w:rPr>
      </w:pPr>
      <w:r>
        <w:rPr>
          <w:rFonts w:ascii="Arial" w:cs="Arial" w:eastAsia="Arial" w:hAnsi="Arial"/>
          <w:sz w:val="18"/>
          <w:szCs w:val="18"/>
          <w:color w:val="auto"/>
        </w:rPr>
        <w:t>If the Executive fails to deliver an Executive Response on or before the required date, the Company’s initial determinations shall be final, and the Company shall make the Potential Payments (other than the Eliminated Payments) to the Executive within 10 business days following the due date for delivery to the Company of the Executive Response (except for any Potential Payments which are not due to be made until after such date, which Potential Payments shall be made on the date on which they are due).</w:t>
      </w:r>
    </w:p>
    <w:p>
      <w:pPr>
        <w:spacing w:after="0" w:line="143" w:lineRule="exact"/>
        <w:rPr>
          <w:rFonts w:ascii="Arial" w:cs="Arial" w:eastAsia="Arial" w:hAnsi="Arial"/>
          <w:sz w:val="18"/>
          <w:szCs w:val="18"/>
          <w:color w:val="auto"/>
        </w:rPr>
      </w:pPr>
    </w:p>
    <w:p>
      <w:pPr>
        <w:jc w:val="both"/>
        <w:ind w:firstLine="1948"/>
        <w:spacing w:after="0" w:line="255" w:lineRule="auto"/>
        <w:tabs>
          <w:tab w:leader="none" w:pos="2222" w:val="left"/>
        </w:tabs>
        <w:numPr>
          <w:ilvl w:val="1"/>
          <w:numId w:val="214"/>
        </w:numPr>
        <w:rPr>
          <w:rFonts w:ascii="Arial" w:cs="Arial" w:eastAsia="Arial" w:hAnsi="Arial"/>
          <w:sz w:val="18"/>
          <w:szCs w:val="18"/>
          <w:color w:val="auto"/>
        </w:rPr>
      </w:pPr>
      <w:r>
        <w:rPr>
          <w:rFonts w:ascii="Arial" w:cs="Arial" w:eastAsia="Arial" w:hAnsi="Arial"/>
          <w:sz w:val="18"/>
          <w:szCs w:val="18"/>
          <w:color w:val="auto"/>
        </w:rPr>
        <w:t>If the Executive states in the Executive Response that he agrees with the Company’s determinations, the Company’s initial determinations shall be final, the Contingent Compensation Payments that shall be treated as Eliminated Payments shall be as set forth in the Executive Response, and the Company shall make the Potential Payments (other than the Eliminated Payments) to the Executive within 10 business days following delivery to the Company of the Executive Response (except for any Potential Payments which are not due to be made until after such date, which Potential Payments shall be made on the date on which they are due).</w:t>
      </w:r>
    </w:p>
    <w:p>
      <w:pPr>
        <w:spacing w:after="0" w:line="142" w:lineRule="exact"/>
        <w:rPr>
          <w:rFonts w:ascii="Arial" w:cs="Arial" w:eastAsia="Arial" w:hAnsi="Arial"/>
          <w:sz w:val="18"/>
          <w:szCs w:val="18"/>
          <w:color w:val="auto"/>
        </w:rPr>
      </w:pPr>
    </w:p>
    <w:p>
      <w:pPr>
        <w:jc w:val="both"/>
        <w:ind w:firstLine="1948"/>
        <w:spacing w:after="0" w:line="289" w:lineRule="auto"/>
        <w:tabs>
          <w:tab w:leader="none" w:pos="2249" w:val="left"/>
        </w:tabs>
        <w:numPr>
          <w:ilvl w:val="1"/>
          <w:numId w:val="214"/>
        </w:numPr>
        <w:rPr>
          <w:rFonts w:ascii="Arial" w:cs="Arial" w:eastAsia="Arial" w:hAnsi="Arial"/>
          <w:sz w:val="16"/>
          <w:szCs w:val="16"/>
          <w:color w:val="auto"/>
        </w:rPr>
      </w:pPr>
      <w:r>
        <w:rPr>
          <w:rFonts w:ascii="Arial" w:cs="Arial" w:eastAsia="Arial" w:hAnsi="Arial"/>
          <w:sz w:val="16"/>
          <w:szCs w:val="16"/>
          <w:color w:val="auto"/>
        </w:rPr>
        <w:t>If the Executive states in the Executive Response that he disagrees with the Company’s determinations, then, for a period of 60 days following delivery of the Executive Response, the Executive and the Company shall use good faith efforts to resolve such dispute. If such dispute is not resolved within such 60-day period, such dispute shall be settled exclusively by arbitration in Boston, Massachusetts, in accordance with the rules of the American Arbitration Association then in effect. Judgment may be entered on the arbitrator’s award in any court having jurisdiction. The Company shall, within 10 business days following delivery to the Company of the Executive Response, make to the Executive those Potential Payments as to which there is no dispute between the Company and the Executive regarding whether they should be made (except for any such Potential Payments which are not due to be made until after such date, which Potential Payments shall be made on the date on which they are due). The balance of the Potential Payments (other than Eliminated Payments) shall be made within 10 business days following the resolution of such dispute.</w:t>
      </w:r>
    </w:p>
    <w:p>
      <w:pPr>
        <w:spacing w:after="0" w:line="118" w:lineRule="exact"/>
        <w:rPr>
          <w:rFonts w:ascii="Arial" w:cs="Arial" w:eastAsia="Arial" w:hAnsi="Arial"/>
          <w:sz w:val="16"/>
          <w:szCs w:val="16"/>
          <w:color w:val="auto"/>
        </w:rPr>
      </w:pPr>
    </w:p>
    <w:p>
      <w:pPr>
        <w:jc w:val="both"/>
        <w:ind w:firstLine="1948"/>
        <w:spacing w:after="0" w:line="259" w:lineRule="auto"/>
        <w:tabs>
          <w:tab w:leader="none" w:pos="2297" w:val="left"/>
        </w:tabs>
        <w:numPr>
          <w:ilvl w:val="1"/>
          <w:numId w:val="214"/>
        </w:numPr>
        <w:rPr>
          <w:rFonts w:ascii="Arial" w:cs="Arial" w:eastAsia="Arial" w:hAnsi="Arial"/>
          <w:sz w:val="18"/>
          <w:szCs w:val="18"/>
          <w:color w:val="auto"/>
        </w:rPr>
      </w:pPr>
      <w:r>
        <w:rPr>
          <w:rFonts w:ascii="Arial" w:cs="Arial" w:eastAsia="Arial" w:hAnsi="Arial"/>
          <w:sz w:val="18"/>
          <w:szCs w:val="18"/>
          <w:color w:val="auto"/>
        </w:rPr>
        <w:t>Subject to the limitations contained in Sections 4.3(a) and (b) hereof, the amount of any payments to be made to the Executive following the resolution of such dispute shall be increased by amount of the accrued interest thereon computed at the prime rate announced from time to time by Bank of America, compounded monthly from the date that such payments originally were due.</w:t>
      </w:r>
    </w:p>
    <w:p>
      <w:pPr>
        <w:spacing w:after="0" w:line="140" w:lineRule="exact"/>
        <w:rPr>
          <w:rFonts w:ascii="Arial" w:cs="Arial" w:eastAsia="Arial" w:hAnsi="Arial"/>
          <w:sz w:val="18"/>
          <w:szCs w:val="18"/>
          <w:color w:val="auto"/>
        </w:rPr>
      </w:pPr>
    </w:p>
    <w:p>
      <w:pPr>
        <w:jc w:val="both"/>
        <w:ind w:firstLine="1948"/>
        <w:spacing w:after="0" w:line="298" w:lineRule="auto"/>
        <w:tabs>
          <w:tab w:leader="none" w:pos="2353" w:val="left"/>
        </w:tabs>
        <w:numPr>
          <w:ilvl w:val="1"/>
          <w:numId w:val="214"/>
        </w:numPr>
        <w:rPr>
          <w:rFonts w:ascii="Arial" w:cs="Arial" w:eastAsia="Arial" w:hAnsi="Arial"/>
          <w:sz w:val="16"/>
          <w:szCs w:val="16"/>
          <w:color w:val="auto"/>
        </w:rPr>
      </w:pPr>
      <w:r>
        <w:rPr>
          <w:rFonts w:ascii="Arial" w:cs="Arial" w:eastAsia="Arial" w:hAnsi="Arial"/>
          <w:sz w:val="16"/>
          <w:szCs w:val="16"/>
          <w:color w:val="auto"/>
        </w:rPr>
        <w:t>In the event the Company is required to perform a redetermination in accordance with Treas. Reg. 1.280G-1 Q/A-33(b) with respect to any Contingent Compensation Payments, this Section 4.3(d) shall apply with respect to such redetermination and the parties shall make such adjustments as may be necessary as a result of such redetermination including, if appropriate, the payment by the Company of Contingent Compensation Payments previously treated as Eliminated Payments if the Section 4.3(b) Override applies as a result of such redetermination.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38" w:name="page139"/>
    <w:bookmarkEnd w:id="138"/>
    <w:p>
      <w:pPr>
        <w:ind w:firstLine="1492"/>
        <w:spacing w:after="0" w:line="332" w:lineRule="auto"/>
        <w:tabs>
          <w:tab w:leader="none" w:pos="1752" w:val="left"/>
        </w:tabs>
        <w:numPr>
          <w:ilvl w:val="0"/>
          <w:numId w:val="2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provisions of this Section 4.3 are intended to apply to any and all payments or benefits available to the Executive under this Agreement or any other agreement or plan of the Company under which the Executive receives Contingent Compensation Payments.</w:t>
      </w:r>
    </w:p>
    <w:p>
      <w:pPr>
        <w:spacing w:after="0" w:line="85" w:lineRule="exact"/>
        <w:rPr>
          <w:sz w:val="20"/>
          <w:szCs w:val="20"/>
          <w:color w:val="auto"/>
        </w:rPr>
      </w:pPr>
    </w:p>
    <w:p>
      <w:pPr>
        <w:jc w:val="both"/>
        <w:ind w:firstLine="913"/>
        <w:spacing w:after="0" w:line="273"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Release</w:t>
      </w:r>
      <w:r>
        <w:rPr>
          <w:rFonts w:ascii="Arial" w:cs="Arial" w:eastAsia="Arial" w:hAnsi="Arial"/>
          <w:sz w:val="16"/>
          <w:szCs w:val="16"/>
          <w:color w:val="auto"/>
        </w:rPr>
        <w:t xml:space="preserve">. The obligation of the Company to make the payments and provide the benefits to the Executive under Section 4.1(a), Section 4.2(a) or Section 4.2(b) is conditioned upon the Executive signing a release of claims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or such other form as may be agreed to by the Company and the Executive (the “Employee Release”), within 21 days (the “Release Period”) following the Date of Termination and upon the Executive not revoking the Employee Release in a timely manner thereafter. Provided that the Employee Release has become binding, the payments to the Executive under</w:t>
      </w:r>
    </w:p>
    <w:p>
      <w:pPr>
        <w:jc w:val="both"/>
        <w:spacing w:after="0" w:line="230" w:lineRule="auto"/>
        <w:rPr>
          <w:sz w:val="20"/>
          <w:szCs w:val="20"/>
          <w:color w:val="auto"/>
        </w:rPr>
      </w:pPr>
      <w:r>
        <w:rPr>
          <w:rFonts w:ascii="Arial" w:cs="Arial" w:eastAsia="Arial" w:hAnsi="Arial"/>
          <w:sz w:val="18"/>
          <w:szCs w:val="18"/>
          <w:color w:val="auto"/>
        </w:rPr>
        <w:t>Section 4.1(a), Section 4.2(a) or Section 4.2(b) shall be payable or shall commence on the 30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following the Date of Termination. Notwithstanding the foregoing, the provisions of benefits under Section 4.1(a)(iii), Section 4.2(a)(iii) or Section 4.2(b)(iii) shall continue during the Release Period and any applicable revocation period.</w:t>
      </w:r>
    </w:p>
    <w:p>
      <w:pPr>
        <w:spacing w:after="0" w:line="185"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Exclusive Severance Benefits</w:t>
      </w:r>
      <w:r>
        <w:rPr>
          <w:rFonts w:ascii="Arial" w:cs="Arial" w:eastAsia="Arial" w:hAnsi="Arial"/>
          <w:sz w:val="18"/>
          <w:szCs w:val="18"/>
          <w:color w:val="auto"/>
        </w:rPr>
        <w:t>. The making of the payments and the provision of the benefits by the Company to the Executive under Section 4.1(a), Section 4.2(a) or Section 4.2(b) shall constitute the entire obligation of the Company to the Executive as a result of the termination of his employment under the circumstances set forth in such Sections, and the Executive shall not be entitled to additional payments or benefits under any other plan, program, policy, practice, contract or agreement of the Company or its subsidiaries.</w:t>
      </w:r>
    </w:p>
    <w:p>
      <w:pPr>
        <w:spacing w:after="0" w:line="143"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Mitigation</w:t>
      </w:r>
      <w:r>
        <w:rPr>
          <w:rFonts w:ascii="Arial" w:cs="Arial" w:eastAsia="Arial" w:hAnsi="Arial"/>
          <w:sz w:val="18"/>
          <w:szCs w:val="18"/>
          <w:color w:val="auto"/>
        </w:rPr>
        <w:t>. The Executive shall not be required to mitigate the amount of any payment or benefits provided for in Section 4.1(a), Section 4.2(a) or Section 4.2(b) by seeking other employment or otherwise. Further, except as provided in Section 4.1(a)(iii), Section 4.2(a)(iii) or Section 4.2(b)(iii), the amount of any payment or benefits provided for in Section 4.1(a), Section 4.2(a) or Section 4.2(b) shall not be reduced by any compensation earned or benefits received by the Executive as a result of employment by another employer.</w:t>
      </w:r>
    </w:p>
    <w:p>
      <w:pPr>
        <w:spacing w:after="0" w:line="143"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Section 409A</w:t>
      </w:r>
      <w:r>
        <w:rPr>
          <w:rFonts w:ascii="Arial" w:cs="Arial" w:eastAsia="Arial" w:hAnsi="Arial"/>
          <w:sz w:val="16"/>
          <w:szCs w:val="16"/>
          <w:color w:val="auto"/>
        </w:rPr>
        <w:t>. Subject to this Section 4.7, any severance payments or benefits under this Agreement shall begin only upon the date of the Executive’s “separation from service” (as determined below), which occurs on or after the date of the Executive’s termination. The following rules shall apply with respect to distribution of the payments and benefits, if any, to be provided to the Executive under Sections 4.1 or 4.2, as applicable:</w:t>
      </w:r>
    </w:p>
    <w:p>
      <w:pPr>
        <w:spacing w:after="0" w:line="26" w:lineRule="exact"/>
        <w:rPr>
          <w:sz w:val="20"/>
          <w:szCs w:val="20"/>
          <w:color w:val="auto"/>
        </w:rPr>
      </w:pPr>
    </w:p>
    <w:p>
      <w:pPr>
        <w:jc w:val="both"/>
        <w:ind w:firstLine="1492"/>
        <w:spacing w:after="0" w:line="256" w:lineRule="auto"/>
        <w:tabs>
          <w:tab w:leader="none" w:pos="1748"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It is intended that each installment of the payments and benefits provided under Sections 4.1 and 4.2 shall be treated as a separate “payment” for purposes of Section 409A of the U.S. Internal Revenue Code of 1986, as amended, and the guidance issued thereunder (“Section 409A”). Neither the Company nor the Executive shall have the right to accelerate or defer the delivery of any such payments or benefits except to the extent specifically permitted or required by Section 409A;</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39" w:name="page140"/>
    <w:bookmarkEnd w:id="139"/>
    <w:p>
      <w:pPr>
        <w:jc w:val="both"/>
        <w:ind w:firstLine="1492"/>
        <w:spacing w:after="0" w:line="259" w:lineRule="auto"/>
        <w:tabs>
          <w:tab w:leader="none" w:pos="1739" w:val="left"/>
        </w:tabs>
        <w:numPr>
          <w:ilvl w:val="0"/>
          <w:numId w:val="2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as of the date of the “separation from service” of the Executive from the Company (within the meaning of Section 4.7(d) below), the Executive is not a “specified employee” (within the meaning of Section 409A), then each installment of the payments and benefits shall be made on the dates and terms set forth in Sections 4.1 or 4.2, as applicable; and</w:t>
      </w:r>
    </w:p>
    <w:p>
      <w:pPr>
        <w:spacing w:after="0" w:line="140" w:lineRule="exact"/>
        <w:rPr>
          <w:rFonts w:ascii="Arial" w:cs="Arial" w:eastAsia="Arial" w:hAnsi="Arial"/>
          <w:sz w:val="18"/>
          <w:szCs w:val="18"/>
          <w:color w:val="auto"/>
        </w:rPr>
      </w:pPr>
    </w:p>
    <w:p>
      <w:pPr>
        <w:ind w:left="1740" w:hanging="248"/>
        <w:spacing w:after="0"/>
        <w:tabs>
          <w:tab w:leader="none" w:pos="174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If, as of the date of the separation from service of the Executive from the Company, the Executive is a specified employee, then:</w:t>
      </w:r>
    </w:p>
    <w:p>
      <w:pPr>
        <w:spacing w:after="0" w:line="113" w:lineRule="exact"/>
        <w:rPr>
          <w:rFonts w:ascii="Arial" w:cs="Arial" w:eastAsia="Arial" w:hAnsi="Arial"/>
          <w:sz w:val="16"/>
          <w:szCs w:val="16"/>
          <w:color w:val="auto"/>
        </w:rPr>
      </w:pPr>
    </w:p>
    <w:p>
      <w:pPr>
        <w:jc w:val="both"/>
        <w:ind w:firstLine="1948"/>
        <w:spacing w:after="0" w:line="256" w:lineRule="auto"/>
        <w:tabs>
          <w:tab w:leader="none" w:pos="2158" w:val="left"/>
        </w:tabs>
        <w:numPr>
          <w:ilvl w:val="1"/>
          <w:numId w:val="217"/>
        </w:numPr>
        <w:rPr>
          <w:rFonts w:ascii="Arial" w:cs="Arial" w:eastAsia="Arial" w:hAnsi="Arial"/>
          <w:sz w:val="18"/>
          <w:szCs w:val="18"/>
          <w:color w:val="auto"/>
        </w:rPr>
      </w:pPr>
      <w:r>
        <w:rPr>
          <w:rFonts w:ascii="Arial" w:cs="Arial" w:eastAsia="Arial" w:hAnsi="Arial"/>
          <w:sz w:val="18"/>
          <w:szCs w:val="18"/>
          <w:color w:val="auto"/>
        </w:rPr>
        <w:t>Each installment of the payments and benefits due under Sections 4.1 or 4.2 that, in accordance with the dates and terms set forth herein, will in all circumstances, regardless of when the separation from service occurs, be paid within the short-term deferral period (as defined under Section 409A) shall be treated as a short-term deferral within the meaning of Treasury Regulation Section 1.409A-1(b)(4) to the maximum extent permissible under Section 409A; and</w:t>
      </w:r>
    </w:p>
    <w:p>
      <w:pPr>
        <w:spacing w:after="0" w:line="143" w:lineRule="exact"/>
        <w:rPr>
          <w:rFonts w:ascii="Arial" w:cs="Arial" w:eastAsia="Arial" w:hAnsi="Arial"/>
          <w:sz w:val="18"/>
          <w:szCs w:val="18"/>
          <w:color w:val="auto"/>
        </w:rPr>
      </w:pPr>
    </w:p>
    <w:p>
      <w:pPr>
        <w:jc w:val="both"/>
        <w:ind w:firstLine="1948"/>
        <w:spacing w:after="0" w:line="287" w:lineRule="auto"/>
        <w:tabs>
          <w:tab w:leader="none" w:pos="2208" w:val="left"/>
        </w:tabs>
        <w:numPr>
          <w:ilvl w:val="1"/>
          <w:numId w:val="217"/>
        </w:numPr>
        <w:rPr>
          <w:rFonts w:ascii="Arial" w:cs="Arial" w:eastAsia="Arial" w:hAnsi="Arial"/>
          <w:sz w:val="16"/>
          <w:szCs w:val="16"/>
          <w:color w:val="auto"/>
        </w:rPr>
      </w:pPr>
      <w:r>
        <w:rPr>
          <w:rFonts w:ascii="Arial" w:cs="Arial" w:eastAsia="Arial" w:hAnsi="Arial"/>
          <w:sz w:val="16"/>
          <w:szCs w:val="16"/>
          <w:color w:val="auto"/>
        </w:rPr>
        <w:t xml:space="preserve">Each installment of the payments and benefits due under Sections 4.1 or 4.2 that is not described in Section 4.7(c)(i), above, and that would, absent this subsection, be paid within the six-month period following the separation from service of the Executive from the Company shall not be paid until the date that is six months and one day after such separation from service (or, if earlier, the Executive’s death), with any such installments that are required to be delayed being accumulated during the six-month period and paid in a lump sum on the date that is six months and one day following the Executive’s separation from service and any subsequent installments, if any, being paid in accordance with the dates and terms set forth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preceding provisions of this sentence shall not apply to any installment of payments and benefits if and to the maximum extent that that such installment is deemed to be paid under a separation pay plan that does not provide for a deferral of compensation by reason of the application of Treasury Regulation 1.409A-1(b)(9)(iii) (relating to separation pay upon an involuntary separation from service). Any installments that qualify for the exception under Treasury Regulation Section 1.409A-1(b)(9)(iii) must be paid no later than the last day of the Executive’s second taxable year following his taxable year in which the separation from service occurs.</w:t>
      </w:r>
    </w:p>
    <w:p>
      <w:pPr>
        <w:spacing w:after="0" w:line="122" w:lineRule="exact"/>
        <w:rPr>
          <w:rFonts w:ascii="Arial" w:cs="Arial" w:eastAsia="Arial" w:hAnsi="Arial"/>
          <w:sz w:val="16"/>
          <w:szCs w:val="16"/>
          <w:color w:val="auto"/>
        </w:rPr>
      </w:pPr>
    </w:p>
    <w:p>
      <w:pPr>
        <w:jc w:val="both"/>
        <w:ind w:firstLine="1492"/>
        <w:spacing w:after="0" w:line="306" w:lineRule="auto"/>
        <w:tabs>
          <w:tab w:leader="none" w:pos="1758" w:val="left"/>
        </w:tabs>
        <w:numPr>
          <w:ilvl w:val="0"/>
          <w:numId w:val="217"/>
        </w:numPr>
        <w:rPr>
          <w:rFonts w:ascii="Arial" w:cs="Arial" w:eastAsia="Arial" w:hAnsi="Arial"/>
          <w:sz w:val="16"/>
          <w:szCs w:val="16"/>
          <w:color w:val="auto"/>
        </w:rPr>
      </w:pPr>
      <w:r>
        <w:rPr>
          <w:rFonts w:ascii="Arial" w:cs="Arial" w:eastAsia="Arial" w:hAnsi="Arial"/>
          <w:sz w:val="16"/>
          <w:szCs w:val="16"/>
          <w:color w:val="auto"/>
        </w:rPr>
        <w:t>The determination of whether and when a separation from service from the Company has occurred shall be made and in a manner consistent with and based on the presumptions set forth in, Treasury Regulation Section 1.409A-1(h). Solely for purposes of this Section 4.7(d), “Company” shall include all persons with whom the Company would be considered a single employer as determined under Treasury Regulation Section 1.409A-1(h)(3).</w:t>
      </w:r>
    </w:p>
    <w:p>
      <w:pPr>
        <w:spacing w:after="0" w:line="106" w:lineRule="exact"/>
        <w:rPr>
          <w:rFonts w:ascii="Arial" w:cs="Arial" w:eastAsia="Arial" w:hAnsi="Arial"/>
          <w:sz w:val="16"/>
          <w:szCs w:val="16"/>
          <w:color w:val="auto"/>
        </w:rPr>
      </w:pPr>
    </w:p>
    <w:p>
      <w:pPr>
        <w:jc w:val="both"/>
        <w:ind w:firstLine="1492"/>
        <w:spacing w:after="0" w:line="291" w:lineRule="auto"/>
        <w:tabs>
          <w:tab w:leader="none" w:pos="1722" w:val="left"/>
        </w:tabs>
        <w:numPr>
          <w:ilvl w:val="0"/>
          <w:numId w:val="217"/>
        </w:numPr>
        <w:rPr>
          <w:rFonts w:ascii="Arial" w:cs="Arial" w:eastAsia="Arial" w:hAnsi="Arial"/>
          <w:sz w:val="16"/>
          <w:szCs w:val="16"/>
          <w:color w:val="auto"/>
        </w:rPr>
      </w:pPr>
      <w:r>
        <w:rPr>
          <w:rFonts w:ascii="Arial" w:cs="Arial" w:eastAsia="Arial" w:hAnsi="Arial"/>
          <w:sz w:val="16"/>
          <w:szCs w:val="16"/>
          <w:color w:val="auto"/>
        </w:rPr>
        <w:t>All reimbursements and in-kind benefits provided under the Agreement shall be made or provided in accordance with the requirements of Section 409A to the extent that such reimbursements or in-kind benefits are subject to Section 409A, including, where applicable, the requirement that (i) any reimbursement is for expenses incurred during the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40" w:name="page141"/>
    <w:bookmarkEnd w:id="140"/>
    <w:p>
      <w:pPr>
        <w:jc w:val="both"/>
        <w:ind w:firstLine="1492"/>
        <w:spacing w:after="0" w:line="259" w:lineRule="auto"/>
        <w:tabs>
          <w:tab w:leader="none" w:pos="1713" w:val="left"/>
        </w:tabs>
        <w:numPr>
          <w:ilvl w:val="1"/>
          <w:numId w:val="2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makes no representation or warranty and shall have no liability to the Executive or any other person if any provisions of this Agreement are determined to constitute deferred compensation subject to Section 409A and do not satisfy an exemption from, or the conditions of, Section 409A.</w:t>
      </w:r>
    </w:p>
    <w:p>
      <w:pPr>
        <w:spacing w:after="0" w:line="140" w:lineRule="exact"/>
        <w:rPr>
          <w:rFonts w:ascii="Arial" w:cs="Arial" w:eastAsia="Arial" w:hAnsi="Arial"/>
          <w:sz w:val="18"/>
          <w:szCs w:val="18"/>
          <w:color w:val="auto"/>
        </w:rPr>
      </w:pPr>
    </w:p>
    <w:p>
      <w:pPr>
        <w:jc w:val="both"/>
        <w:ind w:firstLine="464"/>
        <w:spacing w:after="0" w:line="255" w:lineRule="auto"/>
        <w:tabs>
          <w:tab w:leader="none" w:pos="632"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Settlement of Disputes; Arbitration</w:t>
      </w:r>
      <w:r>
        <w:rPr>
          <w:rFonts w:ascii="Arial" w:cs="Arial" w:eastAsia="Arial" w:hAnsi="Arial"/>
          <w:sz w:val="18"/>
          <w:szCs w:val="18"/>
          <w:color w:val="auto"/>
        </w:rPr>
        <w:t>. All claims by the Executive for benefits under this Agreement shall be directed to the Board and shall be in writing. Any denial by the Board of a claim for benefits under this Agreement shall be delivered to the Executive in writing and shall set forth the reasons for the denial and the provisions of this Agreement relied upon. Any further dispute or controversy arising under or in connection with this Agreement shall be settled exclusively by arbitration in Boston, Massachusetts, in accordance with the rules of the American Arbitration Association then in effect. Judgment may be entered on the arbitrator’s award in any court having jurisdiction.</w:t>
      </w:r>
    </w:p>
    <w:p>
      <w:pPr>
        <w:spacing w:after="0" w:line="142" w:lineRule="exact"/>
        <w:rPr>
          <w:rFonts w:ascii="Arial" w:cs="Arial" w:eastAsia="Arial" w:hAnsi="Arial"/>
          <w:sz w:val="18"/>
          <w:szCs w:val="18"/>
          <w:color w:val="auto"/>
        </w:rPr>
      </w:pPr>
    </w:p>
    <w:p>
      <w:pPr>
        <w:ind w:left="640" w:hanging="176"/>
        <w:spacing w:after="0"/>
        <w:tabs>
          <w:tab w:leader="none" w:pos="640"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Successors</w:t>
      </w:r>
      <w:r>
        <w:rPr>
          <w:rFonts w:ascii="Arial" w:cs="Arial" w:eastAsia="Arial" w:hAnsi="Arial"/>
          <w:sz w:val="18"/>
          <w:szCs w:val="18"/>
          <w:color w:val="auto"/>
        </w:rPr>
        <w:t>. This Agreement shall be binding upon the Company and its successors and assigns. This Agreement shall inure to the benefit of and be enforceable by the Executive’s personal or legal representatives, executors, administrators, successors, heirs, distributees, devisees and legatees. If the Executive should die while any amount would still be payable to the Executive or his family hereunder if the Executive had continued to live, all such amounts, unless otherwise provided herein, shall be paid in accordance with the terms of this Agreement to the executors, personal representatives or administrators of the Executive’s estate.</w:t>
      </w:r>
    </w:p>
    <w:p>
      <w:pPr>
        <w:spacing w:after="0" w:line="143" w:lineRule="exact"/>
        <w:rPr>
          <w:sz w:val="20"/>
          <w:szCs w:val="20"/>
          <w:color w:val="auto"/>
        </w:rPr>
      </w:pPr>
    </w:p>
    <w:p>
      <w:pPr>
        <w:jc w:val="both"/>
        <w:ind w:firstLine="913"/>
        <w:spacing w:after="0" w:line="289"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Notice</w:t>
      </w:r>
      <w:r>
        <w:rPr>
          <w:rFonts w:ascii="Arial" w:cs="Arial" w:eastAsia="Arial" w:hAnsi="Arial"/>
          <w:sz w:val="16"/>
          <w:szCs w:val="16"/>
          <w:color w:val="auto"/>
        </w:rPr>
        <w:t>. All notices, instructions and other communications given hereunder or in connection herewith shall be in writing. Any such notice, instruction or communication shall be sent either (i) by registered or certified mail, return receipt requested, postage prepaid, or (ii) prepaid via a reputable nationwide overnight courier service, in each case addressed to the Company, at 64 Jackson Road, Devens, Massachusetts 01434, and to the Executive at the Executive’s address indicated on the signature page of this Agreement (or to such other address as either the Company or the Executive may have furnished to the other in writing in accordance herewith). Any such notice, instruction or communication shall be deemed to have been delivered five business days after it is sent by registered or certified mail, return receipt requested, postage prepaid, or one business day after it is sent via a reputable nationwide overnight courier service. Either party may give any notice, instruction or other communication hereunder using any other means, but no such notice, instruction or other communication shall be deemed to have been duly delivered unless and until it actually is received by the party for whom it is intended.</w:t>
      </w:r>
    </w:p>
    <w:p>
      <w:pPr>
        <w:spacing w:after="0" w:line="118"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Employment by Subsidiary</w:t>
      </w:r>
      <w:r>
        <w:rPr>
          <w:rFonts w:ascii="Arial" w:cs="Arial" w:eastAsia="Arial" w:hAnsi="Arial"/>
          <w:sz w:val="18"/>
          <w:szCs w:val="18"/>
          <w:color w:val="auto"/>
        </w:rPr>
        <w:t>. For purposes of this Agreement, the Executive’s employment with the Company shall not be deemed to have terminated solely as a result of the Executive continuing to be employed by a wholly-owned subsidiary of the Company.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41" w:name="page142"/>
    <w:bookmarkEnd w:id="141"/>
    <w:p>
      <w:pPr>
        <w:jc w:val="both"/>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6.4 </w:t>
      </w: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of this Agreement shall not affect the validity or enforceability of any other provision of this Agreement, which shall remain in full force and effect.</w:t>
      </w:r>
    </w:p>
    <w:p>
      <w:pPr>
        <w:spacing w:after="0" w:line="132"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interpretation, construction and performance of this Agreement shall be governed by the internal laws of the Commonwealth of Massachusetts, without regard to conflicts of law principles.</w:t>
      </w:r>
    </w:p>
    <w:p>
      <w:pPr>
        <w:spacing w:after="0" w:line="132"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Waivers</w:t>
      </w:r>
      <w:r>
        <w:rPr>
          <w:rFonts w:ascii="Arial" w:cs="Arial" w:eastAsia="Arial" w:hAnsi="Arial"/>
          <w:sz w:val="18"/>
          <w:szCs w:val="18"/>
          <w:color w:val="auto"/>
        </w:rPr>
        <w:t>. No waiver by the Executive at any time of any breach of, or compliance with, any provision of this Agreement to be performed by the Company shall be deemed a waiver of that or any other provision at any subsequent time.</w:t>
      </w:r>
    </w:p>
    <w:p>
      <w:pPr>
        <w:spacing w:after="0" w:line="132"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to be an original but both of which together shall constitute one and the same instrument.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Tax Withholding</w:t>
      </w:r>
      <w:r>
        <w:rPr>
          <w:rFonts w:ascii="Arial" w:cs="Arial" w:eastAsia="Arial" w:hAnsi="Arial"/>
          <w:sz w:val="16"/>
          <w:szCs w:val="16"/>
          <w:color w:val="auto"/>
        </w:rPr>
        <w:t>. Any payments provided for hereunder shall be paid net of any applicable tax withholding required under federal, state or local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165" w:lineRule="exact"/>
        <w:rPr>
          <w:sz w:val="20"/>
          <w:szCs w:val="20"/>
          <w:color w:val="auto"/>
        </w:rPr>
      </w:pPr>
    </w:p>
    <w:p>
      <w:pPr>
        <w:jc w:val="both"/>
        <w:ind w:firstLine="913"/>
        <w:spacing w:after="0" w:line="254"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sets forth the entire agreement of the parties hereto in respect of the subject matter contained herein and supersedes all prior agreements, promises, covenants, arrangements, communications, representations or warranties, whether oral or written, by any officer, employee or representative of any party hereto in respect of the subject matter contained herein; and any prior agreement of the parties hereto in respect of the subject matter contained herein is hereby terminated and cancelled. Notwithstanding the foregoing, the provisions of any stock option agreements between the Company and the Executive (including any terms thereof relating to acceleration of vesting) shall not be superseded by or modified by the terms of this Agreement.</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Amendments</w:t>
      </w:r>
      <w:r>
        <w:rPr>
          <w:rFonts w:ascii="Arial" w:cs="Arial" w:eastAsia="Arial" w:hAnsi="Arial"/>
          <w:sz w:val="16"/>
          <w:szCs w:val="16"/>
          <w:color w:val="auto"/>
        </w:rPr>
        <w:t>. This Agreement may be amended or modified only by a written instrument executed by both the Company and the Executive.</w:t>
      </w:r>
    </w:p>
    <w:p>
      <w:pPr>
        <w:spacing w:after="0" w:line="194"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Executive’s Acknowledgements</w:t>
      </w:r>
      <w:r>
        <w:rPr>
          <w:rFonts w:ascii="Arial" w:cs="Arial" w:eastAsia="Arial" w:hAnsi="Arial"/>
          <w:sz w:val="16"/>
          <w:szCs w:val="16"/>
          <w:color w:val="auto"/>
        </w:rPr>
        <w:t>. The Executive acknowledges that he: (a) has read this Agreement; (b) has been represented in the preparation, negotiation, and execution of this Agreement by legal counsel of the Executive’s own choice or has voluntarily declined to seek such counsel; (c) understands the terms and consequences of this Agreement; and (d) understands that the law firm of Wilmer Cutler Pickering Hale and Dorr LLP is acting as counsel to the Company in connection with the transactions contemplated by this Agreement, and is not acting as counsel for the Executive.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executed this Agreement as of the day and year first set forth above.</w:t>
      </w:r>
    </w:p>
    <w:p>
      <w:pPr>
        <w:spacing w:after="0" w:line="212" w:lineRule="exact"/>
        <w:rPr>
          <w:sz w:val="20"/>
          <w:szCs w:val="20"/>
          <w:color w:val="auto"/>
        </w:rPr>
      </w:pPr>
    </w:p>
    <w:p>
      <w:pPr>
        <w:jc w:val="right"/>
        <w:ind w:right="680"/>
        <w:spacing w:after="0"/>
        <w:rPr>
          <w:sz w:val="20"/>
          <w:szCs w:val="20"/>
          <w:color w:val="auto"/>
        </w:rPr>
      </w:pPr>
      <w:r>
        <w:rPr>
          <w:rFonts w:ascii="Arial" w:cs="Arial" w:eastAsia="Arial" w:hAnsi="Arial"/>
          <w:sz w:val="18"/>
          <w:szCs w:val="18"/>
          <w:color w:val="auto"/>
        </w:rPr>
        <w:t>AMERICAN SUPERCONDUCTOR CORPORATION</w:t>
      </w:r>
    </w:p>
    <w:p>
      <w:pPr>
        <w:spacing w:after="0" w:line="225"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1100" w:type="dxa"/>
            <w:vAlign w:val="bottom"/>
          </w:tcPr>
          <w:p>
            <w:pPr>
              <w:spacing w:after="0"/>
              <w:rPr>
                <w:sz w:val="20"/>
                <w:szCs w:val="20"/>
                <w:color w:val="auto"/>
              </w:rPr>
            </w:pPr>
            <w:r>
              <w:rPr>
                <w:rFonts w:ascii="Arial" w:cs="Arial" w:eastAsia="Arial" w:hAnsi="Arial"/>
                <w:sz w:val="18"/>
                <w:szCs w:val="18"/>
                <w:color w:val="auto"/>
              </w:rPr>
              <w:t>Signature:</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Yurek</w:t>
            </w:r>
          </w:p>
        </w:tc>
      </w:tr>
      <w:tr>
        <w:trPr>
          <w:trHeight w:val="217"/>
        </w:trPr>
        <w:tc>
          <w:tcPr>
            <w:tcW w:w="1100" w:type="dxa"/>
            <w:vAlign w:val="bottom"/>
          </w:tcPr>
          <w:p>
            <w:pPr>
              <w:spacing w:after="0"/>
              <w:rPr>
                <w:sz w:val="20"/>
                <w:szCs w:val="20"/>
                <w:color w:val="auto"/>
              </w:rPr>
            </w:pPr>
            <w:r>
              <w:rPr>
                <w:rFonts w:ascii="Arial" w:cs="Arial" w:eastAsia="Arial" w:hAnsi="Arial"/>
                <w:sz w:val="18"/>
                <w:szCs w:val="18"/>
                <w:color w:val="auto"/>
              </w:rPr>
              <w:t>Print name:</w:t>
            </w:r>
          </w:p>
        </w:tc>
        <w:tc>
          <w:tcPr>
            <w:tcW w:w="3460" w:type="dxa"/>
            <w:vAlign w:val="bottom"/>
          </w:tcPr>
          <w:p>
            <w:pPr>
              <w:spacing w:after="0"/>
              <w:rPr>
                <w:sz w:val="20"/>
                <w:szCs w:val="20"/>
                <w:color w:val="auto"/>
              </w:rPr>
            </w:pPr>
            <w:r>
              <w:rPr>
                <w:rFonts w:ascii="Arial" w:cs="Arial" w:eastAsia="Arial" w:hAnsi="Arial"/>
                <w:sz w:val="18"/>
                <w:szCs w:val="18"/>
                <w:color w:val="auto"/>
              </w:rPr>
              <w:t>Gregory Yurek</w:t>
            </w:r>
          </w:p>
        </w:tc>
      </w:tr>
      <w:tr>
        <w:trPr>
          <w:trHeight w:val="222"/>
        </w:trPr>
        <w:tc>
          <w:tcPr>
            <w:tcW w:w="1100" w:type="dxa"/>
            <w:vAlign w:val="bottom"/>
          </w:tcPr>
          <w:p>
            <w:pPr>
              <w:spacing w:after="0"/>
              <w:rPr>
                <w:sz w:val="20"/>
                <w:szCs w:val="20"/>
                <w:color w:val="auto"/>
              </w:rPr>
            </w:pPr>
            <w:r>
              <w:rPr>
                <w:rFonts w:ascii="Arial" w:cs="Arial" w:eastAsia="Arial" w:hAnsi="Arial"/>
                <w:sz w:val="18"/>
                <w:szCs w:val="18"/>
                <w:color w:val="auto"/>
              </w:rPr>
              <w:t>Title:</w:t>
            </w:r>
          </w:p>
        </w:tc>
        <w:tc>
          <w:tcPr>
            <w:tcW w:w="34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EXECUTIVE</w:t>
            </w:r>
          </w:p>
        </w:tc>
        <w:tc>
          <w:tcPr>
            <w:tcW w:w="3460" w:type="dxa"/>
            <w:vAlign w:val="bottom"/>
          </w:tcPr>
          <w:p>
            <w:pPr>
              <w:spacing w:after="0"/>
              <w:rPr>
                <w:sz w:val="24"/>
                <w:szCs w:val="24"/>
                <w:color w:val="auto"/>
              </w:rPr>
            </w:pP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Signature:</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D. Poor</w:t>
            </w:r>
          </w:p>
        </w:tc>
      </w:tr>
      <w:tr>
        <w:trPr>
          <w:trHeight w:val="223"/>
        </w:trPr>
        <w:tc>
          <w:tcPr>
            <w:tcW w:w="1100" w:type="dxa"/>
            <w:vAlign w:val="bottom"/>
          </w:tcPr>
          <w:p>
            <w:pPr>
              <w:spacing w:after="0"/>
              <w:rPr>
                <w:sz w:val="20"/>
                <w:szCs w:val="20"/>
                <w:color w:val="auto"/>
              </w:rPr>
            </w:pPr>
            <w:r>
              <w:rPr>
                <w:rFonts w:ascii="Arial" w:cs="Arial" w:eastAsia="Arial" w:hAnsi="Arial"/>
                <w:sz w:val="18"/>
                <w:szCs w:val="18"/>
                <w:color w:val="auto"/>
              </w:rPr>
              <w:t>Print name:</w:t>
            </w:r>
          </w:p>
        </w:tc>
        <w:tc>
          <w:tcPr>
            <w:tcW w:w="3460" w:type="dxa"/>
            <w:vAlign w:val="bottom"/>
          </w:tcPr>
          <w:p>
            <w:pPr>
              <w:spacing w:after="0"/>
              <w:rPr>
                <w:sz w:val="20"/>
                <w:szCs w:val="20"/>
                <w:color w:val="auto"/>
              </w:rPr>
            </w:pPr>
            <w:r>
              <w:rPr>
                <w:rFonts w:ascii="Arial" w:cs="Arial" w:eastAsia="Arial" w:hAnsi="Arial"/>
                <w:sz w:val="18"/>
                <w:szCs w:val="18"/>
                <w:color w:val="auto"/>
              </w:rPr>
              <w:t>Timothy D. Poor</w:t>
            </w:r>
          </w:p>
        </w:tc>
      </w:tr>
    </w:tbl>
    <w:p>
      <w:pPr>
        <w:spacing w:after="0" w:line="21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Address:</w:t>
      </w:r>
    </w:p>
    <w:p>
      <w:pPr>
        <w:spacing w:after="0" w:line="11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 American Superconductor Corporation</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64 Jackson Road</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Devens, MA 01434-4020</w:t>
      </w:r>
    </w:p>
    <w:p>
      <w:pPr>
        <w:spacing w:after="0" w:line="15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700" w:top="280"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RELEASE</w:t>
      </w:r>
    </w:p>
    <w:p>
      <w:pPr>
        <w:spacing w:after="0" w:line="171"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In consideration of the payment to me of the severance benefits pursuant to Section 4.1(a), 4.2(a) or 4.2(b) of my Amended and Restated Executive</w:t>
      </w:r>
    </w:p>
    <w:p>
      <w:pPr>
        <w:spacing w:after="0" w:line="38" w:lineRule="exact"/>
        <w:rPr>
          <w:sz w:val="20"/>
          <w:szCs w:val="20"/>
          <w:color w:val="auto"/>
        </w:rPr>
      </w:pPr>
    </w:p>
    <w:p>
      <w:pPr>
        <w:spacing w:after="0"/>
        <w:tabs>
          <w:tab w:leader="none" w:pos="7140" w:val="left"/>
          <w:tab w:leader="none" w:pos="7380" w:val="left"/>
          <w:tab w:leader="none" w:pos="7920" w:val="left"/>
        </w:tabs>
        <w:rPr>
          <w:sz w:val="20"/>
          <w:szCs w:val="20"/>
          <w:color w:val="auto"/>
        </w:rPr>
      </w:pPr>
      <w:r>
        <w:rPr>
          <w:rFonts w:ascii="Arial" w:cs="Arial" w:eastAsia="Arial" w:hAnsi="Arial"/>
          <w:sz w:val="18"/>
          <w:szCs w:val="18"/>
          <w:color w:val="auto"/>
        </w:rPr>
        <w:t>Severance Agreement with American Superconductor Corporation (the “Company”) dated</w:t>
      </w:r>
      <w:r>
        <w:rPr>
          <w:sz w:val="20"/>
          <w:szCs w:val="20"/>
          <w:color w:val="auto"/>
        </w:rPr>
        <w:tab/>
      </w:r>
      <w:r>
        <w:rPr>
          <w:rFonts w:ascii="Arial" w:cs="Arial" w:eastAsia="Arial" w:hAnsi="Arial"/>
          <w:sz w:val="18"/>
          <w:szCs w:val="18"/>
          <w:color w:val="auto"/>
        </w:rPr>
        <w:t>[</w:t>
        <w:tab/>
        <w:t>], 20</w:t>
      </w:r>
      <w:r>
        <w:rPr>
          <w:sz w:val="20"/>
          <w:szCs w:val="20"/>
          <w:color w:val="auto"/>
        </w:rPr>
        <w:tab/>
      </w:r>
      <w:r>
        <w:rPr>
          <w:rFonts w:ascii="Arial" w:cs="Arial" w:eastAsia="Arial" w:hAnsi="Arial"/>
          <w:sz w:val="16"/>
          <w:szCs w:val="16"/>
          <w:color w:val="auto"/>
        </w:rPr>
        <w:t>(the “Agreement”), I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4076065</wp:posOffset>
            </wp:positionH>
            <wp:positionV relativeFrom="paragraph">
              <wp:posOffset>-17780</wp:posOffset>
            </wp:positionV>
            <wp:extent cx="93853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938530" cy="8890"/>
                    </a:xfrm>
                    <a:prstGeom prst="rect">
                      <a:avLst/>
                    </a:prstGeom>
                    <a:noFill/>
                  </pic:spPr>
                </pic:pic>
              </a:graphicData>
            </a:graphic>
          </wp:anchor>
        </w:drawing>
      </w:r>
    </w:p>
    <w:p>
      <w:pPr>
        <w:spacing w:after="0" w:line="64" w:lineRule="exact"/>
        <w:rPr>
          <w:sz w:val="20"/>
          <w:szCs w:val="20"/>
          <w:color w:val="auto"/>
        </w:rPr>
      </w:pPr>
    </w:p>
    <w:p>
      <w:pPr>
        <w:jc w:val="both"/>
        <w:ind w:firstLine="8"/>
        <w:spacing w:after="0" w:line="285" w:lineRule="auto"/>
        <w:tabs>
          <w:tab w:leader="none" w:pos="208" w:val="left"/>
        </w:tabs>
        <w:numPr>
          <w:ilvl w:val="0"/>
          <w:numId w:val="220"/>
        </w:numPr>
        <w:rPr>
          <w:rFonts w:ascii="Arial" w:cs="Arial" w:eastAsia="Arial" w:hAnsi="Arial"/>
          <w:sz w:val="16"/>
          <w:szCs w:val="16"/>
          <w:color w:val="auto"/>
        </w:rPr>
      </w:pPr>
      <w:r>
        <w:rPr>
          <w:rFonts w:ascii="Arial" w:cs="Arial" w:eastAsia="Arial" w:hAnsi="Arial"/>
          <w:sz w:val="16"/>
          <w:szCs w:val="16"/>
          <w:color w:val="auto"/>
        </w:rPr>
        <w:t>I, on behalf of myself and my representatives, agents, estate, heirs, successors and assigns, hereby irrevocably and unconditionally release, remise and discharge the Company, its officers, directors, stockholders, affiliates (within the meaning of the Securities Act of 1933), attorneys, agents and employees, and their respective predecessors, successors and assigns (collectively, the “Company Releasees”), from any and all actions or causes of action, suits, claims, complaints, liabilities, contracts, torts, debts, damages, controversies, rights and demands, whether existing or contingent, known or unknown, arising up to and through the date of this Release out of my employment, or the termination of my employment, with the Company, including, but not limited to, all employment discrimination claims under the Age Discrimination in Employment Act, 29 U.S.C. §621 et seq., Title VII of the Civil Rights Act of 1964, 42 U.S.C. § 2000e et seq., the Americans With Disabilities Act of 1990, 42 U.S.C. § 12101 et seq., the Family and Medical Leave Act, 29 U.S.C. § 2601 et seq., the Worker Adjustment and Retraining Notification Act (“WARN”), 29 U.S.C. § 2101 et seq., the Massachusetts Fair Employment Practices Act, M.G.L. c.151B, § 1 et seq., the Massachusetts Civil Rights Act, M.G.L. c.12, §§ 11H and 11I, the Massachusetts Equal Rights Act, M.G.L. c.93, § 102 and M.G.L. c.214, § 1C, the Massachusetts Labor and Industries Act, M.G.L. c.149, § 1 et seq., and the Massachusetts Privacy Act, M.G.L. c.214, § 1B, all as amended, and all claims arising out of the Fair Credit Reporting Act, 15 U.S.C. § 1681 et seq. and the Employee Retirement Income Security Act of 1974 (“ERISA”), 29 U.S.C. § 1001 et seq., all as amended; and all claims to any non-vested ownership interest in the Company, contractual or otherwise, including, but not limited to, claims to stock or stock options. Notwithstanding the foregoing, (a) nothing in this Release prevents me from filing, cooperating with, or participating in any proceeding before the EEOC or a state Fair Employment Practices Agency (except that I acknowledge that I may not recover any monetary benefits in connection with any such claim, charge or proceeding), (b) this Release does not extend to any rights I have that arise after the date hereof under the Agreement and (c) this Release does not extend to any rights I may have to indemnification as an officer or director of the Company under the provisions of the Company’s By-laws or applicable law.</w:t>
      </w:r>
    </w:p>
    <w:p>
      <w:pPr>
        <w:spacing w:after="0" w:line="123" w:lineRule="exact"/>
        <w:rPr>
          <w:rFonts w:ascii="Arial" w:cs="Arial" w:eastAsia="Arial" w:hAnsi="Arial"/>
          <w:sz w:val="16"/>
          <w:szCs w:val="16"/>
          <w:color w:val="auto"/>
        </w:rPr>
      </w:pPr>
    </w:p>
    <w:p>
      <w:pPr>
        <w:ind w:right="20" w:firstLine="8"/>
        <w:spacing w:after="0" w:line="268" w:lineRule="auto"/>
        <w:tabs>
          <w:tab w:leader="none" w:pos="179" w:val="left"/>
        </w:tabs>
        <w:numPr>
          <w:ilvl w:val="0"/>
          <w:numId w:val="220"/>
        </w:numPr>
        <w:rPr>
          <w:rFonts w:ascii="Arial" w:cs="Arial" w:eastAsia="Arial" w:hAnsi="Arial"/>
          <w:sz w:val="18"/>
          <w:szCs w:val="18"/>
          <w:color w:val="auto"/>
        </w:rPr>
      </w:pPr>
      <w:r>
        <w:rPr>
          <w:rFonts w:ascii="Arial" w:cs="Arial" w:eastAsia="Arial" w:hAnsi="Arial"/>
          <w:sz w:val="18"/>
          <w:szCs w:val="18"/>
          <w:color w:val="auto"/>
        </w:rPr>
        <w:t>I have been advised by the Company to consult with counsel before signing this Release, and have been given the opportunity to consult with my own counsel prior to signing this Release.</w:t>
      </w:r>
    </w:p>
    <w:p>
      <w:pPr>
        <w:spacing w:after="0" w:line="131" w:lineRule="exact"/>
        <w:rPr>
          <w:rFonts w:ascii="Arial" w:cs="Arial" w:eastAsia="Arial" w:hAnsi="Arial"/>
          <w:sz w:val="18"/>
          <w:szCs w:val="18"/>
          <w:color w:val="auto"/>
        </w:rPr>
      </w:pPr>
    </w:p>
    <w:p>
      <w:pPr>
        <w:ind w:left="180" w:hanging="172"/>
        <w:spacing w:after="0"/>
        <w:tabs>
          <w:tab w:leader="none" w:pos="1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I have been given up to twenty-one (21) days from the receipt of this Release to consider whether to execute this Release.</w:t>
      </w:r>
    </w:p>
    <w:p>
      <w:pPr>
        <w:spacing w:after="0" w:line="171" w:lineRule="exact"/>
        <w:rPr>
          <w:rFonts w:ascii="Arial" w:cs="Arial" w:eastAsia="Arial" w:hAnsi="Arial"/>
          <w:sz w:val="18"/>
          <w:szCs w:val="18"/>
          <w:color w:val="auto"/>
        </w:rPr>
      </w:pPr>
    </w:p>
    <w:p>
      <w:pPr>
        <w:jc w:val="both"/>
        <w:ind w:firstLine="8"/>
        <w:spacing w:after="0" w:line="259" w:lineRule="auto"/>
        <w:tabs>
          <w:tab w:leader="none" w:pos="179" w:val="left"/>
        </w:tabs>
        <w:numPr>
          <w:ilvl w:val="0"/>
          <w:numId w:val="220"/>
        </w:numPr>
        <w:rPr>
          <w:rFonts w:ascii="Arial" w:cs="Arial" w:eastAsia="Arial" w:hAnsi="Arial"/>
          <w:sz w:val="18"/>
          <w:szCs w:val="18"/>
          <w:color w:val="auto"/>
        </w:rPr>
      </w:pPr>
      <w:r>
        <w:rPr>
          <w:rFonts w:ascii="Arial" w:cs="Arial" w:eastAsia="Arial" w:hAnsi="Arial"/>
          <w:sz w:val="18"/>
          <w:szCs w:val="18"/>
          <w:color w:val="auto"/>
        </w:rPr>
        <w:t>I have been advised that even after I sign this Release, I may revoke it within seven (7) days of the date of my signing by delivering a signed revocation notice to the Secretary of the Company. Delivery by ordinary mail will effectively revoke my assent to this Release if it is postmarked no later than seven days after I sign this Release.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44" w:name="page145"/>
    <w:bookmarkEnd w:id="144"/>
    <w:p>
      <w:pPr>
        <w:ind w:left="172" w:hanging="172"/>
        <w:spacing w:after="0"/>
        <w:tabs>
          <w:tab w:leader="none" w:pos="172" w:val="left"/>
        </w:tabs>
        <w:numPr>
          <w:ilvl w:val="0"/>
          <w:numId w:val="2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Release shall not become effective and in force until eight days after I sign, provided I have not timely revoked my acceptance.</w:t>
      </w:r>
    </w:p>
    <w:p>
      <w:pPr>
        <w:spacing w:after="0" w:line="171" w:lineRule="exact"/>
        <w:rPr>
          <w:rFonts w:ascii="Arial" w:cs="Arial" w:eastAsia="Arial" w:hAnsi="Arial"/>
          <w:sz w:val="18"/>
          <w:szCs w:val="18"/>
          <w:color w:val="auto"/>
        </w:rPr>
      </w:pPr>
    </w:p>
    <w:p>
      <w:pPr>
        <w:ind w:left="172" w:hanging="172"/>
        <w:spacing w:after="0"/>
        <w:tabs>
          <w:tab w:leader="none" w:pos="172" w:val="left"/>
        </w:tabs>
        <w:numPr>
          <w:ilvl w:val="0"/>
          <w:numId w:val="221"/>
        </w:numPr>
        <w:rPr>
          <w:rFonts w:ascii="Arial" w:cs="Arial" w:eastAsia="Arial" w:hAnsi="Arial"/>
          <w:sz w:val="16"/>
          <w:szCs w:val="16"/>
          <w:color w:val="auto"/>
        </w:rPr>
      </w:pPr>
      <w:r>
        <w:rPr>
          <w:rFonts w:ascii="Arial" w:cs="Arial" w:eastAsia="Arial" w:hAnsi="Arial"/>
          <w:sz w:val="16"/>
          <w:szCs w:val="16"/>
          <w:color w:val="auto"/>
        </w:rPr>
        <w:t>I acknowledge and reaffirm my obligations under the American Superconductor Corporation Employee Nondisclosure and Developments Agreement.</w:t>
      </w:r>
    </w:p>
    <w:p>
      <w:pPr>
        <w:spacing w:after="0" w:line="194" w:lineRule="exact"/>
        <w:rPr>
          <w:rFonts w:ascii="Arial" w:cs="Arial" w:eastAsia="Arial" w:hAnsi="Arial"/>
          <w:sz w:val="16"/>
          <w:szCs w:val="16"/>
          <w:color w:val="auto"/>
        </w:rPr>
      </w:pPr>
    </w:p>
    <w:p>
      <w:pPr>
        <w:ind w:left="-8" w:firstLine="8"/>
        <w:spacing w:after="0" w:line="268" w:lineRule="auto"/>
        <w:tabs>
          <w:tab w:leader="none" w:pos="179" w:val="left"/>
        </w:tabs>
        <w:numPr>
          <w:ilvl w:val="0"/>
          <w:numId w:val="221"/>
        </w:numPr>
        <w:rPr>
          <w:rFonts w:ascii="Arial" w:cs="Arial" w:eastAsia="Arial" w:hAnsi="Arial"/>
          <w:sz w:val="18"/>
          <w:szCs w:val="18"/>
          <w:color w:val="auto"/>
        </w:rPr>
      </w:pPr>
      <w:r>
        <w:rPr>
          <w:rFonts w:ascii="Arial" w:cs="Arial" w:eastAsia="Arial" w:hAnsi="Arial"/>
          <w:sz w:val="18"/>
          <w:szCs w:val="18"/>
          <w:color w:val="auto"/>
        </w:rPr>
        <w:t>No representation, promise or inducement has been offered or made to induce me to enter into this Release, and I am competent to execute this Release and accept full responsibility therefor.</w:t>
      </w:r>
    </w:p>
    <w:p>
      <w:pPr>
        <w:spacing w:after="0" w:line="172"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4673600</wp:posOffset>
            </wp:positionH>
            <wp:positionV relativeFrom="paragraph">
              <wp:posOffset>10795</wp:posOffset>
            </wp:positionV>
            <wp:extent cx="25730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24"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4836795</wp:posOffset>
            </wp:positionH>
            <wp:positionV relativeFrom="paragraph">
              <wp:posOffset>10795</wp:posOffset>
            </wp:positionV>
            <wp:extent cx="240982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124"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Date of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5205730</wp:posOffset>
            </wp:positionH>
            <wp:positionV relativeFrom="paragraph">
              <wp:posOffset>10795</wp:posOffset>
            </wp:positionV>
            <wp:extent cx="20408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16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92"/>
          </w:cols>
          <w:pgMar w:left="248" w:top="280" w:right="25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10.8</w:t>
      </w:r>
    </w:p>
    <w:p>
      <w:pPr>
        <w:spacing w:after="0" w:line="17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71"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SECOND AMENDED AND RESTATED 1997 DIRECTOR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PLAN, AS AMENDED</w:t>
      </w:r>
    </w:p>
    <w:p>
      <w:pPr>
        <w:spacing w:after="0" w:line="165" w:lineRule="exact"/>
        <w:rPr>
          <w:sz w:val="20"/>
          <w:szCs w:val="20"/>
          <w:color w:val="auto"/>
        </w:rPr>
      </w:pPr>
    </w:p>
    <w:p>
      <w:pPr>
        <w:ind w:left="180" w:hanging="172"/>
        <w:spacing w:after="0"/>
        <w:tabs>
          <w:tab w:leader="none" w:pos="180"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purpose of this Second Amended and Restated 1997 Director Stock Option Plan, as amended (the “Plan”), of American Superconductor Corporation (the “Company”) is to encourage stock ownership in the Company by outside directors of the Company whose continued services are considered essential to the Company’s future success and to provide them with a further incentive to remain as directors of the Company.</w:t>
      </w:r>
    </w:p>
    <w:p>
      <w:pPr>
        <w:spacing w:after="0" w:line="188" w:lineRule="exact"/>
        <w:rPr>
          <w:sz w:val="20"/>
          <w:szCs w:val="20"/>
          <w:color w:val="auto"/>
        </w:rPr>
      </w:pPr>
    </w:p>
    <w:p>
      <w:pPr>
        <w:ind w:left="180" w:hanging="172"/>
        <w:spacing w:after="0"/>
        <w:tabs>
          <w:tab w:leader="none" w:pos="180"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Board of Directors shall supervise and administer the Plan. Grants of stock options and stock awards under the Plan and the amount and nature of the options and awards to be granted shall be automatic in accordance with Section 5. However, all questions concerning interpretation of the Plan or any options or awards granted under it shall be resolved by the Board of Directors and such resolution shall be final and binding. No director or person acting pursuant to the authority delegated by the Board of Directors shall be liable for any action or determination relating to or under the Plan made in good faith.</w:t>
      </w:r>
    </w:p>
    <w:p>
      <w:pPr>
        <w:spacing w:after="0" w:line="194" w:lineRule="exact"/>
        <w:rPr>
          <w:sz w:val="20"/>
          <w:szCs w:val="20"/>
          <w:color w:val="auto"/>
        </w:rPr>
      </w:pPr>
    </w:p>
    <w:p>
      <w:pPr>
        <w:ind w:left="180" w:hanging="172"/>
        <w:spacing w:after="0"/>
        <w:tabs>
          <w:tab w:leader="none" w:pos="180"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Participation in the Plan</w:t>
      </w:r>
      <w:r>
        <w:rPr>
          <w:rFonts w:ascii="Arial" w:cs="Arial" w:eastAsia="Arial" w:hAnsi="Arial"/>
          <w:sz w:val="18"/>
          <w:szCs w:val="18"/>
          <w:color w:val="auto"/>
        </w:rPr>
        <w:t>.</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Directors of the Company who are not full-time employees of the company or any subsidiary of the Company (“Outside Directors”) shall be eligible to receive options and stock awards under the Plan, except that Directors of the Company who are representatives of an equity holder of the Company shall not be eligible to receive options or awards under the Plan.</w:t>
      </w:r>
    </w:p>
    <w:p>
      <w:pPr>
        <w:spacing w:after="0" w:line="221" w:lineRule="exact"/>
        <w:rPr>
          <w:sz w:val="20"/>
          <w:szCs w:val="20"/>
          <w:color w:val="auto"/>
        </w:rPr>
      </w:pPr>
    </w:p>
    <w:p>
      <w:pPr>
        <w:ind w:left="180" w:hanging="172"/>
        <w:spacing w:after="0"/>
        <w:tabs>
          <w:tab w:leader="none" w:pos="180"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Stock Subject to the Plan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The maximum number of shares of the Company’s Common Stock, par value $.01 per share (“Common Stock”), which may be issued under the Plan shall be 790,000 shares, subject to adjustment as provided in Section 7.</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If any outstanding option under the Plan for any reason expires or is terminated without having been exercised in full, the shares covered by the unexercised portion of such option shall again become available for issuance pursuant to the Plan.</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All options granted under the Plan shall be non-statutory options not entitled to special tax treatment under Section 422 of the Internal Revenue Code of 1986, as amended (the “Code”).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Shares issued under the Plan may consist in whole or in part of authorized but unissued shares or treasury shares.</w:t>
      </w:r>
    </w:p>
    <w:p>
      <w:pPr>
        <w:spacing w:after="0" w:line="252" w:lineRule="exact"/>
        <w:rPr>
          <w:rFonts w:ascii="Arial" w:cs="Arial" w:eastAsia="Arial" w:hAnsi="Arial"/>
          <w:sz w:val="18"/>
          <w:szCs w:val="18"/>
          <w:color w:val="auto"/>
        </w:rPr>
      </w:pPr>
    </w:p>
    <w:p>
      <w:pPr>
        <w:ind w:left="180" w:hanging="172"/>
        <w:spacing w:after="0"/>
        <w:tabs>
          <w:tab w:leader="none" w:pos="180"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Terms, Conditions and Form of Options</w:t>
      </w:r>
      <w:r>
        <w:rPr>
          <w:rFonts w:ascii="Arial" w:cs="Arial" w:eastAsia="Arial" w:hAnsi="Arial"/>
          <w:sz w:val="18"/>
          <w:szCs w:val="18"/>
          <w:color w:val="auto"/>
        </w:rPr>
        <w:t>.</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Each option granted under the Plan shall be evidenced by a written agreement in such form as the President or the Executive Vice President, Corporate Development, shall from time to time approve, which agreements shall comply with and be subject to the following terms and conditions:</w:t>
      </w:r>
    </w:p>
    <w:p>
      <w:pPr>
        <w:spacing w:after="0" w:line="4" w:lineRule="exact"/>
        <w:rPr>
          <w:sz w:val="20"/>
          <w:szCs w:val="20"/>
          <w:color w:val="auto"/>
        </w:rPr>
      </w:pPr>
    </w:p>
    <w:p>
      <w:pPr>
        <w:ind w:left="900" w:hanging="446"/>
        <w:spacing w:after="0"/>
        <w:tabs>
          <w:tab w:leader="none" w:pos="900"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Option Grants and Stock Awards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left="1480" w:hanging="567"/>
        <w:spacing w:after="0" w:line="259" w:lineRule="auto"/>
        <w:tabs>
          <w:tab w:leader="none" w:pos="148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Initial Grants to Outside Directors. An option to purchase 20,000 shares of Common Stock shall be granted automatically to each Outside Director first elected to the Board of Directors after the date of the approval of the Plan by the stockholders of the Company, upon the date of his or her initial election to the Board of Directors.</w:t>
      </w:r>
    </w:p>
    <w:p>
      <w:pPr>
        <w:spacing w:after="0" w:line="59" w:lineRule="exact"/>
        <w:rPr>
          <w:rFonts w:ascii="Arial" w:cs="Arial" w:eastAsia="Arial" w:hAnsi="Arial"/>
          <w:sz w:val="18"/>
          <w:szCs w:val="18"/>
          <w:color w:val="auto"/>
        </w:rPr>
      </w:pPr>
    </w:p>
    <w:p>
      <w:pPr>
        <w:jc w:val="both"/>
        <w:ind w:left="1480" w:hanging="567"/>
        <w:spacing w:after="0" w:line="306" w:lineRule="auto"/>
        <w:tabs>
          <w:tab w:leader="none" w:pos="1480" w:val="left"/>
        </w:tabs>
        <w:numPr>
          <w:ilvl w:val="1"/>
          <w:numId w:val="226"/>
        </w:numPr>
        <w:rPr>
          <w:rFonts w:ascii="Arial" w:cs="Arial" w:eastAsia="Arial" w:hAnsi="Arial"/>
          <w:sz w:val="16"/>
          <w:szCs w:val="16"/>
          <w:color w:val="auto"/>
        </w:rPr>
      </w:pPr>
      <w:r>
        <w:rPr>
          <w:rFonts w:ascii="Arial" w:cs="Arial" w:eastAsia="Arial" w:hAnsi="Arial"/>
          <w:sz w:val="16"/>
          <w:szCs w:val="16"/>
          <w:color w:val="auto"/>
        </w:rPr>
        <w:t>Stock Awards to Outside Directors. An award of 5,000 shares of Common Stock shall be granted automatically, on the third business day following the date of each Annual Meeting of Stockholders of the Company, to each person serving as an Outside Director of the Company on the date of such grant, provided that such Outside Director has served on the Board of Directors of the Company for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46" w:name="page147"/>
    <w:bookmarkEnd w:id="146"/>
    <w:p>
      <w:pPr>
        <w:ind w:left="1480"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least one full calendar year prior to the date of such grant. The shares of Common Stock covered by such award shall be fully vested and not subject to any repurchase rights or other contractual restrictions.</w:t>
      </w:r>
    </w:p>
    <w:p>
      <w:pPr>
        <w:spacing w:after="0" w:line="64" w:lineRule="exact"/>
        <w:rPr>
          <w:sz w:val="20"/>
          <w:szCs w:val="20"/>
          <w:color w:val="auto"/>
        </w:rPr>
      </w:pPr>
    </w:p>
    <w:p>
      <w:pPr>
        <w:jc w:val="both"/>
        <w:ind w:left="900" w:hanging="446"/>
        <w:spacing w:after="0" w:line="290" w:lineRule="auto"/>
        <w:tabs>
          <w:tab w:leader="none" w:pos="900" w:val="left"/>
        </w:tabs>
        <w:numPr>
          <w:ilvl w:val="1"/>
          <w:numId w:val="227"/>
        </w:numPr>
        <w:rPr>
          <w:rFonts w:ascii="Arial" w:cs="Arial" w:eastAsia="Arial" w:hAnsi="Arial"/>
          <w:sz w:val="16"/>
          <w:szCs w:val="16"/>
          <w:color w:val="auto"/>
        </w:rPr>
      </w:pPr>
      <w:r>
        <w:rPr>
          <w:rFonts w:ascii="Arial" w:cs="Arial" w:eastAsia="Arial" w:hAnsi="Arial"/>
          <w:sz w:val="16"/>
          <w:szCs w:val="16"/>
          <w:u w:val="single" w:color="auto"/>
          <w:color w:val="auto"/>
        </w:rPr>
        <w:t>Option Exercise Price</w:t>
      </w:r>
      <w:r>
        <w:rPr>
          <w:rFonts w:ascii="Arial" w:cs="Arial" w:eastAsia="Arial" w:hAnsi="Arial"/>
          <w:sz w:val="16"/>
          <w:szCs w:val="16"/>
          <w:color w:val="auto"/>
        </w:rPr>
        <w:t>. The option exercise price per share for each option granted under the Plan shall be equal to the fair market value per share of Common Stock on the date of grant, which shall be determined as follows: (i) if the Common Stock is listed on the Nasdaq National Market or another nationally recognized exchange or trading system as of the date on which a determination of fair market value is to be made, the fair market value per share shall be deemed to be the last reported sale price per share of Common Stock thereon on such date (or, if no such price is reported on such date, such price on the nearest preceding date on which such a price is reported); and (ii) if the Common Stock is not listed on the Nasdaq National Market or another nationally recognized exchange or trading system as of the date on which a determination of fair market value is to be made, the fair market value per share shall be as determined by the Board of Directors.</w:t>
      </w:r>
    </w:p>
    <w:p>
      <w:pPr>
        <w:spacing w:after="0" w:line="37" w:lineRule="exact"/>
        <w:rPr>
          <w:rFonts w:ascii="Arial" w:cs="Arial" w:eastAsia="Arial" w:hAnsi="Arial"/>
          <w:sz w:val="16"/>
          <w:szCs w:val="16"/>
          <w:color w:val="auto"/>
        </w:rPr>
      </w:pPr>
    </w:p>
    <w:p>
      <w:pPr>
        <w:jc w:val="both"/>
        <w:ind w:left="900" w:hanging="446"/>
        <w:spacing w:after="0" w:line="256" w:lineRule="auto"/>
        <w:tabs>
          <w:tab w:leader="none" w:pos="900" w:val="left"/>
        </w:tabs>
        <w:numPr>
          <w:ilvl w:val="1"/>
          <w:numId w:val="227"/>
        </w:numPr>
        <w:rPr>
          <w:rFonts w:ascii="Arial" w:cs="Arial" w:eastAsia="Arial" w:hAnsi="Arial"/>
          <w:sz w:val="18"/>
          <w:szCs w:val="18"/>
          <w:color w:val="auto"/>
        </w:rPr>
      </w:pPr>
      <w:r>
        <w:rPr>
          <w:rFonts w:ascii="Arial" w:cs="Arial" w:eastAsia="Arial" w:hAnsi="Arial"/>
          <w:sz w:val="18"/>
          <w:szCs w:val="18"/>
          <w:u w:val="single" w:color="auto"/>
          <w:color w:val="auto"/>
        </w:rPr>
        <w:t>Transferability of Options</w:t>
      </w:r>
      <w:r>
        <w:rPr>
          <w:rFonts w:ascii="Arial" w:cs="Arial" w:eastAsia="Arial" w:hAnsi="Arial"/>
          <w:sz w:val="18"/>
          <w:szCs w:val="18"/>
          <w:color w:val="auto"/>
        </w:rPr>
        <w:t>. Except as the Board of Directors may otherwise determine, options shall not be sold, assigned, transferred, pledged or otherwise encumbered by the person to whom they are granted, either voluntarily or by operation of law, except by will or the laws of descent and distribution, and, during the life of the optionee, shall be exercisable only by the optionee. References to a optionee, to the extent relevant in the context, shall include references to authorized transferees, if any.</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1"/>
          <w:numId w:val="227"/>
        </w:numPr>
        <w:rPr>
          <w:rFonts w:ascii="Arial" w:cs="Arial" w:eastAsia="Arial" w:hAnsi="Arial"/>
          <w:sz w:val="18"/>
          <w:szCs w:val="18"/>
          <w:color w:val="auto"/>
        </w:rPr>
      </w:pPr>
      <w:r>
        <w:rPr>
          <w:rFonts w:ascii="Arial" w:cs="Arial" w:eastAsia="Arial" w:hAnsi="Arial"/>
          <w:sz w:val="18"/>
          <w:szCs w:val="18"/>
          <w:u w:val="single" w:color="auto"/>
          <w:color w:val="auto"/>
        </w:rPr>
        <w:t>Vesting Period</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80" w:hanging="567"/>
        <w:spacing w:after="0" w:line="268" w:lineRule="auto"/>
        <w:tabs>
          <w:tab w:leader="none" w:pos="1480" w:val="left"/>
        </w:tabs>
        <w:numPr>
          <w:ilvl w:val="2"/>
          <w:numId w:val="227"/>
        </w:numPr>
        <w:rPr>
          <w:rFonts w:ascii="Arial" w:cs="Arial" w:eastAsia="Arial" w:hAnsi="Arial"/>
          <w:sz w:val="18"/>
          <w:szCs w:val="18"/>
          <w:color w:val="auto"/>
        </w:rPr>
      </w:pPr>
      <w:r>
        <w:rPr>
          <w:rFonts w:ascii="Arial" w:cs="Arial" w:eastAsia="Arial" w:hAnsi="Arial"/>
          <w:sz w:val="18"/>
          <w:szCs w:val="18"/>
          <w:color w:val="auto"/>
        </w:rPr>
        <w:t>General. Each option granted pursuant to Section 5(a)(i) shall become exercisable in equal annual installments over a two year period following the date of grant.</w:t>
      </w:r>
    </w:p>
    <w:p>
      <w:pPr>
        <w:spacing w:after="0" w:line="50" w:lineRule="exact"/>
        <w:rPr>
          <w:rFonts w:ascii="Arial" w:cs="Arial" w:eastAsia="Arial" w:hAnsi="Arial"/>
          <w:sz w:val="18"/>
          <w:szCs w:val="18"/>
          <w:color w:val="auto"/>
        </w:rPr>
      </w:pPr>
    </w:p>
    <w:p>
      <w:pPr>
        <w:ind w:left="1480" w:right="20" w:hanging="567"/>
        <w:spacing w:after="0" w:line="332" w:lineRule="auto"/>
        <w:tabs>
          <w:tab w:leader="none" w:pos="1480" w:val="left"/>
        </w:tabs>
        <w:numPr>
          <w:ilvl w:val="2"/>
          <w:numId w:val="227"/>
        </w:numPr>
        <w:rPr>
          <w:rFonts w:ascii="Arial" w:cs="Arial" w:eastAsia="Arial" w:hAnsi="Arial"/>
          <w:sz w:val="16"/>
          <w:szCs w:val="16"/>
          <w:color w:val="auto"/>
        </w:rPr>
      </w:pPr>
      <w:r>
        <w:rPr>
          <w:rFonts w:ascii="Arial" w:cs="Arial" w:eastAsia="Arial" w:hAnsi="Arial"/>
          <w:sz w:val="16"/>
          <w:szCs w:val="16"/>
          <w:color w:val="auto"/>
        </w:rPr>
        <w:t>Acceleration Upon An Acquisition Event. Notwithstanding the foregoing, each outstanding option granted pursuant to Section 5(a)(i) shall immediately become exercisable in full in the event an Acquisition Event (as defined in Section 8) of the Company occurs.</w:t>
      </w:r>
    </w:p>
    <w:p>
      <w:pPr>
        <w:spacing w:after="0" w:line="4" w:lineRule="exact"/>
        <w:rPr>
          <w:rFonts w:ascii="Arial" w:cs="Arial" w:eastAsia="Arial" w:hAnsi="Arial"/>
          <w:sz w:val="16"/>
          <w:szCs w:val="16"/>
          <w:color w:val="auto"/>
        </w:rPr>
      </w:pPr>
    </w:p>
    <w:p>
      <w:pPr>
        <w:ind w:left="900" w:right="20" w:hanging="446"/>
        <w:spacing w:after="0" w:line="332" w:lineRule="auto"/>
        <w:tabs>
          <w:tab w:leader="none" w:pos="900" w:val="left"/>
        </w:tabs>
        <w:numPr>
          <w:ilvl w:val="1"/>
          <w:numId w:val="227"/>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Each option shall terminate, and may no longer be exercised, on the earlier of the (i) the date ten years after the date of grant or (ii) the date 60 days after the optionee ceases to serve as a director of the Company for any reason, whether by death, resignation, removal or otherwise.</w:t>
      </w:r>
    </w:p>
    <w:p>
      <w:pPr>
        <w:spacing w:after="0" w:line="4" w:lineRule="exact"/>
        <w:rPr>
          <w:rFonts w:ascii="Arial" w:cs="Arial" w:eastAsia="Arial" w:hAnsi="Arial"/>
          <w:sz w:val="16"/>
          <w:szCs w:val="16"/>
          <w:color w:val="auto"/>
        </w:rPr>
      </w:pPr>
    </w:p>
    <w:p>
      <w:pPr>
        <w:jc w:val="both"/>
        <w:ind w:left="900" w:hanging="446"/>
        <w:spacing w:after="0" w:line="255" w:lineRule="auto"/>
        <w:tabs>
          <w:tab w:leader="none" w:pos="900" w:val="left"/>
        </w:tabs>
        <w:numPr>
          <w:ilvl w:val="1"/>
          <w:numId w:val="227"/>
        </w:numPr>
        <w:rPr>
          <w:rFonts w:ascii="Arial" w:cs="Arial" w:eastAsia="Arial" w:hAnsi="Arial"/>
          <w:sz w:val="18"/>
          <w:szCs w:val="18"/>
          <w:color w:val="auto"/>
        </w:rPr>
      </w:pPr>
      <w:r>
        <w:rPr>
          <w:rFonts w:ascii="Arial" w:cs="Arial" w:eastAsia="Arial" w:hAnsi="Arial"/>
          <w:sz w:val="18"/>
          <w:szCs w:val="18"/>
          <w:u w:val="single" w:color="auto"/>
          <w:color w:val="auto"/>
        </w:rPr>
        <w:t>Exercise Procedure</w:t>
      </w:r>
      <w:r>
        <w:rPr>
          <w:rFonts w:ascii="Arial" w:cs="Arial" w:eastAsia="Arial" w:hAnsi="Arial"/>
          <w:sz w:val="18"/>
          <w:szCs w:val="18"/>
          <w:color w:val="auto"/>
        </w:rPr>
        <w:t>. Options may be exercised only by written notice to the Company at its principal office accompanied by (i) payment in cash or by certified or bank check of the full consideration for the shares as to which they are exercised or (ii) an irrevocable undertaking, in form and substance satisfactory to the Company, by a broker to deliver promptly to the Company sufficient funds to pay the exercise price or (iii) delivery of irrevocable instructions, in form and substance satisfactory to the Company, to a broker to deliver promptly to the Company cash or a check sufficient to pay the exercise price.</w:t>
      </w:r>
    </w:p>
    <w:p>
      <w:pPr>
        <w:spacing w:after="0" w:line="61" w:lineRule="exact"/>
        <w:rPr>
          <w:rFonts w:ascii="Arial" w:cs="Arial" w:eastAsia="Arial" w:hAnsi="Arial"/>
          <w:sz w:val="18"/>
          <w:szCs w:val="18"/>
          <w:color w:val="auto"/>
        </w:rPr>
      </w:pPr>
    </w:p>
    <w:p>
      <w:pPr>
        <w:jc w:val="both"/>
        <w:ind w:left="900" w:hanging="446"/>
        <w:spacing w:after="0" w:line="298" w:lineRule="auto"/>
        <w:tabs>
          <w:tab w:leader="none" w:pos="900" w:val="left"/>
        </w:tabs>
        <w:numPr>
          <w:ilvl w:val="1"/>
          <w:numId w:val="227"/>
        </w:numPr>
        <w:rPr>
          <w:rFonts w:ascii="Arial" w:cs="Arial" w:eastAsia="Arial" w:hAnsi="Arial"/>
          <w:sz w:val="16"/>
          <w:szCs w:val="16"/>
          <w:color w:val="auto"/>
        </w:rPr>
      </w:pPr>
      <w:r>
        <w:rPr>
          <w:rFonts w:ascii="Arial" w:cs="Arial" w:eastAsia="Arial" w:hAnsi="Arial"/>
          <w:sz w:val="16"/>
          <w:szCs w:val="16"/>
          <w:u w:val="single" w:color="auto"/>
          <w:color w:val="auto"/>
        </w:rPr>
        <w:t>Exercise by Representative Following Death of Director</w:t>
      </w:r>
      <w:r>
        <w:rPr>
          <w:rFonts w:ascii="Arial" w:cs="Arial" w:eastAsia="Arial" w:hAnsi="Arial"/>
          <w:sz w:val="16"/>
          <w:szCs w:val="16"/>
          <w:color w:val="auto"/>
        </w:rPr>
        <w:t>. An optionee, by written notice to the Company, may designate one or more persons (and from time to time change such designation), including his or her legal representative, who, by reason of the optionee’s death, shall acquire the right to exercise all or a portion of the option. If the person or persons so designated wish to exercise any portion of the option, they must do so within the term of the option as provided herein. Any exercise by a representative shall be subject to the provisions of the Plan.</w:t>
      </w:r>
    </w:p>
    <w:p>
      <w:pPr>
        <w:spacing w:after="0" w:line="193" w:lineRule="exact"/>
        <w:rPr>
          <w:rFonts w:ascii="Arial" w:cs="Arial" w:eastAsia="Arial" w:hAnsi="Arial"/>
          <w:sz w:val="16"/>
          <w:szCs w:val="16"/>
          <w:color w:val="auto"/>
        </w:rPr>
      </w:pPr>
    </w:p>
    <w:p>
      <w:pPr>
        <w:ind w:left="180" w:hanging="172"/>
        <w:spacing w:after="0"/>
        <w:tabs>
          <w:tab w:leader="none" w:pos="180"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Limitation of Rights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left="900" w:hanging="446"/>
        <w:spacing w:after="0" w:line="357" w:lineRule="auto"/>
        <w:tabs>
          <w:tab w:leader="none" w:pos="900" w:val="left"/>
        </w:tabs>
        <w:numPr>
          <w:ilvl w:val="1"/>
          <w:numId w:val="228"/>
        </w:numPr>
        <w:rPr>
          <w:rFonts w:ascii="Arial" w:cs="Arial" w:eastAsia="Arial" w:hAnsi="Arial"/>
          <w:sz w:val="15"/>
          <w:szCs w:val="15"/>
          <w:color w:val="auto"/>
        </w:rPr>
      </w:pPr>
      <w:r>
        <w:rPr>
          <w:rFonts w:ascii="Arial" w:cs="Arial" w:eastAsia="Arial" w:hAnsi="Arial"/>
          <w:sz w:val="15"/>
          <w:szCs w:val="15"/>
          <w:u w:val="single" w:color="auto"/>
          <w:color w:val="auto"/>
        </w:rPr>
        <w:t>No Right to Continue as a Director</w:t>
      </w:r>
      <w:r>
        <w:rPr>
          <w:rFonts w:ascii="Arial" w:cs="Arial" w:eastAsia="Arial" w:hAnsi="Arial"/>
          <w:sz w:val="15"/>
          <w:szCs w:val="15"/>
          <w:color w:val="auto"/>
        </w:rPr>
        <w:t>. Neither the Plan, nor the granting of an option nor any other action taken pursuant to the Plan, shall constitute or be evidence of any agreement or understanding, express or implied, that the optionee shall be entitled to continue as a director for any period of time.</w:t>
      </w:r>
    </w:p>
    <w:p>
      <w:pPr>
        <w:jc w:val="both"/>
        <w:ind w:left="900" w:hanging="446"/>
        <w:spacing w:after="0" w:line="294" w:lineRule="auto"/>
        <w:tabs>
          <w:tab w:leader="none" w:pos="900" w:val="left"/>
        </w:tabs>
        <w:numPr>
          <w:ilvl w:val="1"/>
          <w:numId w:val="228"/>
        </w:numPr>
        <w:rPr>
          <w:rFonts w:ascii="Arial" w:cs="Arial" w:eastAsia="Arial" w:hAnsi="Arial"/>
          <w:sz w:val="16"/>
          <w:szCs w:val="16"/>
          <w:color w:val="auto"/>
        </w:rPr>
      </w:pPr>
      <w:r>
        <w:rPr>
          <w:rFonts w:ascii="Arial" w:cs="Arial" w:eastAsia="Arial" w:hAnsi="Arial"/>
          <w:sz w:val="16"/>
          <w:szCs w:val="16"/>
          <w:u w:val="single" w:color="auto"/>
          <w:color w:val="auto"/>
        </w:rPr>
        <w:t>No Stockholder Rights for Options</w:t>
      </w:r>
      <w:r>
        <w:rPr>
          <w:rFonts w:ascii="Arial" w:cs="Arial" w:eastAsia="Arial" w:hAnsi="Arial"/>
          <w:sz w:val="16"/>
          <w:szCs w:val="16"/>
          <w:color w:val="auto"/>
        </w:rPr>
        <w:t>. An optionee shall have no rights as a stockholder with respect to the shares covered by his or her option until the date of the issuance to him or her of a stock certificate therefor, and no adjustment will be made for dividends or other rights (except as provided in Section 7) for which the record date is prior to the date such certificate is issued. Notwithstanding the foregoing, in the event the Company effects a split of the Common Stock by means of a stock dividend, and the distribution date (i.e., the date on which the closing market price of the Common Stock on a stock exchange or trading system is adjusted to reflect the split) is subsequent to the record date for such stock dividend, an optionee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47" w:name="page148"/>
    <w:bookmarkEnd w:id="147"/>
    <w:p>
      <w:pPr>
        <w:jc w:val="both"/>
        <w:ind w:left="9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who exercises an option between the close of business on such record date and the close of business on such distribution date shall be entitled to receive the stock dividend with respect to the shares of Common Stock acquired upon such option exercise, notwithstanding the fact that such shares were not outstanding as of the close of business on such record date.</w:t>
      </w:r>
    </w:p>
    <w:p>
      <w:pPr>
        <w:spacing w:after="0" w:line="73" w:lineRule="exact"/>
        <w:rPr>
          <w:sz w:val="20"/>
          <w:szCs w:val="20"/>
          <w:color w:val="auto"/>
        </w:rPr>
      </w:pPr>
    </w:p>
    <w:p>
      <w:pPr>
        <w:jc w:val="both"/>
        <w:ind w:left="900" w:hanging="446"/>
        <w:spacing w:after="0" w:line="291" w:lineRule="auto"/>
        <w:tabs>
          <w:tab w:leader="none" w:pos="900" w:val="left"/>
        </w:tabs>
        <w:numPr>
          <w:ilvl w:val="1"/>
          <w:numId w:val="229"/>
        </w:numPr>
        <w:rPr>
          <w:rFonts w:ascii="Arial" w:cs="Arial" w:eastAsia="Arial" w:hAnsi="Arial"/>
          <w:sz w:val="16"/>
          <w:szCs w:val="16"/>
          <w:color w:val="auto"/>
        </w:rPr>
      </w:pPr>
      <w:r>
        <w:rPr>
          <w:rFonts w:ascii="Arial" w:cs="Arial" w:eastAsia="Arial" w:hAnsi="Arial"/>
          <w:sz w:val="16"/>
          <w:szCs w:val="16"/>
          <w:u w:val="single" w:color="auto"/>
          <w:color w:val="auto"/>
        </w:rPr>
        <w:t>Compliance with Securities Laws</w:t>
      </w:r>
      <w:r>
        <w:rPr>
          <w:rFonts w:ascii="Arial" w:cs="Arial" w:eastAsia="Arial" w:hAnsi="Arial"/>
          <w:sz w:val="16"/>
          <w:szCs w:val="16"/>
          <w:color w:val="auto"/>
        </w:rPr>
        <w:t>. Each option and stock award shall be subject to the requirement that if, at any time, counsel to the Company shall determine that the listing, registration or qualification of the shares subject to such option or stock award upon any securities exchange or under any state or federal law, or the consent or approval of any governmental or regulatory body, or the disclosure of non-public information or the satisfaction of any other condition is necessary as a condition to, or in connection with, the issuance or purchase of shares thereunder, such option may not be exercised, in whole or in part, and such stock award shall not be granted, unless such listing, registration, qualification, consent or approval, or satisfaction of such condition shall have been effected or obtained on conditions acceptable to the Board of Directors.</w:t>
      </w:r>
    </w:p>
    <w:p>
      <w:pPr>
        <w:spacing w:after="0" w:line="201" w:lineRule="exact"/>
        <w:rPr>
          <w:rFonts w:ascii="Arial" w:cs="Arial" w:eastAsia="Arial" w:hAnsi="Arial"/>
          <w:sz w:val="16"/>
          <w:szCs w:val="16"/>
          <w:color w:val="auto"/>
        </w:rPr>
      </w:pPr>
    </w:p>
    <w:p>
      <w:pPr>
        <w:ind w:left="180" w:hanging="172"/>
        <w:spacing w:after="0"/>
        <w:tabs>
          <w:tab w:leader="none" w:pos="180"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Adjustment to Common Stock</w:t>
      </w:r>
      <w:r>
        <w:rPr>
          <w:rFonts w:ascii="Arial" w:cs="Arial" w:eastAsia="Arial" w:hAnsi="Arial"/>
          <w:sz w:val="18"/>
          <w:szCs w:val="18"/>
          <w:color w:val="auto"/>
        </w:rPr>
        <w:t>.</w:t>
      </w:r>
    </w:p>
    <w:p>
      <w:pPr>
        <w:spacing w:after="0" w:line="9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In the event of any stock split, stock dividend, recapitalization, reorganization, merger, consolidation, combination, exchange of shares, liquidation, spin-off or other similar change in capitalization or event, or any distribution to holders of Common Stock other than a normal cash dividend, (i) the number and class of security available under this Plan, (ii) the number and class of security covered by future option grants and stock awards under Section 5(a) and (iii) the number and class of security and exercise price per share subject to each outstanding option shall be equitably adjusted by the Company. No fractional shares will be issued under the Plan on account of any such adjustments. If this Section 7 applies and Section 8 also applies to any event, Section 8 shall be applicable to such event and this Section 7 shall not be applicable.</w:t>
      </w:r>
    </w:p>
    <w:p>
      <w:pPr>
        <w:spacing w:after="0" w:line="225" w:lineRule="exact"/>
        <w:rPr>
          <w:sz w:val="20"/>
          <w:szCs w:val="20"/>
          <w:color w:val="auto"/>
        </w:rPr>
      </w:pPr>
    </w:p>
    <w:p>
      <w:pPr>
        <w:ind w:left="180" w:hanging="172"/>
        <w:spacing w:after="0"/>
        <w:tabs>
          <w:tab w:leader="none" w:pos="180"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Acquisition Events</w:t>
      </w:r>
      <w:r>
        <w:rPr>
          <w:rFonts w:ascii="Arial" w:cs="Arial" w:eastAsia="Arial" w:hAnsi="Arial"/>
          <w:sz w:val="18"/>
          <w:szCs w:val="18"/>
          <w:color w:val="auto"/>
        </w:rPr>
        <w:t>.</w:t>
      </w:r>
    </w:p>
    <w:p>
      <w:pPr>
        <w:spacing w:after="0" w:line="9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Upon the occurrence of an Acquisition Event (as defined below), or the execution by the Company of any agreement with respect to an Acquisition Event, the Board shall take any one or more of the following actions with respect to then outstanding options: (i) provide that outstanding options shall be assumed, or equivalent options shall be substituted, by the acquiring or succeeding corporation (or an affiliate thereof), provided that any such options substituted for such options shall satisfy, in the determination of the Board, the requirements of Section 424(a) of the Internal Revenue Code of 1986, as amended; (ii) upon written notice to the optionees, provide that all then unexercised options will become exercisable in full as of a specified time (the “Acceleration Time”) prior to the Acquisition Event and will terminate immediately prior to the consummation of such Acquisition Event, except to the extent exercised by the optionees between the Acceleration Time and the consummation of such Acquisition Event; and (iii) in the event of an Acquisition Event under the terms of which holders of Common Stock will receive upon consummation thereof a cash payment for each share of Common Stock surrendered pursuant to such Acquisition Event (the “Acquisition Price”), provide that all outstanding options shall terminate upon consummation of such Acquisition Event and each optionee shall receive, in exchange therefor, a cash payment equal to the amount (if any) by which (A) the Acquisition Price multiplied by the number of shares of Common Stock subject to such outstanding options (whether or not then exercisable), exceeds (B) the aggregate exercise price of such options.</w:t>
      </w:r>
    </w:p>
    <w:p>
      <w:pPr>
        <w:spacing w:after="0" w:line="12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An “Acquisition Event” shall mean: (x) any merger or consolidation which results in the voting securities of the Company outstanding immediately prior thereto representing immediately thereafter (either by remaining outstanding or by being converted into voting securities of the surviving or acquiring entity) less than 50% of the combined voting power of the voting securities of the Company or such surviving or acquiring entity outstanding immediately after such merger or consolidation; (y) any sale of all or substantially all of the assets of the Company; or (z) the complete liquidation of the Company.</w:t>
      </w:r>
    </w:p>
    <w:p>
      <w:pPr>
        <w:spacing w:after="0" w:line="194" w:lineRule="exact"/>
        <w:rPr>
          <w:sz w:val="20"/>
          <w:szCs w:val="20"/>
          <w:color w:val="auto"/>
        </w:rPr>
      </w:pPr>
    </w:p>
    <w:p>
      <w:pPr>
        <w:ind w:left="180" w:hanging="172"/>
        <w:spacing w:after="0"/>
        <w:tabs>
          <w:tab w:leader="none" w:pos="180"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Modification, Extension and Renewal of Options</w:t>
      </w:r>
      <w:r>
        <w:rPr>
          <w:rFonts w:ascii="Arial" w:cs="Arial" w:eastAsia="Arial" w:hAnsi="Arial"/>
          <w:sz w:val="18"/>
          <w:szCs w:val="18"/>
          <w:color w:val="auto"/>
        </w:rPr>
        <w:t>.</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Board of Directors shall have the power to modify or amend outstanding options; provided, however, that no modification or amendment may (i) have the effect of altering or impairing any rights or obligations of any option previously granted without the consent of the optionee, or (ii) modify the number of shares of Common Stock subject to the option (except as provided in Section 7).</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48" w:name="page149"/>
    <w:bookmarkEnd w:id="148"/>
    <w:p>
      <w:pPr>
        <w:ind w:left="280" w:hanging="272"/>
        <w:spacing w:after="0"/>
        <w:tabs>
          <w:tab w:leader="none" w:pos="280"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Termination and Amendment of the Plan</w:t>
      </w:r>
      <w:r>
        <w:rPr>
          <w:rFonts w:ascii="Arial" w:cs="Arial" w:eastAsia="Arial" w:hAnsi="Arial"/>
          <w:sz w:val="18"/>
          <w:szCs w:val="18"/>
          <w:color w:val="auto"/>
        </w:rPr>
        <w:t>.</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Board of Directors may suspend, terminate or discontinue the Plan or amend it in any respect whatsoever; provided, however, that without approval of the stockholders of the Company, no amendment may (i) increase the number of shares subject to the Plan (except as provided in Section 7), or (ii) effect any action which requires approval of the stockholders pursuant to the rules or requirements of the Nasdaq National Market or any other exchange on which the Common Stock of the Company is listed.</w:t>
      </w:r>
    </w:p>
    <w:p>
      <w:pPr>
        <w:spacing w:after="0" w:line="224" w:lineRule="exact"/>
        <w:rPr>
          <w:sz w:val="20"/>
          <w:szCs w:val="20"/>
          <w:color w:val="auto"/>
        </w:rPr>
      </w:pPr>
    </w:p>
    <w:p>
      <w:pPr>
        <w:ind w:left="260" w:hanging="252"/>
        <w:spacing w:after="0"/>
        <w:tabs>
          <w:tab w:leader="none" w:pos="260"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Any written notice to the Company required by any of the provisions of the Plan shall be addressed to the Treasurer of the Company and shall become effective when it is received.</w:t>
      </w:r>
    </w:p>
    <w:p>
      <w:pPr>
        <w:spacing w:after="0" w:line="213" w:lineRule="exact"/>
        <w:rPr>
          <w:sz w:val="20"/>
          <w:szCs w:val="20"/>
          <w:color w:val="auto"/>
        </w:rPr>
      </w:pPr>
    </w:p>
    <w:p>
      <w:pPr>
        <w:ind w:left="280" w:hanging="272"/>
        <w:spacing w:after="0"/>
        <w:tabs>
          <w:tab w:leader="none" w:pos="280"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Plan and all determinations made and actions taken pursuant hereto shall be governed by the laws of the State of Delaware.</w:t>
      </w:r>
    </w:p>
    <w:p>
      <w:pPr>
        <w:spacing w:after="0" w:line="252" w:lineRule="exact"/>
        <w:rPr>
          <w:sz w:val="20"/>
          <w:szCs w:val="20"/>
          <w:color w:val="auto"/>
        </w:rPr>
      </w:pPr>
    </w:p>
    <w:p>
      <w:pPr>
        <w:ind w:left="280" w:hanging="272"/>
        <w:spacing w:after="0"/>
        <w:tabs>
          <w:tab w:leader="none" w:pos="280"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Stockholder Approval</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Plan is conditional upon stockholder approval of the Plan within one year from its date of adoption by the Board of Directors, and no option may be granted under the Plan until such stockholder approval is obtained.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10.9</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AMERICAN SUPERCONDUCTOR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2004 STOCK INCENTIVE PLAN, AS AMENDED</w:t>
      </w:r>
    </w:p>
    <w:p>
      <w:pPr>
        <w:spacing w:after="0" w:line="212" w:lineRule="exact"/>
        <w:rPr>
          <w:sz w:val="20"/>
          <w:szCs w:val="20"/>
          <w:color w:val="auto"/>
        </w:rPr>
      </w:pPr>
    </w:p>
    <w:p>
      <w:pPr>
        <w:ind w:left="460" w:hanging="452"/>
        <w:spacing w:after="0"/>
        <w:tabs>
          <w:tab w:leader="none" w:pos="460"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Purpose</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purpose of this 2004 Stock Incentive Plan, as amended (the “Plan”) of American Superconductor Corporation, a Delaware corporation (the “Company”), is to advance the interests of the Company’s stockholders by enhancing the Company’s ability to attract, retain and motivate persons who are expected to make important contributions to the Company and by providing such persons with equity ownership opportunities and performance-based incentives that are intended to align their interests with those of the Company’s stockholders. Except where the context otherwise requires, the term “Company” shall include any of the Company’s present or future parent or subsidiary corporations as defined in Sections 424(e) or (f) of the Internal Revenue Code of 1986, as amended, and any regulations promulgated thereunder (the “Code”) and any other business venture (including, without limitation, joint venture or limited liability company) in which the Company has a controlling interest, as determined by the Board of Directors of the Company (the “Board”).</w:t>
      </w:r>
    </w:p>
    <w:p>
      <w:pPr>
        <w:spacing w:after="0" w:line="240" w:lineRule="exact"/>
        <w:rPr>
          <w:sz w:val="20"/>
          <w:szCs w:val="20"/>
          <w:color w:val="auto"/>
        </w:rPr>
      </w:pPr>
    </w:p>
    <w:p>
      <w:pPr>
        <w:ind w:left="460" w:hanging="452"/>
        <w:spacing w:after="0"/>
        <w:tabs>
          <w:tab w:leader="none" w:pos="460"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Eligibility</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All of the Company’s employees, officers, consultants and advisors are eligible to receive options, stock appreciation rights, restricted stock and other stock-based awards (each, an “Award”) under the Plan. Each person who receives an Award under the Plan is deemed a “Participant”.</w:t>
      </w:r>
    </w:p>
    <w:p>
      <w:pPr>
        <w:spacing w:after="0" w:line="207" w:lineRule="exact"/>
        <w:rPr>
          <w:sz w:val="20"/>
          <w:szCs w:val="20"/>
          <w:color w:val="auto"/>
        </w:rPr>
      </w:pPr>
    </w:p>
    <w:p>
      <w:pPr>
        <w:ind w:left="460" w:hanging="452"/>
        <w:spacing w:after="0"/>
        <w:tabs>
          <w:tab w:leader="none" w:pos="460"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Administration and Delegation</w:t>
      </w:r>
    </w:p>
    <w:p>
      <w:pPr>
        <w:spacing w:after="0" w:line="90" w:lineRule="exact"/>
        <w:rPr>
          <w:rFonts w:ascii="Arial" w:cs="Arial" w:eastAsia="Arial" w:hAnsi="Arial"/>
          <w:sz w:val="18"/>
          <w:szCs w:val="18"/>
          <w:color w:val="auto"/>
        </w:rPr>
      </w:pPr>
    </w:p>
    <w:p>
      <w:pPr>
        <w:jc w:val="both"/>
        <w:ind w:firstLine="464"/>
        <w:spacing w:after="0" w:line="291" w:lineRule="auto"/>
        <w:tabs>
          <w:tab w:leader="none" w:pos="695" w:val="left"/>
        </w:tabs>
        <w:numPr>
          <w:ilvl w:val="1"/>
          <w:numId w:val="239"/>
        </w:numPr>
        <w:rPr>
          <w:rFonts w:ascii="Arial" w:cs="Arial" w:eastAsia="Arial" w:hAnsi="Arial"/>
          <w:sz w:val="16"/>
          <w:szCs w:val="16"/>
          <w:color w:val="auto"/>
        </w:rPr>
      </w:pPr>
      <w:r>
        <w:rPr>
          <w:rFonts w:ascii="Arial" w:cs="Arial" w:eastAsia="Arial" w:hAnsi="Arial"/>
          <w:sz w:val="16"/>
          <w:szCs w:val="16"/>
          <w:u w:val="single" w:color="auto"/>
          <w:color w:val="auto"/>
        </w:rPr>
        <w:t>Administration by Board of Directors</w:t>
      </w:r>
      <w:r>
        <w:rPr>
          <w:rFonts w:ascii="Arial" w:cs="Arial" w:eastAsia="Arial" w:hAnsi="Arial"/>
          <w:sz w:val="16"/>
          <w:szCs w:val="16"/>
          <w:color w:val="auto"/>
        </w:rPr>
        <w:t>. The Plan will be administered by the Board. The Board shall have authority to grant Awards and to adopt, amend and repeal such administrative rules, guidelines and practices relating to the Plan as it shall deem advisable. The Board may correct any defect, supply any omission or reconcile any inconsistency in the Plan or any Award in the manner and to the extent it shall deem expedient to carry the Plan into effect and it shall be the sole and final judge of such expediency. All decisions by the Board shall be made in the Board’s sole discretion and shall be final and binding on all persons having or claiming any interest in the Plan or in any Award. No director or person acting pursuant to the authority delegated by the Board shall be liable for any action or determination relating to or under the Plan made in good faith.</w:t>
      </w:r>
    </w:p>
    <w:p>
      <w:pPr>
        <w:spacing w:after="0" w:line="120" w:lineRule="exact"/>
        <w:rPr>
          <w:rFonts w:ascii="Arial" w:cs="Arial" w:eastAsia="Arial" w:hAnsi="Arial"/>
          <w:sz w:val="16"/>
          <w:szCs w:val="16"/>
          <w:color w:val="auto"/>
        </w:rPr>
      </w:pPr>
    </w:p>
    <w:p>
      <w:pPr>
        <w:jc w:val="both"/>
        <w:ind w:firstLine="464"/>
        <w:spacing w:after="0" w:line="306" w:lineRule="auto"/>
        <w:tabs>
          <w:tab w:leader="none" w:pos="705" w:val="left"/>
        </w:tabs>
        <w:numPr>
          <w:ilvl w:val="1"/>
          <w:numId w:val="239"/>
        </w:numPr>
        <w:rPr>
          <w:rFonts w:ascii="Arial" w:cs="Arial" w:eastAsia="Arial" w:hAnsi="Arial"/>
          <w:sz w:val="16"/>
          <w:szCs w:val="16"/>
          <w:color w:val="auto"/>
        </w:rPr>
      </w:pPr>
      <w:r>
        <w:rPr>
          <w:rFonts w:ascii="Arial" w:cs="Arial" w:eastAsia="Arial" w:hAnsi="Arial"/>
          <w:sz w:val="16"/>
          <w:szCs w:val="16"/>
          <w:u w:val="single" w:color="auto"/>
          <w:color w:val="auto"/>
        </w:rPr>
        <w:t>Appointment of Committees</w:t>
      </w:r>
      <w:r>
        <w:rPr>
          <w:rFonts w:ascii="Arial" w:cs="Arial" w:eastAsia="Arial" w:hAnsi="Arial"/>
          <w:sz w:val="16"/>
          <w:szCs w:val="16"/>
          <w:color w:val="auto"/>
        </w:rPr>
        <w:t>. To the extent permitted by applicable law, the Board may delegate any or all of its powers under the Plan to one or more committees or subcommittees of the Board (a “Committee”). All references in the Plan to the “Board” shall mean the Board or a Committee of the Board or the officers referred to in Section 3(c) to the extent that the Board’s powers or authority under the Plan have been delegated to such Committee or officers.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50" w:name="page151"/>
    <w:bookmarkEnd w:id="150"/>
    <w:p>
      <w:pPr>
        <w:jc w:val="both"/>
        <w:ind w:left="-8" w:firstLine="464"/>
        <w:spacing w:after="0" w:line="291" w:lineRule="auto"/>
        <w:tabs>
          <w:tab w:leader="none" w:pos="687" w:val="left"/>
        </w:tabs>
        <w:numPr>
          <w:ilvl w:val="1"/>
          <w:numId w:val="24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Delegation to Officers</w:t>
      </w:r>
      <w:r>
        <w:rPr>
          <w:rFonts w:ascii="Arial" w:cs="Arial" w:eastAsia="Arial" w:hAnsi="Arial"/>
          <w:sz w:val="16"/>
          <w:szCs w:val="16"/>
          <w:color w:val="auto"/>
        </w:rPr>
        <w:t>. To the extent permitted by applicable law, the Board may delegate to one or more officers of the Company the power to grant Awards to employees or officers of the Company or any of its present or future subsidiary corporations and to exercise such other powers under the Plan as the Board may determine, provided that the Board shall fix the terms of the Awards to be granted by such officers (including the exercise price of such Awards, which may include a formula by which the exercise price will be determined) and the maximum number of shares subject to Awards that the officers may grant; provided further, however, that no officer shall be authorized to grant Awards to any “executive officer” of the Company (as defined by Rule 3b-7 under the Securities Exchange Act of 1934, as amended (the “Exchange Act”)) or to any “officer” of the Company (as defined by Rule 16a-1 under the Exchange Act).</w:t>
      </w:r>
    </w:p>
    <w:p>
      <w:pPr>
        <w:spacing w:after="0" w:line="241" w:lineRule="exact"/>
        <w:rPr>
          <w:rFonts w:ascii="Arial" w:cs="Arial" w:eastAsia="Arial" w:hAnsi="Arial"/>
          <w:sz w:val="16"/>
          <w:szCs w:val="16"/>
          <w:color w:val="auto"/>
        </w:rPr>
      </w:pPr>
    </w:p>
    <w:p>
      <w:pPr>
        <w:ind w:left="452" w:hanging="452"/>
        <w:spacing w:after="0"/>
        <w:tabs>
          <w:tab w:leader="none" w:pos="452"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Stock Available for Awards</w:t>
      </w:r>
    </w:p>
    <w:p>
      <w:pPr>
        <w:spacing w:after="0" w:line="90" w:lineRule="exact"/>
        <w:rPr>
          <w:rFonts w:ascii="Arial" w:cs="Arial" w:eastAsia="Arial" w:hAnsi="Arial"/>
          <w:sz w:val="18"/>
          <w:szCs w:val="18"/>
          <w:color w:val="auto"/>
        </w:rPr>
      </w:pPr>
    </w:p>
    <w:p>
      <w:pPr>
        <w:jc w:val="both"/>
        <w:ind w:left="-8" w:firstLine="464"/>
        <w:spacing w:after="0" w:line="291" w:lineRule="auto"/>
        <w:tabs>
          <w:tab w:leader="none" w:pos="687" w:val="left"/>
        </w:tabs>
        <w:numPr>
          <w:ilvl w:val="1"/>
          <w:numId w:val="241"/>
        </w:numPr>
        <w:rPr>
          <w:rFonts w:ascii="Arial" w:cs="Arial" w:eastAsia="Arial" w:hAnsi="Arial"/>
          <w:sz w:val="16"/>
          <w:szCs w:val="16"/>
          <w:color w:val="auto"/>
        </w:rPr>
      </w:pPr>
      <w:r>
        <w:rPr>
          <w:rFonts w:ascii="Arial" w:cs="Arial" w:eastAsia="Arial" w:hAnsi="Arial"/>
          <w:sz w:val="16"/>
          <w:szCs w:val="16"/>
          <w:u w:val="single" w:color="auto"/>
          <w:color w:val="auto"/>
        </w:rPr>
        <w:t>Number of Shares</w:t>
      </w:r>
      <w:r>
        <w:rPr>
          <w:rFonts w:ascii="Arial" w:cs="Arial" w:eastAsia="Arial" w:hAnsi="Arial"/>
          <w:sz w:val="16"/>
          <w:szCs w:val="16"/>
          <w:color w:val="auto"/>
        </w:rPr>
        <w:t>. Subject to adjustment under Section 9, Awards may be made under the Plan for up to 2,500,000 shares of common stock, $0.01 par value per share, of the Company (the “Common Stock”). If any Award expires or is terminated, surrendered or canceled without having been fully exercised or is forfeited in whole or in part (including as the result of shares of Common Stock subject to such Award being repurchased by the Company at the original issuance price pursuant to a contractual repurchase right) or results in any Common Stock not being issued, the unused Common Stock covered by such Award shall again be available for the grant of Awards under the Plan, subject, however, in the case of Incentive Stock Options (as hereinafter defined), to any limitations under the Code. Shares issued under the Plan may consist in whole or in part of authorized but unissued shares or treasury shares.</w:t>
      </w:r>
    </w:p>
    <w:p>
      <w:pPr>
        <w:spacing w:after="0" w:line="39" w:lineRule="exact"/>
        <w:rPr>
          <w:rFonts w:ascii="Arial" w:cs="Arial" w:eastAsia="Arial" w:hAnsi="Arial"/>
          <w:sz w:val="16"/>
          <w:szCs w:val="16"/>
          <w:color w:val="auto"/>
        </w:rPr>
      </w:pPr>
    </w:p>
    <w:p>
      <w:pPr>
        <w:ind w:left="712" w:hanging="256"/>
        <w:spacing w:after="0"/>
        <w:tabs>
          <w:tab w:leader="none" w:pos="712" w:val="left"/>
        </w:tabs>
        <w:numPr>
          <w:ilvl w:val="1"/>
          <w:numId w:val="241"/>
        </w:numPr>
        <w:rPr>
          <w:rFonts w:ascii="Arial" w:cs="Arial" w:eastAsia="Arial" w:hAnsi="Arial"/>
          <w:sz w:val="18"/>
          <w:szCs w:val="18"/>
          <w:color w:val="auto"/>
        </w:rPr>
      </w:pPr>
      <w:r>
        <w:rPr>
          <w:rFonts w:ascii="Arial" w:cs="Arial" w:eastAsia="Arial" w:hAnsi="Arial"/>
          <w:sz w:val="18"/>
          <w:szCs w:val="18"/>
          <w:u w:val="single" w:color="auto"/>
          <w:color w:val="auto"/>
        </w:rPr>
        <w:t>Sub-limits</w:t>
      </w:r>
      <w:r>
        <w:rPr>
          <w:rFonts w:ascii="Arial" w:cs="Arial" w:eastAsia="Arial" w:hAnsi="Arial"/>
          <w:sz w:val="18"/>
          <w:szCs w:val="18"/>
          <w:color w:val="auto"/>
        </w:rPr>
        <w:t>. Subject to adjustment under Section 9, the following sub-limits on the number of shares subject to Awards shall apply:</w:t>
      </w:r>
    </w:p>
    <w:p>
      <w:pPr>
        <w:spacing w:after="0" w:line="90" w:lineRule="exact"/>
        <w:rPr>
          <w:rFonts w:ascii="Arial" w:cs="Arial" w:eastAsia="Arial" w:hAnsi="Arial"/>
          <w:sz w:val="18"/>
          <w:szCs w:val="18"/>
          <w:color w:val="auto"/>
        </w:rPr>
      </w:pPr>
    </w:p>
    <w:p>
      <w:pPr>
        <w:jc w:val="both"/>
        <w:ind w:left="-8" w:firstLine="921"/>
        <w:spacing w:after="0" w:line="298" w:lineRule="auto"/>
        <w:tabs>
          <w:tab w:leader="none" w:pos="1153" w:val="left"/>
        </w:tabs>
        <w:numPr>
          <w:ilvl w:val="2"/>
          <w:numId w:val="241"/>
        </w:numPr>
        <w:rPr>
          <w:rFonts w:ascii="Arial" w:cs="Arial" w:eastAsia="Arial" w:hAnsi="Arial"/>
          <w:sz w:val="16"/>
          <w:szCs w:val="16"/>
          <w:color w:val="auto"/>
        </w:rPr>
      </w:pPr>
      <w:r>
        <w:rPr>
          <w:rFonts w:ascii="Arial" w:cs="Arial" w:eastAsia="Arial" w:hAnsi="Arial"/>
          <w:sz w:val="16"/>
          <w:szCs w:val="16"/>
          <w:u w:val="single" w:color="auto"/>
          <w:color w:val="auto"/>
        </w:rPr>
        <w:t>Section 162(m) Per-Participant Limit</w:t>
      </w:r>
      <w:r>
        <w:rPr>
          <w:rFonts w:ascii="Arial" w:cs="Arial" w:eastAsia="Arial" w:hAnsi="Arial"/>
          <w:sz w:val="16"/>
          <w:szCs w:val="16"/>
          <w:color w:val="auto"/>
        </w:rPr>
        <w:t>. The maximum number of shares of Common Stock with respect to which Awards may be granted to any Participant under the Plan shall be 1,000,000 per calendar year. For purposes of the foregoing limit, the combination of an Option in tandem with an SAR (as each is hereafter defined) shall be treated as a single Award. The per-Participant limit described in this Section 4(b)(1) shall be construed and applied consistently with Section 162(m) of the Code or any successor provision thereto, and the regulations thereunder (“Section 162(m)”).</w:t>
      </w:r>
    </w:p>
    <w:p>
      <w:pPr>
        <w:spacing w:after="0" w:line="112" w:lineRule="exact"/>
        <w:rPr>
          <w:rFonts w:ascii="Arial" w:cs="Arial" w:eastAsia="Arial" w:hAnsi="Arial"/>
          <w:sz w:val="16"/>
          <w:szCs w:val="16"/>
          <w:color w:val="auto"/>
        </w:rPr>
      </w:pPr>
    </w:p>
    <w:p>
      <w:pPr>
        <w:ind w:left="-8" w:firstLine="921"/>
        <w:spacing w:after="0" w:line="268" w:lineRule="auto"/>
        <w:tabs>
          <w:tab w:leader="none" w:pos="1167" w:val="left"/>
        </w:tabs>
        <w:numPr>
          <w:ilvl w:val="2"/>
          <w:numId w:val="241"/>
        </w:numPr>
        <w:rPr>
          <w:rFonts w:ascii="Arial" w:cs="Arial" w:eastAsia="Arial" w:hAnsi="Arial"/>
          <w:sz w:val="18"/>
          <w:szCs w:val="18"/>
          <w:color w:val="auto"/>
        </w:rPr>
      </w:pPr>
      <w:r>
        <w:rPr>
          <w:rFonts w:ascii="Arial" w:cs="Arial" w:eastAsia="Arial" w:hAnsi="Arial"/>
          <w:sz w:val="18"/>
          <w:szCs w:val="18"/>
          <w:u w:val="single" w:color="auto"/>
          <w:color w:val="auto"/>
        </w:rPr>
        <w:t>Limit on Awards other than Options and SARS</w:t>
      </w:r>
      <w:r>
        <w:rPr>
          <w:rFonts w:ascii="Arial" w:cs="Arial" w:eastAsia="Arial" w:hAnsi="Arial"/>
          <w:sz w:val="18"/>
          <w:szCs w:val="18"/>
          <w:color w:val="auto"/>
        </w:rPr>
        <w:t>. The maximum number of shares with respect to which Awards other than Options and SARs may be granted shall be 100,000.</w:t>
      </w:r>
    </w:p>
    <w:p>
      <w:pPr>
        <w:spacing w:after="0" w:line="253" w:lineRule="exact"/>
        <w:rPr>
          <w:rFonts w:ascii="Arial" w:cs="Arial" w:eastAsia="Arial" w:hAnsi="Arial"/>
          <w:sz w:val="18"/>
          <w:szCs w:val="18"/>
          <w:color w:val="auto"/>
        </w:rPr>
      </w:pPr>
    </w:p>
    <w:p>
      <w:pPr>
        <w:ind w:left="452" w:hanging="452"/>
        <w:spacing w:after="0"/>
        <w:tabs>
          <w:tab w:leader="none" w:pos="452"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Stock Options</w:t>
      </w:r>
    </w:p>
    <w:p>
      <w:pPr>
        <w:spacing w:after="0" w:line="90" w:lineRule="exact"/>
        <w:rPr>
          <w:rFonts w:ascii="Arial" w:cs="Arial" w:eastAsia="Arial" w:hAnsi="Arial"/>
          <w:sz w:val="18"/>
          <w:szCs w:val="18"/>
          <w:color w:val="auto"/>
        </w:rPr>
      </w:pPr>
    </w:p>
    <w:p>
      <w:pPr>
        <w:ind w:left="-8" w:firstLine="464"/>
        <w:spacing w:after="0" w:line="268" w:lineRule="auto"/>
        <w:tabs>
          <w:tab w:leader="none" w:pos="701" w:val="left"/>
        </w:tabs>
        <w:numPr>
          <w:ilvl w:val="1"/>
          <w:numId w:val="241"/>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Board may grant options to purchase Common Stock (each, an “Option”) and determine the number of shares of Common Stock to be covered by each Option, the exercise price of each Option and the conditions and limitations applicable to the exercise of</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12"/>
          </w:cols>
          <w:pgMar w:left="248" w:top="280" w:right="239" w:bottom="1440" w:gutter="0" w:footer="0" w:header="0"/>
        </w:sectPr>
      </w:pPr>
    </w:p>
    <w:bookmarkStart w:id="151" w:name="page152"/>
    <w:bookmarkEnd w:id="151"/>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Option, including conditions relating to applicable federal or state securities laws, as it considers necessary or advisable. An Option which is not intended to be an Incentive Stock Option (as hereinafter defined) shall be designated a “Nonstatutory Stock Option”.</w:t>
      </w:r>
    </w:p>
    <w:p>
      <w:pPr>
        <w:spacing w:after="0" w:line="132" w:lineRule="exact"/>
        <w:rPr>
          <w:sz w:val="20"/>
          <w:szCs w:val="20"/>
          <w:color w:val="auto"/>
        </w:rPr>
      </w:pPr>
    </w:p>
    <w:p>
      <w:pPr>
        <w:jc w:val="both"/>
        <w:ind w:firstLine="464"/>
        <w:spacing w:after="0" w:line="294" w:lineRule="auto"/>
        <w:tabs>
          <w:tab w:leader="none" w:pos="705" w:val="left"/>
        </w:tabs>
        <w:numPr>
          <w:ilvl w:val="0"/>
          <w:numId w:val="242"/>
        </w:numPr>
        <w:rPr>
          <w:rFonts w:ascii="Arial" w:cs="Arial" w:eastAsia="Arial" w:hAnsi="Arial"/>
          <w:sz w:val="16"/>
          <w:szCs w:val="16"/>
          <w:color w:val="auto"/>
        </w:rPr>
      </w:pPr>
      <w:r>
        <w:rPr>
          <w:rFonts w:ascii="Arial" w:cs="Arial" w:eastAsia="Arial" w:hAnsi="Arial"/>
          <w:sz w:val="16"/>
          <w:szCs w:val="16"/>
          <w:u w:val="single" w:color="auto"/>
          <w:color w:val="auto"/>
        </w:rPr>
        <w:t>Incentive Stock Options</w:t>
      </w:r>
      <w:r>
        <w:rPr>
          <w:rFonts w:ascii="Arial" w:cs="Arial" w:eastAsia="Arial" w:hAnsi="Arial"/>
          <w:sz w:val="16"/>
          <w:szCs w:val="16"/>
          <w:color w:val="auto"/>
        </w:rPr>
        <w:t>. An Option that the Board intends to be an “incentive stock option” as defined in Section 422 of the Code (an “Incentive Stock Option”) shall only be granted to employees of the Company, and any other entities the employees of which are eligible to receive Incentive Stock Options under the Code, and shall be subject to and shall be construed consistently with the requirements of Section 422 of the Code. The Company shall have no liability to a Participant, or any other party, if an Option (or any part thereof) that is intended to be an Incentive Stock Option is not an Incentive Stock Option or for any action taken by the Board pursuant to Section 10(f), including without limitation the conversion of an Incentive Stock Option to a Nonstatutory Stock Option.</w:t>
      </w:r>
    </w:p>
    <w:p>
      <w:pPr>
        <w:spacing w:after="0" w:line="115" w:lineRule="exact"/>
        <w:rPr>
          <w:rFonts w:ascii="Arial" w:cs="Arial" w:eastAsia="Arial" w:hAnsi="Arial"/>
          <w:sz w:val="16"/>
          <w:szCs w:val="16"/>
          <w:color w:val="auto"/>
        </w:rPr>
      </w:pPr>
    </w:p>
    <w:p>
      <w:pPr>
        <w:ind w:firstLine="464"/>
        <w:spacing w:after="0" w:line="370" w:lineRule="auto"/>
        <w:tabs>
          <w:tab w:leader="none" w:pos="695" w:val="left"/>
        </w:tabs>
        <w:numPr>
          <w:ilvl w:val="0"/>
          <w:numId w:val="242"/>
        </w:numPr>
        <w:rPr>
          <w:rFonts w:ascii="Arial" w:cs="Arial" w:eastAsia="Arial" w:hAnsi="Arial"/>
          <w:sz w:val="15"/>
          <w:szCs w:val="15"/>
          <w:color w:val="auto"/>
        </w:rPr>
      </w:pPr>
      <w:r>
        <w:rPr>
          <w:rFonts w:ascii="Arial" w:cs="Arial" w:eastAsia="Arial" w:hAnsi="Arial"/>
          <w:sz w:val="15"/>
          <w:szCs w:val="15"/>
          <w:u w:val="single" w:color="auto"/>
          <w:color w:val="auto"/>
        </w:rPr>
        <w:t>Exercise Price</w:t>
      </w:r>
      <w:r>
        <w:rPr>
          <w:rFonts w:ascii="Arial" w:cs="Arial" w:eastAsia="Arial" w:hAnsi="Arial"/>
          <w:sz w:val="15"/>
          <w:szCs w:val="15"/>
          <w:color w:val="auto"/>
        </w:rPr>
        <w:t>. The Board shall establish the exercise price of each Option and specify such exercise price in the applicable option agreement; provided, however, that the exercise price shall be not less than 100% of the Fair Market Value (as defined below in Section 5(f)(3)) at the time the Option is granted.</w:t>
      </w:r>
    </w:p>
    <w:p>
      <w:pPr>
        <w:spacing w:after="0" w:line="62" w:lineRule="exact"/>
        <w:rPr>
          <w:rFonts w:ascii="Arial" w:cs="Arial" w:eastAsia="Arial" w:hAnsi="Arial"/>
          <w:sz w:val="15"/>
          <w:szCs w:val="15"/>
          <w:color w:val="auto"/>
        </w:rPr>
      </w:pPr>
    </w:p>
    <w:p>
      <w:pPr>
        <w:ind w:firstLine="464"/>
        <w:spacing w:after="0" w:line="268" w:lineRule="auto"/>
        <w:tabs>
          <w:tab w:leader="none" w:pos="705"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Duration of Options</w:t>
      </w:r>
      <w:r>
        <w:rPr>
          <w:rFonts w:ascii="Arial" w:cs="Arial" w:eastAsia="Arial" w:hAnsi="Arial"/>
          <w:sz w:val="18"/>
          <w:szCs w:val="18"/>
          <w:color w:val="auto"/>
        </w:rPr>
        <w:t>. Each Option shall be exercisable at such times and subject to such terms and conditions as the Board may specify in the applicable option agreement; provided, however, that no Option will be granted for a term in excess of 10 years.</w:t>
      </w:r>
    </w:p>
    <w:p>
      <w:pPr>
        <w:spacing w:after="0" w:line="131" w:lineRule="exact"/>
        <w:rPr>
          <w:rFonts w:ascii="Arial" w:cs="Arial" w:eastAsia="Arial" w:hAnsi="Arial"/>
          <w:sz w:val="18"/>
          <w:szCs w:val="18"/>
          <w:color w:val="auto"/>
        </w:rPr>
      </w:pPr>
    </w:p>
    <w:p>
      <w:pPr>
        <w:jc w:val="both"/>
        <w:ind w:firstLine="464"/>
        <w:spacing w:after="0" w:line="259" w:lineRule="auto"/>
        <w:tabs>
          <w:tab w:leader="none" w:pos="695"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 Options may be exercised by delivery to the Company of a written notice of exercise signed by the proper person or by any other form of notice (including electronic notice) approved by the Board together with payment in full as specified in Section 5(f) for the number of shares for which the Option is exercised.</w:t>
      </w:r>
    </w:p>
    <w:p>
      <w:pPr>
        <w:spacing w:after="0" w:line="140" w:lineRule="exact"/>
        <w:rPr>
          <w:rFonts w:ascii="Arial" w:cs="Arial" w:eastAsia="Arial" w:hAnsi="Arial"/>
          <w:sz w:val="18"/>
          <w:szCs w:val="18"/>
          <w:color w:val="auto"/>
        </w:rPr>
      </w:pPr>
    </w:p>
    <w:p>
      <w:pPr>
        <w:ind w:left="680" w:hanging="216"/>
        <w:spacing w:after="0"/>
        <w:tabs>
          <w:tab w:leader="none" w:pos="680" w:val="left"/>
        </w:tabs>
        <w:numPr>
          <w:ilvl w:val="0"/>
          <w:numId w:val="242"/>
        </w:numPr>
        <w:rPr>
          <w:rFonts w:ascii="Arial" w:cs="Arial" w:eastAsia="Arial" w:hAnsi="Arial"/>
          <w:sz w:val="16"/>
          <w:szCs w:val="16"/>
          <w:color w:val="auto"/>
        </w:rPr>
      </w:pPr>
      <w:r>
        <w:rPr>
          <w:rFonts w:ascii="Arial" w:cs="Arial" w:eastAsia="Arial" w:hAnsi="Arial"/>
          <w:sz w:val="16"/>
          <w:szCs w:val="16"/>
          <w:u w:val="single" w:color="auto"/>
          <w:color w:val="auto"/>
        </w:rPr>
        <w:t>Payment Upon Exercise</w:t>
      </w:r>
      <w:r>
        <w:rPr>
          <w:rFonts w:ascii="Arial" w:cs="Arial" w:eastAsia="Arial" w:hAnsi="Arial"/>
          <w:sz w:val="16"/>
          <w:szCs w:val="16"/>
          <w:color w:val="auto"/>
        </w:rPr>
        <w:t>. Common Stock purchased upon the exercise of an Option granted under the Plan shall be paid for as follows:</w:t>
      </w:r>
    </w:p>
    <w:p>
      <w:pPr>
        <w:spacing w:after="0" w:line="113" w:lineRule="exact"/>
        <w:rPr>
          <w:rFonts w:ascii="Arial" w:cs="Arial" w:eastAsia="Arial" w:hAnsi="Arial"/>
          <w:sz w:val="16"/>
          <w:szCs w:val="16"/>
          <w:color w:val="auto"/>
        </w:rPr>
      </w:pPr>
    </w:p>
    <w:p>
      <w:pPr>
        <w:ind w:left="1160" w:hanging="239"/>
        <w:spacing w:after="0"/>
        <w:tabs>
          <w:tab w:leader="none" w:pos="116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in cash or by check, payable to the order of the Company;</w:t>
      </w:r>
    </w:p>
    <w:p>
      <w:pPr>
        <w:spacing w:after="0" w:line="171" w:lineRule="exact"/>
        <w:rPr>
          <w:rFonts w:ascii="Arial" w:cs="Arial" w:eastAsia="Arial" w:hAnsi="Arial"/>
          <w:sz w:val="18"/>
          <w:szCs w:val="18"/>
          <w:color w:val="auto"/>
        </w:rPr>
      </w:pPr>
    </w:p>
    <w:p>
      <w:pPr>
        <w:jc w:val="both"/>
        <w:ind w:firstLine="921"/>
        <w:spacing w:after="0" w:line="256" w:lineRule="auto"/>
        <w:tabs>
          <w:tab w:leader="none" w:pos="1193" w:val="left"/>
        </w:tabs>
        <w:numPr>
          <w:ilvl w:val="1"/>
          <w:numId w:val="242"/>
        </w:numPr>
        <w:rPr>
          <w:rFonts w:ascii="Arial" w:cs="Arial" w:eastAsia="Arial" w:hAnsi="Arial"/>
          <w:sz w:val="18"/>
          <w:szCs w:val="18"/>
          <w:color w:val="auto"/>
        </w:rPr>
      </w:pPr>
      <w:r>
        <w:rPr>
          <w:rFonts w:ascii="Arial" w:cs="Arial" w:eastAsia="Arial" w:hAnsi="Arial"/>
          <w:sz w:val="18"/>
          <w:szCs w:val="18"/>
          <w:color w:val="auto"/>
        </w:rPr>
        <w:t>except as the Board may otherwise provide in an option agreement,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cash or a check sufficient to pay the exercise price and any required tax withholding;</w:t>
      </w:r>
    </w:p>
    <w:p>
      <w:pPr>
        <w:spacing w:after="0" w:line="143" w:lineRule="exact"/>
        <w:rPr>
          <w:rFonts w:ascii="Arial" w:cs="Arial" w:eastAsia="Arial" w:hAnsi="Arial"/>
          <w:sz w:val="18"/>
          <w:szCs w:val="18"/>
          <w:color w:val="auto"/>
        </w:rPr>
      </w:pPr>
    </w:p>
    <w:p>
      <w:pPr>
        <w:jc w:val="both"/>
        <w:ind w:firstLine="921"/>
        <w:spacing w:after="0" w:line="298" w:lineRule="auto"/>
        <w:tabs>
          <w:tab w:leader="none" w:pos="1164" w:val="left"/>
        </w:tabs>
        <w:numPr>
          <w:ilvl w:val="1"/>
          <w:numId w:val="242"/>
        </w:numPr>
        <w:rPr>
          <w:rFonts w:ascii="Arial" w:cs="Arial" w:eastAsia="Arial" w:hAnsi="Arial"/>
          <w:sz w:val="16"/>
          <w:szCs w:val="16"/>
          <w:color w:val="auto"/>
        </w:rPr>
      </w:pPr>
      <w:r>
        <w:rPr>
          <w:rFonts w:ascii="Arial" w:cs="Arial" w:eastAsia="Arial" w:hAnsi="Arial"/>
          <w:sz w:val="16"/>
          <w:szCs w:val="16"/>
          <w:color w:val="auto"/>
        </w:rPr>
        <w:t>when the Common Stock is registered under the Securities Exchange Act of 1934 (the “Exchange Act”), by delivery of shares of Common Stock owned by the Participant valued at their fair market value as determined by (or in a manner approved by) the Board (“Fair Market Value”), provided (i) such method of payment is then permitted under applicable law, (ii) such Common Stock, if acquired directly from the Company, was owned by the Participant at least six months prior to such delivery and (iii) such Common Stock is not subject to any repurchase, forfeiture, unfulfilled vesting or other similar requirements;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9" w:right="239" w:bottom="1440" w:gutter="0" w:footer="0" w:header="0"/>
        </w:sectPr>
      </w:pPr>
    </w:p>
    <w:bookmarkStart w:id="152" w:name="page153"/>
    <w:bookmarkEnd w:id="152"/>
    <w:p>
      <w:pPr>
        <w:ind w:firstLine="921"/>
        <w:spacing w:after="0" w:line="332" w:lineRule="auto"/>
        <w:tabs>
          <w:tab w:leader="none" w:pos="1168" w:val="left"/>
        </w:tabs>
        <w:numPr>
          <w:ilvl w:val="2"/>
          <w:numId w:val="2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extent permitted by applicable law and by the Board and provided for in the option agreement, by (i) delivery of a promissory note of the Participant to the Company on terms determined by the Board, or (ii) payment of such other lawful consideration as the Board may determine; or</w:t>
      </w:r>
    </w:p>
    <w:p>
      <w:pPr>
        <w:spacing w:after="0" w:line="85" w:lineRule="exact"/>
        <w:rPr>
          <w:rFonts w:ascii="Arial" w:cs="Arial" w:eastAsia="Arial" w:hAnsi="Arial"/>
          <w:sz w:val="16"/>
          <w:szCs w:val="16"/>
          <w:color w:val="auto"/>
        </w:rPr>
      </w:pPr>
    </w:p>
    <w:p>
      <w:pPr>
        <w:ind w:left="1160" w:hanging="239"/>
        <w:spacing w:after="0"/>
        <w:tabs>
          <w:tab w:leader="none" w:pos="1160" w:val="left"/>
        </w:tabs>
        <w:numPr>
          <w:ilvl w:val="2"/>
          <w:numId w:val="243"/>
        </w:numPr>
        <w:rPr>
          <w:rFonts w:ascii="Arial" w:cs="Arial" w:eastAsia="Arial" w:hAnsi="Arial"/>
          <w:sz w:val="18"/>
          <w:szCs w:val="18"/>
          <w:color w:val="auto"/>
        </w:rPr>
      </w:pPr>
      <w:r>
        <w:rPr>
          <w:rFonts w:ascii="Arial" w:cs="Arial" w:eastAsia="Arial" w:hAnsi="Arial"/>
          <w:sz w:val="18"/>
          <w:szCs w:val="18"/>
          <w:color w:val="auto"/>
        </w:rPr>
        <w:t>by any combination of the above permitted forms of payment.</w:t>
      </w:r>
    </w:p>
    <w:p>
      <w:pPr>
        <w:spacing w:after="0" w:line="171" w:lineRule="exact"/>
        <w:rPr>
          <w:rFonts w:ascii="Arial" w:cs="Arial" w:eastAsia="Arial" w:hAnsi="Arial"/>
          <w:sz w:val="18"/>
          <w:szCs w:val="18"/>
          <w:color w:val="auto"/>
        </w:rPr>
      </w:pPr>
    </w:p>
    <w:p>
      <w:pPr>
        <w:jc w:val="both"/>
        <w:ind w:firstLine="464"/>
        <w:spacing w:after="0" w:line="256" w:lineRule="auto"/>
        <w:tabs>
          <w:tab w:leader="none" w:pos="705" w:val="left"/>
        </w:tabs>
        <w:numPr>
          <w:ilvl w:val="1"/>
          <w:numId w:val="244"/>
        </w:numPr>
        <w:rPr>
          <w:rFonts w:ascii="Arial" w:cs="Arial" w:eastAsia="Arial" w:hAnsi="Arial"/>
          <w:sz w:val="18"/>
          <w:szCs w:val="18"/>
          <w:color w:val="auto"/>
        </w:rPr>
      </w:pPr>
      <w:r>
        <w:rPr>
          <w:rFonts w:ascii="Arial" w:cs="Arial" w:eastAsia="Arial" w:hAnsi="Arial"/>
          <w:sz w:val="18"/>
          <w:szCs w:val="18"/>
          <w:u w:val="single" w:color="auto"/>
          <w:color w:val="auto"/>
        </w:rPr>
        <w:t>Substitute Options</w:t>
      </w:r>
      <w:r>
        <w:rPr>
          <w:rFonts w:ascii="Arial" w:cs="Arial" w:eastAsia="Arial" w:hAnsi="Arial"/>
          <w:sz w:val="18"/>
          <w:szCs w:val="18"/>
          <w:color w:val="auto"/>
        </w:rPr>
        <w:t>. In connection with a merger or consolidation of an entity with the Company or the acquisition by the Company of property or stock of an entity, the Board may grant Options in substitution for any options or other stock or stock-based awards granted by such entity or an affiliate thereof. Substitute Options may be granted on such terms as the Board deems appropriate in the circumstances, notwithstanding any limitations on Options contained in the other sections of this Section 5 or in Section 2.</w:t>
      </w:r>
    </w:p>
    <w:p>
      <w:pPr>
        <w:spacing w:after="0" w:line="264" w:lineRule="exact"/>
        <w:rPr>
          <w:rFonts w:ascii="Arial" w:cs="Arial" w:eastAsia="Arial" w:hAnsi="Arial"/>
          <w:sz w:val="18"/>
          <w:szCs w:val="18"/>
          <w:color w:val="auto"/>
        </w:rPr>
      </w:pPr>
    </w:p>
    <w:p>
      <w:pPr>
        <w:ind w:left="460" w:hanging="452"/>
        <w:spacing w:after="0"/>
        <w:tabs>
          <w:tab w:leader="none" w:pos="460"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Stock Appreciation Rights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firstLine="464"/>
        <w:spacing w:after="0" w:line="294" w:lineRule="auto"/>
        <w:tabs>
          <w:tab w:leader="none" w:pos="709" w:val="left"/>
        </w:tabs>
        <w:numPr>
          <w:ilvl w:val="1"/>
          <w:numId w:val="245"/>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A Stock Appreciation Right, or SAR, is an Award entitling the holder, upon exercise, to receive an amount in cash or Common Stock or a combination thereof (such form to be determined by the Board) determined in whole or in part by reference to appreciation, from and after the date of grant, in the fair market value of a share of Common Stock. SARs may be based solely on appreciation in the fair market value of Common Stock or on a comparison of such appreciation with some other measure of market growth such as (but not limited to) appreciation in a recognized market index. The date as of which such appreciation or other measure is determined shall be the exercise date unless another date is specified by the Board in the SAR Award.</w:t>
      </w:r>
    </w:p>
    <w:p>
      <w:pPr>
        <w:spacing w:after="0" w:line="115" w:lineRule="exact"/>
        <w:rPr>
          <w:rFonts w:ascii="Arial" w:cs="Arial" w:eastAsia="Arial" w:hAnsi="Arial"/>
          <w:sz w:val="16"/>
          <w:szCs w:val="16"/>
          <w:color w:val="auto"/>
        </w:rPr>
      </w:pPr>
    </w:p>
    <w:p>
      <w:pPr>
        <w:ind w:left="720" w:hanging="256"/>
        <w:spacing w:after="0"/>
        <w:tabs>
          <w:tab w:leader="none" w:pos="720" w:val="left"/>
        </w:tabs>
        <w:numPr>
          <w:ilvl w:val="1"/>
          <w:numId w:val="245"/>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Stock Appreciation Rights may be granted in tandem with, or independently of, Options granted under the Plan.</w:t>
      </w:r>
    </w:p>
    <w:p>
      <w:pPr>
        <w:spacing w:after="0" w:line="90" w:lineRule="exact"/>
        <w:rPr>
          <w:rFonts w:ascii="Arial" w:cs="Arial" w:eastAsia="Arial" w:hAnsi="Arial"/>
          <w:sz w:val="18"/>
          <w:szCs w:val="18"/>
          <w:color w:val="auto"/>
        </w:rPr>
      </w:pPr>
    </w:p>
    <w:p>
      <w:pPr>
        <w:jc w:val="both"/>
        <w:ind w:firstLine="921"/>
        <w:spacing w:after="0" w:line="290" w:lineRule="auto"/>
        <w:tabs>
          <w:tab w:leader="none" w:pos="1189" w:val="left"/>
        </w:tabs>
        <w:numPr>
          <w:ilvl w:val="2"/>
          <w:numId w:val="245"/>
        </w:numPr>
        <w:rPr>
          <w:rFonts w:ascii="Arial" w:cs="Arial" w:eastAsia="Arial" w:hAnsi="Arial"/>
          <w:sz w:val="16"/>
          <w:szCs w:val="16"/>
          <w:color w:val="auto"/>
        </w:rPr>
      </w:pPr>
      <w:r>
        <w:rPr>
          <w:rFonts w:ascii="Arial" w:cs="Arial" w:eastAsia="Arial" w:hAnsi="Arial"/>
          <w:sz w:val="16"/>
          <w:szCs w:val="16"/>
          <w:u w:val="single" w:color="auto"/>
          <w:color w:val="auto"/>
        </w:rPr>
        <w:t>Tandem Awards</w:t>
      </w:r>
      <w:r>
        <w:rPr>
          <w:rFonts w:ascii="Arial" w:cs="Arial" w:eastAsia="Arial" w:hAnsi="Arial"/>
          <w:sz w:val="16"/>
          <w:szCs w:val="16"/>
          <w:color w:val="auto"/>
        </w:rPr>
        <w:t>. When Stock Appreciation Rights are expressly granted in tandem with Options, (i) the Stock Appreciation Right will be exercisable only at such time or times, and to the extent, that the related Option is exercisable and will be exercisable in accordance with the procedure required for exercise of the related Option; (ii) the Stock Appreciation Right will terminate and no longer be exercisable upon the termination or exercise of the related Option, except that a Stock Appreciation Right granted with respect to less than the full number of shares covered by an Option will not be reduced until the number of shares as to which the related Option has been exercised or has terminated exceeds the number of shares not covered by the Stock Appreciation Right; (iii) the Option will terminate and no longer be exercisable upon the exercise of the related Stock Appreciation Right; and (iv) the Stock Appreciation Right will be transferable only with the related Option.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53" w:name="page154"/>
    <w:bookmarkEnd w:id="153"/>
    <w:p>
      <w:pPr>
        <w:ind w:right="20" w:firstLine="921"/>
        <w:spacing w:after="0" w:line="268" w:lineRule="auto"/>
        <w:tabs>
          <w:tab w:leader="none" w:pos="1161" w:val="left"/>
        </w:tabs>
        <w:numPr>
          <w:ilvl w:val="2"/>
          <w:numId w:val="24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Independent SARs</w:t>
      </w:r>
      <w:r>
        <w:rPr>
          <w:rFonts w:ascii="Arial" w:cs="Arial" w:eastAsia="Arial" w:hAnsi="Arial"/>
          <w:sz w:val="18"/>
          <w:szCs w:val="18"/>
          <w:color w:val="auto"/>
        </w:rPr>
        <w:t>. A Stock Appreciation Right not expressly granted in tandem with an Option will become exercisable at such time or times, and on such conditions, as the Board may specify in the SAR Award.</w:t>
      </w:r>
    </w:p>
    <w:p>
      <w:pPr>
        <w:spacing w:after="0" w:line="131" w:lineRule="exact"/>
        <w:rPr>
          <w:rFonts w:ascii="Arial" w:cs="Arial" w:eastAsia="Arial" w:hAnsi="Arial"/>
          <w:sz w:val="18"/>
          <w:szCs w:val="18"/>
          <w:color w:val="auto"/>
        </w:rPr>
      </w:pPr>
    </w:p>
    <w:p>
      <w:pPr>
        <w:ind w:firstLine="464"/>
        <w:spacing w:after="0" w:line="332" w:lineRule="auto"/>
        <w:tabs>
          <w:tab w:leader="none" w:pos="695" w:val="left"/>
        </w:tabs>
        <w:numPr>
          <w:ilvl w:val="1"/>
          <w:numId w:val="247"/>
        </w:numPr>
        <w:rPr>
          <w:rFonts w:ascii="Arial" w:cs="Arial" w:eastAsia="Arial" w:hAnsi="Arial"/>
          <w:sz w:val="16"/>
          <w:szCs w:val="16"/>
          <w:color w:val="auto"/>
        </w:rPr>
      </w:pPr>
      <w:r>
        <w:rPr>
          <w:rFonts w:ascii="Arial" w:cs="Arial" w:eastAsia="Arial" w:hAnsi="Arial"/>
          <w:sz w:val="16"/>
          <w:szCs w:val="16"/>
          <w:u w:val="single" w:color="auto"/>
          <w:color w:val="auto"/>
        </w:rPr>
        <w:t>Exercise</w:t>
      </w:r>
      <w:r>
        <w:rPr>
          <w:rFonts w:ascii="Arial" w:cs="Arial" w:eastAsia="Arial" w:hAnsi="Arial"/>
          <w:sz w:val="16"/>
          <w:szCs w:val="16"/>
          <w:color w:val="auto"/>
        </w:rPr>
        <w:t>. Stock Appreciation Rights may be exercised by delivery to the Company of a written notice of exercise signed by the proper person or by any other form of notice (including electronic notice) approved by the Board, together with any other documents required by the Board.</w:t>
      </w:r>
    </w:p>
    <w:p>
      <w:pPr>
        <w:spacing w:after="0" w:line="206" w:lineRule="exact"/>
        <w:rPr>
          <w:rFonts w:ascii="Arial" w:cs="Arial" w:eastAsia="Arial" w:hAnsi="Arial"/>
          <w:sz w:val="16"/>
          <w:szCs w:val="16"/>
          <w:color w:val="auto"/>
        </w:rPr>
      </w:pPr>
    </w:p>
    <w:p>
      <w:pPr>
        <w:ind w:left="460" w:hanging="452"/>
        <w:spacing w:after="0"/>
        <w:tabs>
          <w:tab w:leader="none" w:pos="460"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Restricted Stock</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firstLine="464"/>
        <w:spacing w:after="0" w:line="256" w:lineRule="auto"/>
        <w:tabs>
          <w:tab w:leader="none" w:pos="695" w:val="left"/>
        </w:tabs>
        <w:numPr>
          <w:ilvl w:val="1"/>
          <w:numId w:val="248"/>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Board may grant Awards entitling recipients to acquire shares of Common Stock, subject to the right of the Company to 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 (each, a “Restricted Stock Award”).</w:t>
      </w:r>
    </w:p>
    <w:p>
      <w:pPr>
        <w:spacing w:after="0" w:line="143" w:lineRule="exact"/>
        <w:rPr>
          <w:rFonts w:ascii="Arial" w:cs="Arial" w:eastAsia="Arial" w:hAnsi="Arial"/>
          <w:sz w:val="18"/>
          <w:szCs w:val="18"/>
          <w:color w:val="auto"/>
        </w:rPr>
      </w:pPr>
    </w:p>
    <w:p>
      <w:pPr>
        <w:ind w:right="20" w:firstLine="464"/>
        <w:spacing w:after="0" w:line="268" w:lineRule="auto"/>
        <w:tabs>
          <w:tab w:leader="none" w:pos="719" w:val="left"/>
        </w:tabs>
        <w:numPr>
          <w:ilvl w:val="1"/>
          <w:numId w:val="248"/>
        </w:numPr>
        <w:rPr>
          <w:rFonts w:ascii="Arial" w:cs="Arial" w:eastAsia="Arial" w:hAnsi="Arial"/>
          <w:sz w:val="18"/>
          <w:szCs w:val="18"/>
          <w:color w:val="auto"/>
        </w:rPr>
      </w:pPr>
      <w:r>
        <w:rPr>
          <w:rFonts w:ascii="Arial" w:cs="Arial" w:eastAsia="Arial" w:hAnsi="Arial"/>
          <w:sz w:val="18"/>
          <w:szCs w:val="18"/>
          <w:u w:val="single" w:color="auto"/>
          <w:color w:val="auto"/>
        </w:rPr>
        <w:t>Terms and Conditions</w:t>
      </w:r>
      <w:r>
        <w:rPr>
          <w:rFonts w:ascii="Arial" w:cs="Arial" w:eastAsia="Arial" w:hAnsi="Arial"/>
          <w:sz w:val="18"/>
          <w:szCs w:val="18"/>
          <w:color w:val="auto"/>
        </w:rPr>
        <w:t>. The Board shall determine the terms and conditions of a Restricted Stock Award, including the conditions for repurchase (or forfeiture) and the issue price, if any.</w:t>
      </w:r>
    </w:p>
    <w:p>
      <w:pPr>
        <w:spacing w:after="0" w:line="131" w:lineRule="exact"/>
        <w:rPr>
          <w:rFonts w:ascii="Arial" w:cs="Arial" w:eastAsia="Arial" w:hAnsi="Arial"/>
          <w:sz w:val="18"/>
          <w:szCs w:val="18"/>
          <w:color w:val="auto"/>
        </w:rPr>
      </w:pPr>
    </w:p>
    <w:p>
      <w:pPr>
        <w:jc w:val="both"/>
        <w:ind w:firstLine="464"/>
        <w:spacing w:after="0" w:line="291" w:lineRule="auto"/>
        <w:tabs>
          <w:tab w:leader="none" w:pos="709" w:val="left"/>
        </w:tabs>
        <w:numPr>
          <w:ilvl w:val="1"/>
          <w:numId w:val="248"/>
        </w:numPr>
        <w:rPr>
          <w:rFonts w:ascii="Arial" w:cs="Arial" w:eastAsia="Arial" w:hAnsi="Arial"/>
          <w:sz w:val="16"/>
          <w:szCs w:val="16"/>
          <w:color w:val="auto"/>
        </w:rPr>
      </w:pPr>
      <w:r>
        <w:rPr>
          <w:rFonts w:ascii="Arial" w:cs="Arial" w:eastAsia="Arial" w:hAnsi="Arial"/>
          <w:sz w:val="16"/>
          <w:szCs w:val="16"/>
          <w:u w:val="single" w:color="auto"/>
          <w:color w:val="auto"/>
        </w:rPr>
        <w:t>Stock Certificates</w:t>
      </w:r>
      <w:r>
        <w:rPr>
          <w:rFonts w:ascii="Arial" w:cs="Arial" w:eastAsia="Arial" w:hAnsi="Arial"/>
          <w:sz w:val="16"/>
          <w:szCs w:val="16"/>
          <w:color w:val="auto"/>
        </w:rPr>
        <w:t>. Any stock certificates issued in respect of a Restricted Stock Award shall be registered in the name of the Participant and, unless otherwise determined by the Board, deposited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the beneficiary designated, in a manner determined by the Board, by a Participant to receive amounts due or exercise rights of the Participant in the event of the Participant’s death (the “Designated Beneficiary”). In the absence of an effective designation by a Participant, “Designated Beneficiary” shall mean the Participant’s estate.</w:t>
      </w:r>
    </w:p>
    <w:p>
      <w:pPr>
        <w:spacing w:after="0" w:line="120" w:lineRule="exact"/>
        <w:rPr>
          <w:rFonts w:ascii="Arial" w:cs="Arial" w:eastAsia="Arial" w:hAnsi="Arial"/>
          <w:sz w:val="16"/>
          <w:szCs w:val="16"/>
          <w:color w:val="auto"/>
        </w:rPr>
      </w:pPr>
    </w:p>
    <w:p>
      <w:pPr>
        <w:jc w:val="both"/>
        <w:ind w:firstLine="464"/>
        <w:spacing w:after="0" w:line="256" w:lineRule="auto"/>
        <w:tabs>
          <w:tab w:leader="none" w:pos="719" w:val="left"/>
        </w:tabs>
        <w:numPr>
          <w:ilvl w:val="1"/>
          <w:numId w:val="248"/>
        </w:numPr>
        <w:rPr>
          <w:rFonts w:ascii="Arial" w:cs="Arial" w:eastAsia="Arial" w:hAnsi="Arial"/>
          <w:sz w:val="18"/>
          <w:szCs w:val="18"/>
          <w:color w:val="auto"/>
        </w:rPr>
      </w:pPr>
      <w:r>
        <w:rPr>
          <w:rFonts w:ascii="Arial" w:cs="Arial" w:eastAsia="Arial" w:hAnsi="Arial"/>
          <w:sz w:val="18"/>
          <w:szCs w:val="18"/>
          <w:u w:val="single" w:color="auto"/>
          <w:color w:val="auto"/>
        </w:rPr>
        <w:t>Deferred Delivery of Shares</w:t>
      </w:r>
      <w:r>
        <w:rPr>
          <w:rFonts w:ascii="Arial" w:cs="Arial" w:eastAsia="Arial" w:hAnsi="Arial"/>
          <w:sz w:val="18"/>
          <w:szCs w:val="18"/>
          <w:color w:val="auto"/>
        </w:rPr>
        <w:t>. The Board may, at the time any Restricted Stock Award is granted, provide that, at the time Common Stock would otherwise be delivered pursuant to the Award, the Participant shall instead receive an instrument evidencing the right to future delivery of Common Stock at such time or times, and on such conditions, as the Board shall specify. The Board may at any time accelerate the time at which delivery of all or any part of the Common Stock shall take place.</w:t>
      </w:r>
    </w:p>
    <w:p>
      <w:pPr>
        <w:spacing w:after="0" w:line="264" w:lineRule="exact"/>
        <w:rPr>
          <w:rFonts w:ascii="Arial" w:cs="Arial" w:eastAsia="Arial" w:hAnsi="Arial"/>
          <w:sz w:val="18"/>
          <w:szCs w:val="18"/>
          <w:color w:val="auto"/>
        </w:rPr>
      </w:pPr>
    </w:p>
    <w:p>
      <w:pPr>
        <w:ind w:left="460" w:hanging="452"/>
        <w:spacing w:after="0"/>
        <w:tabs>
          <w:tab w:leader="none" w:pos="460"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Other Stock-Based Awards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Other Awards of shares of Common Stock, and other Awards that are valued in whole or in part by reference to, or are otherwise based on, shares of</w:t>
      </w:r>
    </w:p>
    <w:p>
      <w:pPr>
        <w:spacing w:after="0" w:line="38"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Common Stock or other property, may be granted hereunder to Participants (“Other Stock Unit Awards”), including without limitation Awards entitling recipients to receive shares of Common Stock to be delivered in the future. Such Other Stock Unit Awards shall also be available as a form of payment in the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54" w:name="page155"/>
    <w:bookmarkEnd w:id="154"/>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settlement of other Awards granted under the Plan or as payment in lieu of compensation to which a Participant is otherwise entitled. Other Stock Unit Awards may be paid in shares of Common Stock or cash, as the Board shall determine. Subject to the provisions of the Plan, the Board shall determine the conditions of each Other Stock Unit Awards, including any purchase price applicable thereto. At the time any Award is granted, the Board may provide that, at the time Common Stock would otherwise be delivered pursuant to the Award, the Participant will instead receive an instrument evidencing the Participant’s right to future delivery of the Common Stock.</w:t>
      </w:r>
    </w:p>
    <w:p>
      <w:pPr>
        <w:spacing w:after="0" w:line="264" w:lineRule="exact"/>
        <w:rPr>
          <w:sz w:val="20"/>
          <w:szCs w:val="20"/>
          <w:color w:val="auto"/>
        </w:rPr>
      </w:pPr>
    </w:p>
    <w:p>
      <w:pPr>
        <w:ind w:left="460" w:hanging="452"/>
        <w:spacing w:after="0"/>
        <w:tabs>
          <w:tab w:leader="none" w:pos="460"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Adjustments for Changes in Common Stock and Certain Other Events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firstLine="464"/>
        <w:spacing w:after="0" w:line="291" w:lineRule="auto"/>
        <w:tabs>
          <w:tab w:leader="none" w:pos="695" w:val="left"/>
        </w:tabs>
        <w:numPr>
          <w:ilvl w:val="1"/>
          <w:numId w:val="249"/>
        </w:numPr>
        <w:rPr>
          <w:rFonts w:ascii="Arial" w:cs="Arial" w:eastAsia="Arial" w:hAnsi="Arial"/>
          <w:sz w:val="16"/>
          <w:szCs w:val="16"/>
          <w:color w:val="auto"/>
        </w:rPr>
      </w:pPr>
      <w:r>
        <w:rPr>
          <w:rFonts w:ascii="Arial" w:cs="Arial" w:eastAsia="Arial" w:hAnsi="Arial"/>
          <w:sz w:val="16"/>
          <w:szCs w:val="16"/>
          <w:u w:val="single" w:color="auto"/>
          <w:color w:val="auto"/>
        </w:rPr>
        <w:t>Changes in Capitalization</w:t>
      </w:r>
      <w:r>
        <w:rPr>
          <w:rFonts w:ascii="Arial" w:cs="Arial" w:eastAsia="Arial" w:hAnsi="Arial"/>
          <w:sz w:val="16"/>
          <w:szCs w:val="16"/>
          <w:color w:val="auto"/>
        </w:rPr>
        <w:t>. In the event of any stock split, reverse stock split, stock dividend, recapitalization, combination of shares, reclassification of shares, spin-off or other similar change in capitalization or event, or any distribution to holders of Common Stock other than an ordinary cash dividend, (i) the number and class of securities available under this Plan, (ii) the sub-limits set forth in Section 4(b), (iii) the number and class of securities and exercise price per share of each outstanding Option, (iv) the share- and per-share provisions of each Stock Appreciation Right, (v) the repurchase price per share subject to each outstanding Restricted Stock Award and (vi) the share- and per-share-related provisions of each outstanding Other Stock Unit Award, shall be equitably adjusted by the Company (or substituted Awards may be made, if applicable).</w:t>
      </w:r>
    </w:p>
    <w:p>
      <w:pPr>
        <w:spacing w:after="0" w:line="120" w:lineRule="exact"/>
        <w:rPr>
          <w:rFonts w:ascii="Arial" w:cs="Arial" w:eastAsia="Arial" w:hAnsi="Arial"/>
          <w:sz w:val="16"/>
          <w:szCs w:val="16"/>
          <w:color w:val="auto"/>
        </w:rPr>
      </w:pPr>
    </w:p>
    <w:p>
      <w:pPr>
        <w:ind w:left="720" w:hanging="256"/>
        <w:spacing w:after="0"/>
        <w:tabs>
          <w:tab w:leader="none" w:pos="720" w:val="left"/>
        </w:tabs>
        <w:numPr>
          <w:ilvl w:val="1"/>
          <w:numId w:val="249"/>
        </w:numPr>
        <w:rPr>
          <w:rFonts w:ascii="Arial" w:cs="Arial" w:eastAsia="Arial" w:hAnsi="Arial"/>
          <w:sz w:val="18"/>
          <w:szCs w:val="18"/>
          <w:color w:val="auto"/>
        </w:rPr>
      </w:pPr>
      <w:r>
        <w:rPr>
          <w:rFonts w:ascii="Arial" w:cs="Arial" w:eastAsia="Arial" w:hAnsi="Arial"/>
          <w:sz w:val="18"/>
          <w:szCs w:val="18"/>
          <w:u w:val="single" w:color="auto"/>
          <w:color w:val="auto"/>
        </w:rPr>
        <w:t>Reorganization Events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firstLine="921"/>
        <w:spacing w:after="0" w:line="256" w:lineRule="auto"/>
        <w:tabs>
          <w:tab w:leader="none" w:pos="1161" w:val="left"/>
        </w:tabs>
        <w:numPr>
          <w:ilvl w:val="2"/>
          <w:numId w:val="249"/>
        </w:numPr>
        <w:rPr>
          <w:rFonts w:ascii="Arial" w:cs="Arial" w:eastAsia="Arial" w:hAnsi="Arial"/>
          <w:sz w:val="18"/>
          <w:szCs w:val="18"/>
          <w:color w:val="auto"/>
        </w:rPr>
      </w:pPr>
      <w:r>
        <w:rPr>
          <w:rFonts w:ascii="Arial" w:cs="Arial" w:eastAsia="Arial" w:hAnsi="Arial"/>
          <w:sz w:val="18"/>
          <w:szCs w:val="18"/>
          <w:u w:val="single" w:color="auto"/>
          <w:color w:val="auto"/>
        </w:rPr>
        <w:t>Definition</w:t>
      </w:r>
      <w:r>
        <w:rPr>
          <w:rFonts w:ascii="Arial" w:cs="Arial" w:eastAsia="Arial" w:hAnsi="Arial"/>
          <w:sz w:val="18"/>
          <w:szCs w:val="18"/>
          <w:color w:val="auto"/>
        </w:rPr>
        <w:t>. A “Reorganization Event” shall mean: (a) any merger or consolidation of the Company with or into another entity as a result of which all of the Common Stock of the Company is converted into or exchanged for the right to receive cash, securities or other property, (b) any exchange of all of the Common Stock of the Company for cash, securities or other property pursuant to a share exchange transaction or (c) any liquidation or dissolution of the Company.</w:t>
      </w:r>
    </w:p>
    <w:p>
      <w:pPr>
        <w:spacing w:after="0" w:line="143" w:lineRule="exact"/>
        <w:rPr>
          <w:rFonts w:ascii="Arial" w:cs="Arial" w:eastAsia="Arial" w:hAnsi="Arial"/>
          <w:sz w:val="18"/>
          <w:szCs w:val="18"/>
          <w:color w:val="auto"/>
        </w:rPr>
      </w:pPr>
    </w:p>
    <w:p>
      <w:pPr>
        <w:jc w:val="both"/>
        <w:ind w:firstLine="921"/>
        <w:spacing w:after="0" w:line="282" w:lineRule="auto"/>
        <w:tabs>
          <w:tab w:leader="none" w:pos="1161" w:val="left"/>
        </w:tabs>
        <w:numPr>
          <w:ilvl w:val="2"/>
          <w:numId w:val="249"/>
        </w:numPr>
        <w:rPr>
          <w:rFonts w:ascii="Arial" w:cs="Arial" w:eastAsia="Arial" w:hAnsi="Arial"/>
          <w:sz w:val="16"/>
          <w:szCs w:val="16"/>
          <w:color w:val="auto"/>
        </w:rPr>
      </w:pPr>
      <w:r>
        <w:rPr>
          <w:rFonts w:ascii="Arial" w:cs="Arial" w:eastAsia="Arial" w:hAnsi="Arial"/>
          <w:sz w:val="16"/>
          <w:szCs w:val="16"/>
          <w:u w:val="single" w:color="auto"/>
          <w:color w:val="auto"/>
        </w:rPr>
        <w:t>Consequences of a Reorganization Event on Awards Other than Restricted Stock Awards</w:t>
      </w:r>
      <w:r>
        <w:rPr>
          <w:rFonts w:ascii="Arial" w:cs="Arial" w:eastAsia="Arial" w:hAnsi="Arial"/>
          <w:sz w:val="16"/>
          <w:szCs w:val="16"/>
          <w:color w:val="auto"/>
        </w:rPr>
        <w:t>. In connection with a Reorganization Event, the Board shall take any one or more of the following actions as to all or any outstanding Awards on such terms as the Board determines: (i) provide that Awards shall be assumed, or substantially equivalent Awards shall be substituted, by the acquiring or succeeding corporation (or an affiliate thereof), (ii) upon written notice to a Participant, provide that the Participant’s unexercised Options or other unexercised Awards shall become exercisable in full and will terminate immediately prior to the consummation of such Reorganization Event unless exercised by the Participant within a specified period following the date of such notice, (iii) provide that outstanding Awards shall become realizable or deliverable, or restrictions applicable to an Award shall lapse, in whole or in part prior to or upon such Reorganization Event, (iv) in the event of a Reorganization Event under the terms of which holders of Common Stock will receive upon consummation thereof a cash payment for each share surrendered in the Reorganization Event (the “Acquisition Price”), make or provide for a cash payment to a Participant equal to</w:t>
      </w:r>
    </w:p>
    <w:p>
      <w:pPr>
        <w:spacing w:after="0" w:line="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 the Acquisition Price times the number of shares of Common Stock subject to the Participant’s Options or other Awards (to the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55" w:name="page156"/>
    <w:bookmarkEnd w:id="155"/>
    <w:p>
      <w:pPr>
        <w:jc w:val="both"/>
        <w:ind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extent the exercise price does not exceed the Acquisition Price) minus (B) the aggregate exercise price of all such outstanding Options or other Awards, in exchange for the termination of such Options or other Awards, (v) provide that, in connection with a liquidation or dissolution of the Company, Awards shall convert into the right to receive liquidation proceeds (if applicable, net of the exercise price thereof) and (vi) any combination of the foregoing.</w:t>
      </w:r>
    </w:p>
    <w:p>
      <w:pPr>
        <w:spacing w:after="0" w:line="107" w:lineRule="exact"/>
        <w:rPr>
          <w:sz w:val="20"/>
          <w:szCs w:val="20"/>
          <w:color w:val="auto"/>
        </w:rPr>
      </w:pPr>
    </w:p>
    <w:p>
      <w:pPr>
        <w:jc w:val="both"/>
        <w:ind w:firstLine="913"/>
        <w:spacing w:after="0" w:line="288" w:lineRule="auto"/>
        <w:rPr>
          <w:sz w:val="20"/>
          <w:szCs w:val="20"/>
          <w:color w:val="auto"/>
        </w:rPr>
      </w:pPr>
      <w:r>
        <w:rPr>
          <w:rFonts w:ascii="Arial" w:cs="Arial" w:eastAsia="Arial" w:hAnsi="Arial"/>
          <w:sz w:val="16"/>
          <w:szCs w:val="16"/>
          <w:color w:val="auto"/>
        </w:rPr>
        <w:t>For purposes of clause (i) above, an Option shall be considered assumed if, following consummation of the Reorganization Event, the Option confers the right to purchase, for each share of Common Stock subject to the Option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provided, however,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of Options to consist solely of common stock of the acquiring or succeeding corporation (or an affiliate thereof) equivalent in fair market value to the per share consideration received by holders of outstanding shares of Common Stock as a result of the Reorganization Event.</w:t>
      </w:r>
    </w:p>
    <w:p>
      <w:pPr>
        <w:spacing w:after="0" w:line="120"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To the extent all or any portion of an Option becomes exercisable solely as a result of clause (ii) above, the Board may provide that upon exercise of such Option the Participant shall receive shares subject to a right of repurchase by the Company or its successor at the Option exercise price; such repurchase right (x) shall lapse at the same rate as the Option would have become exercisable under its terms and (y) shall not apply to any shares subject to the Option that were exercisable under its terms without regard to clause (ii) above.</w:t>
      </w:r>
    </w:p>
    <w:p>
      <w:pPr>
        <w:spacing w:after="0" w:line="143" w:lineRule="exact"/>
        <w:rPr>
          <w:sz w:val="20"/>
          <w:szCs w:val="20"/>
          <w:color w:val="auto"/>
        </w:rPr>
      </w:pPr>
    </w:p>
    <w:p>
      <w:pPr>
        <w:jc w:val="both"/>
        <w:ind w:firstLine="921"/>
        <w:spacing w:after="0" w:line="290" w:lineRule="auto"/>
        <w:tabs>
          <w:tab w:leader="none" w:pos="1161" w:val="left"/>
        </w:tabs>
        <w:numPr>
          <w:ilvl w:val="2"/>
          <w:numId w:val="250"/>
        </w:numPr>
        <w:rPr>
          <w:rFonts w:ascii="Arial" w:cs="Arial" w:eastAsia="Arial" w:hAnsi="Arial"/>
          <w:sz w:val="16"/>
          <w:szCs w:val="16"/>
          <w:color w:val="auto"/>
        </w:rPr>
      </w:pPr>
      <w:r>
        <w:rPr>
          <w:rFonts w:ascii="Arial" w:cs="Arial" w:eastAsia="Arial" w:hAnsi="Arial"/>
          <w:sz w:val="16"/>
          <w:szCs w:val="16"/>
          <w:u w:val="single" w:color="auto"/>
          <w:color w:val="auto"/>
        </w:rPr>
        <w:t>Consequences of a Reorganization Event on Restricted Stock Awards</w:t>
      </w:r>
      <w:r>
        <w:rPr>
          <w:rFonts w:ascii="Arial" w:cs="Arial" w:eastAsia="Arial" w:hAnsi="Arial"/>
          <w:sz w:val="16"/>
          <w:szCs w:val="16"/>
          <w:color w:val="auto"/>
        </w:rPr>
        <w:t>. Upon the occurrence of a Reorganization Event other than a liquidation or dissolution of the Company, the repurchase and other rights of the Company under each outstanding Restricted Stock Award shall inure to the benefit of the Company’s successor and shall apply to the cash, securities or other property which the Common Stock was converted into or exchanged for pursuant to such Reorganization Event in the same manner and to the same extent as they applied to the Common Stock subject to such Restricted Stock Award. Upon the occurrence of a Reorganization Event involving the liquidation or dissolution of the Company, except to the extent specifically provided to the contrary in the instrument evidencing any Restricted Stock Award or any other agreement between a Participant and the Company, all restrictions and conditions on all Restricted Stock Awards then outstanding shall automatically be deemed terminated or satisfied.</w:t>
      </w:r>
    </w:p>
    <w:p>
      <w:pPr>
        <w:spacing w:after="0" w:line="239" w:lineRule="exact"/>
        <w:rPr>
          <w:rFonts w:ascii="Arial" w:cs="Arial" w:eastAsia="Arial" w:hAnsi="Arial"/>
          <w:sz w:val="16"/>
          <w:szCs w:val="16"/>
          <w:color w:val="auto"/>
        </w:rPr>
      </w:pPr>
    </w:p>
    <w:p>
      <w:pPr>
        <w:ind w:left="460" w:hanging="452"/>
        <w:spacing w:after="0"/>
        <w:tabs>
          <w:tab w:leader="none" w:pos="460"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General Provisions Applicable to Awards</w:t>
      </w:r>
    </w:p>
    <w:p>
      <w:pPr>
        <w:spacing w:after="0" w:line="90" w:lineRule="exact"/>
        <w:rPr>
          <w:rFonts w:ascii="Arial" w:cs="Arial" w:eastAsia="Arial" w:hAnsi="Arial"/>
          <w:sz w:val="18"/>
          <w:szCs w:val="18"/>
          <w:color w:val="auto"/>
        </w:rPr>
      </w:pPr>
    </w:p>
    <w:p>
      <w:pPr>
        <w:ind w:firstLine="464"/>
        <w:spacing w:after="0" w:line="268" w:lineRule="auto"/>
        <w:tabs>
          <w:tab w:leader="none" w:pos="709" w:val="left"/>
        </w:tabs>
        <w:numPr>
          <w:ilvl w:val="1"/>
          <w:numId w:val="251"/>
        </w:numPr>
        <w:rPr>
          <w:rFonts w:ascii="Arial" w:cs="Arial" w:eastAsia="Arial" w:hAnsi="Arial"/>
          <w:sz w:val="18"/>
          <w:szCs w:val="18"/>
          <w:color w:val="auto"/>
        </w:rPr>
      </w:pPr>
      <w:r>
        <w:rPr>
          <w:rFonts w:ascii="Arial" w:cs="Arial" w:eastAsia="Arial" w:hAnsi="Arial"/>
          <w:sz w:val="18"/>
          <w:szCs w:val="18"/>
          <w:u w:val="single" w:color="auto"/>
          <w:color w:val="auto"/>
        </w:rPr>
        <w:t>Transferability of Awards</w:t>
      </w:r>
      <w:r>
        <w:rPr>
          <w:rFonts w:ascii="Arial" w:cs="Arial" w:eastAsia="Arial" w:hAnsi="Arial"/>
          <w:sz w:val="18"/>
          <w:szCs w:val="18"/>
          <w:color w:val="auto"/>
        </w:rPr>
        <w:t>. Except as the Board may otherwise determine or provide in an Award, Awards shall not be sold, assigned, transferred, pledged or otherwise encumbered by the person to whom they are granted, either voluntarily or by operation of law, except by will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56" w:name="page157"/>
    <w:bookmarkEnd w:id="156"/>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the laws of descent and distribution or, other than in the case of an Incentive Stock Option, pursuant to a qualified domestic relations order, and, during the life of the Participant, shall be exercisable only by the Participant. References to a Participant, to the extent relevant in the context, shall include references to authorized transferees.</w:t>
      </w:r>
    </w:p>
    <w:p>
      <w:pPr>
        <w:spacing w:after="0" w:line="140" w:lineRule="exact"/>
        <w:rPr>
          <w:sz w:val="20"/>
          <w:szCs w:val="20"/>
          <w:color w:val="auto"/>
        </w:rPr>
      </w:pPr>
    </w:p>
    <w:p>
      <w:pPr>
        <w:ind w:right="20" w:firstLine="464"/>
        <w:spacing w:after="0" w:line="268" w:lineRule="auto"/>
        <w:tabs>
          <w:tab w:leader="none" w:pos="705" w:val="left"/>
        </w:tabs>
        <w:numPr>
          <w:ilvl w:val="1"/>
          <w:numId w:val="252"/>
        </w:numPr>
        <w:rPr>
          <w:rFonts w:ascii="Arial" w:cs="Arial" w:eastAsia="Arial" w:hAnsi="Arial"/>
          <w:sz w:val="18"/>
          <w:szCs w:val="18"/>
          <w:color w:val="auto"/>
        </w:rPr>
      </w:pPr>
      <w:r>
        <w:rPr>
          <w:rFonts w:ascii="Arial" w:cs="Arial" w:eastAsia="Arial" w:hAnsi="Arial"/>
          <w:sz w:val="18"/>
          <w:szCs w:val="18"/>
          <w:u w:val="single" w:color="auto"/>
          <w:color w:val="auto"/>
        </w:rPr>
        <w:t>Documentation</w:t>
      </w:r>
      <w:r>
        <w:rPr>
          <w:rFonts w:ascii="Arial" w:cs="Arial" w:eastAsia="Arial" w:hAnsi="Arial"/>
          <w:sz w:val="18"/>
          <w:szCs w:val="18"/>
          <w:color w:val="auto"/>
        </w:rPr>
        <w:t>. Each Award shall be evidenced in such form (written, electronic or otherwise) as the Board shall determine. Each Award may contain terms and conditions in addition to those set forth in the Plan.</w:t>
      </w:r>
    </w:p>
    <w:p>
      <w:pPr>
        <w:spacing w:after="0" w:line="131" w:lineRule="exact"/>
        <w:rPr>
          <w:rFonts w:ascii="Arial" w:cs="Arial" w:eastAsia="Arial" w:hAnsi="Arial"/>
          <w:sz w:val="18"/>
          <w:szCs w:val="18"/>
          <w:color w:val="auto"/>
        </w:rPr>
      </w:pPr>
    </w:p>
    <w:p>
      <w:pPr>
        <w:ind w:firstLine="464"/>
        <w:spacing w:after="0" w:line="268" w:lineRule="auto"/>
        <w:tabs>
          <w:tab w:leader="none" w:pos="695" w:val="left"/>
        </w:tabs>
        <w:numPr>
          <w:ilvl w:val="1"/>
          <w:numId w:val="252"/>
        </w:numPr>
        <w:rPr>
          <w:rFonts w:ascii="Arial" w:cs="Arial" w:eastAsia="Arial" w:hAnsi="Arial"/>
          <w:sz w:val="18"/>
          <w:szCs w:val="18"/>
          <w:color w:val="auto"/>
        </w:rPr>
      </w:pPr>
      <w:r>
        <w:rPr>
          <w:rFonts w:ascii="Arial" w:cs="Arial" w:eastAsia="Arial" w:hAnsi="Arial"/>
          <w:sz w:val="18"/>
          <w:szCs w:val="18"/>
          <w:u w:val="single" w:color="auto"/>
          <w:color w:val="auto"/>
        </w:rPr>
        <w:t>Board Discretion</w:t>
      </w:r>
      <w:r>
        <w:rPr>
          <w:rFonts w:ascii="Arial" w:cs="Arial" w:eastAsia="Arial" w:hAnsi="Arial"/>
          <w:sz w:val="18"/>
          <w:szCs w:val="18"/>
          <w:color w:val="auto"/>
        </w:rPr>
        <w:t>. Except as otherwise provided by the Plan, each Award may be made alone or in addition or in relation to any other Award. The terms of each Award need not be identical, and the Board need not treat Participants uniformly.</w:t>
      </w:r>
    </w:p>
    <w:p>
      <w:pPr>
        <w:spacing w:after="0" w:line="131" w:lineRule="exact"/>
        <w:rPr>
          <w:rFonts w:ascii="Arial" w:cs="Arial" w:eastAsia="Arial" w:hAnsi="Arial"/>
          <w:sz w:val="18"/>
          <w:szCs w:val="18"/>
          <w:color w:val="auto"/>
        </w:rPr>
      </w:pPr>
    </w:p>
    <w:p>
      <w:pPr>
        <w:jc w:val="both"/>
        <w:ind w:firstLine="464"/>
        <w:spacing w:after="0" w:line="259" w:lineRule="auto"/>
        <w:tabs>
          <w:tab w:leader="none" w:pos="705" w:val="left"/>
        </w:tabs>
        <w:numPr>
          <w:ilvl w:val="1"/>
          <w:numId w:val="252"/>
        </w:numPr>
        <w:rPr>
          <w:rFonts w:ascii="Arial" w:cs="Arial" w:eastAsia="Arial" w:hAnsi="Arial"/>
          <w:sz w:val="18"/>
          <w:szCs w:val="18"/>
          <w:color w:val="auto"/>
        </w:rPr>
      </w:pPr>
      <w:r>
        <w:rPr>
          <w:rFonts w:ascii="Arial" w:cs="Arial" w:eastAsia="Arial" w:hAnsi="Arial"/>
          <w:sz w:val="18"/>
          <w:szCs w:val="18"/>
          <w:u w:val="single" w:color="auto"/>
          <w:color w:val="auto"/>
        </w:rPr>
        <w:t>Termination of Status</w:t>
      </w:r>
      <w:r>
        <w:rPr>
          <w:rFonts w:ascii="Arial" w:cs="Arial" w:eastAsia="Arial" w:hAnsi="Arial"/>
          <w:sz w:val="18"/>
          <w:szCs w:val="18"/>
          <w:color w:val="auto"/>
        </w:rPr>
        <w:t>. The Board shall determine the effect on an Award of the disability, death, retirement, authorized leave of absence or other change in the employment or other status of a Participant and the extent to which, and the period during which, the Participant, or the Participant’s legal representative, conservator, guardian or Designated Beneficiary, may exercise rights under the Award.</w:t>
      </w:r>
    </w:p>
    <w:p>
      <w:pPr>
        <w:spacing w:after="0" w:line="140" w:lineRule="exact"/>
        <w:rPr>
          <w:rFonts w:ascii="Arial" w:cs="Arial" w:eastAsia="Arial" w:hAnsi="Arial"/>
          <w:sz w:val="18"/>
          <w:szCs w:val="18"/>
          <w:color w:val="auto"/>
        </w:rPr>
      </w:pPr>
    </w:p>
    <w:p>
      <w:pPr>
        <w:jc w:val="both"/>
        <w:ind w:firstLine="464"/>
        <w:spacing w:after="0" w:line="289" w:lineRule="auto"/>
        <w:tabs>
          <w:tab w:leader="none" w:pos="695" w:val="left"/>
        </w:tabs>
        <w:numPr>
          <w:ilvl w:val="1"/>
          <w:numId w:val="252"/>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Each Participant shall pay to the Company, or make provision satisfactory to the Company for payment of, any taxes required by law to be withheld in connection with an Award to such Participant. Except as the Board may otherwise provide in an Award, for so long as the Common Stock is registered under the Exchange Act, Participants may satisfy such tax obligations in whole or in part by delivery of shares of Common Stock, including shares retained from the Award creating the tax obligation, valued at their Fair Market Value; provided, however, that the total tax withholding where stock is being used to satisfy such tax obligations cannot exceed the Company’s minimum statutory withholding obligations (based on minimum statutory withholding rates for federal and state tax purposes, including payroll taxes, that are applicable to such supplemental taxable income). Shares surrendered to satisfy tax withholding requirements cannot be subject to any repurchase, forfeiture, unfulfilled vesting or other similar requirements. The Company may, to the extent permitted by law, deduct any such tax obligations from any payment of any kind otherwise due to a Participant.</w:t>
      </w:r>
    </w:p>
    <w:p>
      <w:pPr>
        <w:spacing w:after="0" w:line="118" w:lineRule="exact"/>
        <w:rPr>
          <w:rFonts w:ascii="Arial" w:cs="Arial" w:eastAsia="Arial" w:hAnsi="Arial"/>
          <w:sz w:val="16"/>
          <w:szCs w:val="16"/>
          <w:color w:val="auto"/>
        </w:rPr>
      </w:pPr>
    </w:p>
    <w:p>
      <w:pPr>
        <w:jc w:val="both"/>
        <w:ind w:firstLine="464"/>
        <w:spacing w:after="0" w:line="256" w:lineRule="auto"/>
        <w:tabs>
          <w:tab w:leader="none" w:pos="676" w:val="left"/>
        </w:tabs>
        <w:numPr>
          <w:ilvl w:val="1"/>
          <w:numId w:val="252"/>
        </w:numPr>
        <w:rPr>
          <w:rFonts w:ascii="Arial" w:cs="Arial" w:eastAsia="Arial" w:hAnsi="Arial"/>
          <w:sz w:val="18"/>
          <w:szCs w:val="18"/>
          <w:color w:val="auto"/>
        </w:rPr>
      </w:pPr>
      <w:r>
        <w:rPr>
          <w:rFonts w:ascii="Arial" w:cs="Arial" w:eastAsia="Arial" w:hAnsi="Arial"/>
          <w:sz w:val="18"/>
          <w:szCs w:val="18"/>
          <w:u w:val="single" w:color="auto"/>
          <w:color w:val="auto"/>
        </w:rPr>
        <w:t>Amendment of Award</w:t>
      </w:r>
      <w:r>
        <w:rPr>
          <w:rFonts w:ascii="Arial" w:cs="Arial" w:eastAsia="Arial" w:hAnsi="Arial"/>
          <w:sz w:val="18"/>
          <w:szCs w:val="18"/>
          <w:color w:val="auto"/>
        </w:rPr>
        <w:t>. The Board may amend, modify or terminate any outstanding Award, including but not limited to, substituting therefor another Award of the same or a different type, changing the date of exercise or realization, and converting an Incentive Stock Option to a Nonstatutory Stock Option, provided that the Participant’s consent to such action shall be required unless the Board determines that the action, taking into account any related action, would not materially and adversely affect the Participant.</w:t>
      </w:r>
    </w:p>
    <w:p>
      <w:pPr>
        <w:spacing w:after="0" w:line="143" w:lineRule="exact"/>
        <w:rPr>
          <w:rFonts w:ascii="Arial" w:cs="Arial" w:eastAsia="Arial" w:hAnsi="Arial"/>
          <w:sz w:val="18"/>
          <w:szCs w:val="18"/>
          <w:color w:val="auto"/>
        </w:rPr>
      </w:pPr>
    </w:p>
    <w:p>
      <w:pPr>
        <w:jc w:val="both"/>
        <w:ind w:firstLine="464"/>
        <w:spacing w:after="0" w:line="286" w:lineRule="auto"/>
        <w:tabs>
          <w:tab w:leader="none" w:pos="719" w:val="left"/>
        </w:tabs>
        <w:numPr>
          <w:ilvl w:val="1"/>
          <w:numId w:val="252"/>
        </w:numPr>
        <w:rPr>
          <w:rFonts w:ascii="Arial" w:cs="Arial" w:eastAsia="Arial" w:hAnsi="Arial"/>
          <w:sz w:val="16"/>
          <w:szCs w:val="16"/>
          <w:color w:val="auto"/>
        </w:rPr>
      </w:pPr>
      <w:r>
        <w:rPr>
          <w:rFonts w:ascii="Arial" w:cs="Arial" w:eastAsia="Arial" w:hAnsi="Arial"/>
          <w:sz w:val="16"/>
          <w:szCs w:val="16"/>
          <w:u w:val="single" w:color="auto"/>
          <w:color w:val="auto"/>
        </w:rPr>
        <w:t>Conditions on Delivery of Stock</w:t>
      </w:r>
      <w:r>
        <w:rPr>
          <w:rFonts w:ascii="Arial" w:cs="Arial" w:eastAsia="Arial" w:hAnsi="Arial"/>
          <w:sz w:val="16"/>
          <w:szCs w:val="16"/>
          <w:color w:val="auto"/>
        </w:rPr>
        <w:t>. The Company will not be obligated to deliver any shares of Common Stock pursuant to the Plan or to remove restrictions from shares previously delivered under the Plan until (i) all conditions of the Award have been met or removed to the satisfaction of the Company,</w:t>
      </w:r>
    </w:p>
    <w:p>
      <w:pPr>
        <w:ind w:firstLine="8"/>
        <w:spacing w:after="0" w:line="261" w:lineRule="auto"/>
        <w:tabs>
          <w:tab w:leader="none" w:pos="2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in the opinion of the Company’s counsel, all other legal matters in connection with the issuance and delivery of such shares have been satisfied, including any applicable securities laws and any applicable stock exchange or stock market rules and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57" w:name="page158"/>
    <w:bookmarkEnd w:id="157"/>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regulations, and (iii) the Participant has executed and delivered to the Company such representations or agreements as the Company may consider appropriate to satisfy the requirements of any applicable laws, rules or regulations.</w:t>
      </w:r>
    </w:p>
    <w:p>
      <w:pPr>
        <w:spacing w:after="0" w:line="132" w:lineRule="exact"/>
        <w:rPr>
          <w:sz w:val="20"/>
          <w:szCs w:val="20"/>
          <w:color w:val="auto"/>
        </w:rPr>
      </w:pPr>
    </w:p>
    <w:p>
      <w:pPr>
        <w:ind w:firstLine="464"/>
        <w:spacing w:after="0" w:line="332" w:lineRule="auto"/>
        <w:tabs>
          <w:tab w:leader="none" w:pos="705" w:val="left"/>
        </w:tabs>
        <w:numPr>
          <w:ilvl w:val="1"/>
          <w:numId w:val="254"/>
        </w:numPr>
        <w:rPr>
          <w:rFonts w:ascii="Arial" w:cs="Arial" w:eastAsia="Arial" w:hAnsi="Arial"/>
          <w:sz w:val="16"/>
          <w:szCs w:val="16"/>
          <w:color w:val="auto"/>
        </w:rPr>
      </w:pPr>
      <w:r>
        <w:rPr>
          <w:rFonts w:ascii="Arial" w:cs="Arial" w:eastAsia="Arial" w:hAnsi="Arial"/>
          <w:sz w:val="16"/>
          <w:szCs w:val="16"/>
          <w:u w:val="single" w:color="auto"/>
          <w:color w:val="auto"/>
        </w:rPr>
        <w:t>Acceleration</w:t>
      </w:r>
      <w:r>
        <w:rPr>
          <w:rFonts w:ascii="Arial" w:cs="Arial" w:eastAsia="Arial" w:hAnsi="Arial"/>
          <w:sz w:val="16"/>
          <w:szCs w:val="16"/>
          <w:color w:val="auto"/>
        </w:rPr>
        <w:t>. Except as otherwise provided in Section 7(c), the Board may at any time provide that any Award shall become immediately exercisable in full or in part, free of some or all restrictions or conditions, or otherwise realizable in full or in part, as the case may be.</w:t>
      </w:r>
    </w:p>
    <w:p>
      <w:pPr>
        <w:spacing w:after="0" w:line="85" w:lineRule="exact"/>
        <w:rPr>
          <w:rFonts w:ascii="Arial" w:cs="Arial" w:eastAsia="Arial" w:hAnsi="Arial"/>
          <w:sz w:val="16"/>
          <w:szCs w:val="16"/>
          <w:color w:val="auto"/>
        </w:rPr>
      </w:pPr>
    </w:p>
    <w:p>
      <w:pPr>
        <w:ind w:left="680" w:hanging="216"/>
        <w:spacing w:after="0"/>
        <w:tabs>
          <w:tab w:leader="none" w:pos="680" w:val="left"/>
        </w:tabs>
        <w:numPr>
          <w:ilvl w:val="1"/>
          <w:numId w:val="254"/>
        </w:numPr>
        <w:rPr>
          <w:rFonts w:ascii="Arial" w:cs="Arial" w:eastAsia="Arial" w:hAnsi="Arial"/>
          <w:sz w:val="18"/>
          <w:szCs w:val="18"/>
          <w:color w:val="auto"/>
        </w:rPr>
      </w:pPr>
      <w:r>
        <w:rPr>
          <w:rFonts w:ascii="Arial" w:cs="Arial" w:eastAsia="Arial" w:hAnsi="Arial"/>
          <w:sz w:val="18"/>
          <w:szCs w:val="18"/>
          <w:u w:val="single" w:color="auto"/>
          <w:color w:val="auto"/>
        </w:rPr>
        <w:t>Performance Conditions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20" w:firstLine="921"/>
        <w:spacing w:after="0" w:line="268" w:lineRule="auto"/>
        <w:tabs>
          <w:tab w:leader="none" w:pos="1169" w:val="left"/>
        </w:tabs>
        <w:numPr>
          <w:ilvl w:val="2"/>
          <w:numId w:val="254"/>
        </w:numPr>
        <w:rPr>
          <w:rFonts w:ascii="Arial" w:cs="Arial" w:eastAsia="Arial" w:hAnsi="Arial"/>
          <w:sz w:val="18"/>
          <w:szCs w:val="18"/>
          <w:color w:val="auto"/>
        </w:rPr>
      </w:pPr>
      <w:r>
        <w:rPr>
          <w:rFonts w:ascii="Arial" w:cs="Arial" w:eastAsia="Arial" w:hAnsi="Arial"/>
          <w:sz w:val="18"/>
          <w:szCs w:val="18"/>
          <w:color w:val="auto"/>
        </w:rPr>
        <w:t>This Section 10(i) shall be administered by a Committee approved by the Board, all of the members of which are “outside directors” as defined by Section 162(m) (the “Section 162(m) Committee”).</w:t>
      </w:r>
    </w:p>
    <w:p>
      <w:pPr>
        <w:spacing w:after="0" w:line="131" w:lineRule="exact"/>
        <w:rPr>
          <w:rFonts w:ascii="Arial" w:cs="Arial" w:eastAsia="Arial" w:hAnsi="Arial"/>
          <w:sz w:val="18"/>
          <w:szCs w:val="18"/>
          <w:color w:val="auto"/>
        </w:rPr>
      </w:pPr>
    </w:p>
    <w:p>
      <w:pPr>
        <w:jc w:val="both"/>
        <w:ind w:firstLine="921"/>
        <w:spacing w:after="0" w:line="256" w:lineRule="auto"/>
        <w:tabs>
          <w:tab w:leader="none" w:pos="1177" w:val="left"/>
        </w:tabs>
        <w:numPr>
          <w:ilvl w:val="2"/>
          <w:numId w:val="254"/>
        </w:numPr>
        <w:rPr>
          <w:rFonts w:ascii="Arial" w:cs="Arial" w:eastAsia="Arial" w:hAnsi="Arial"/>
          <w:sz w:val="18"/>
          <w:szCs w:val="18"/>
          <w:color w:val="auto"/>
        </w:rPr>
      </w:pPr>
      <w:r>
        <w:rPr>
          <w:rFonts w:ascii="Arial" w:cs="Arial" w:eastAsia="Arial" w:hAnsi="Arial"/>
          <w:sz w:val="18"/>
          <w:szCs w:val="18"/>
          <w:color w:val="auto"/>
        </w:rPr>
        <w:t>Notwithstanding any other provision of the Plan, if the Section 162(m) Committee determines, at the time a Restricted Stock Award or Other Stock Unit Award is granted to a Participant who is then an officer, that such Participant is, or is likely to be as of the end of the tax year in which the Company would claim a tax deduction in connection with such Award, a Covered Employee (as defined in Section 162(m)), then the Section 162(m) Committee may provide that this Section 10(i) is applicable to such Award.</w:t>
      </w:r>
    </w:p>
    <w:p>
      <w:pPr>
        <w:spacing w:after="0" w:line="143" w:lineRule="exact"/>
        <w:rPr>
          <w:rFonts w:ascii="Arial" w:cs="Arial" w:eastAsia="Arial" w:hAnsi="Arial"/>
          <w:sz w:val="18"/>
          <w:szCs w:val="18"/>
          <w:color w:val="auto"/>
        </w:rPr>
      </w:pPr>
    </w:p>
    <w:p>
      <w:pPr>
        <w:jc w:val="both"/>
        <w:ind w:firstLine="921"/>
        <w:spacing w:after="0" w:line="284" w:lineRule="auto"/>
        <w:tabs>
          <w:tab w:leader="none" w:pos="1163" w:val="left"/>
        </w:tabs>
        <w:numPr>
          <w:ilvl w:val="2"/>
          <w:numId w:val="254"/>
        </w:numPr>
        <w:rPr>
          <w:rFonts w:ascii="Arial" w:cs="Arial" w:eastAsia="Arial" w:hAnsi="Arial"/>
          <w:sz w:val="16"/>
          <w:szCs w:val="16"/>
          <w:color w:val="auto"/>
        </w:rPr>
      </w:pPr>
      <w:r>
        <w:rPr>
          <w:rFonts w:ascii="Arial" w:cs="Arial" w:eastAsia="Arial" w:hAnsi="Arial"/>
          <w:sz w:val="16"/>
          <w:szCs w:val="16"/>
          <w:color w:val="auto"/>
        </w:rPr>
        <w:t>If a Restricted Stock Award or Other Stock Unit Award is subject to this Section 10(i), then the lapsing of restrictions thereon and the distribution of cash or Shares pursuant thereto, as applicable, shall be subject to the achievement of one or more objective performance goals established by the Section 162(m) Committee, which shall be based on the attainment of specified levels of one or any combination of the following: (a) earnings per share,</w:t>
      </w:r>
    </w:p>
    <w:p>
      <w:pPr>
        <w:spacing w:after="0" w:line="1" w:lineRule="exact"/>
        <w:rPr>
          <w:rFonts w:ascii="Arial" w:cs="Arial" w:eastAsia="Arial" w:hAnsi="Arial"/>
          <w:sz w:val="16"/>
          <w:szCs w:val="16"/>
          <w:color w:val="auto"/>
        </w:rPr>
      </w:pPr>
    </w:p>
    <w:p>
      <w:pPr>
        <w:jc w:val="both"/>
        <w:ind w:firstLine="8"/>
        <w:spacing w:after="0" w:line="287" w:lineRule="auto"/>
        <w:tabs>
          <w:tab w:leader="none" w:pos="253" w:val="left"/>
        </w:tabs>
        <w:numPr>
          <w:ilvl w:val="0"/>
          <w:numId w:val="255"/>
        </w:numPr>
        <w:rPr>
          <w:rFonts w:ascii="Arial" w:cs="Arial" w:eastAsia="Arial" w:hAnsi="Arial"/>
          <w:sz w:val="16"/>
          <w:szCs w:val="16"/>
          <w:color w:val="auto"/>
        </w:rPr>
      </w:pPr>
      <w:r>
        <w:rPr>
          <w:rFonts w:ascii="Arial" w:cs="Arial" w:eastAsia="Arial" w:hAnsi="Arial"/>
          <w:sz w:val="16"/>
          <w:szCs w:val="16"/>
          <w:color w:val="auto"/>
        </w:rPr>
        <w:t>return on average equity or average assets with respect to a pre-determined peer group, (c) earnings, (d) earnings growth, (e) revenues, (f) expenses, (g) stock price, (h) market share, (i) return on sales, assets, equity or investment, (j) regulatory compliance, (k) improvement of financial ratings, (l) achievement of balance sheet or income statement objectives, (m) total shareholder return, (n) net operating profit after tax, (o) pre-tax or after-tax income, (p) cash flow, or (q) such other objective goals established by the Board, and may be absolute in their terms or measured against or in relationship to other companies comparably, similarly or otherwise situated. Such performance goals may be adjusted to exclude any one or more of (i) extraordinary items, (ii) gains or losses on the dispositions of discontinued operations, (iii) the cumulative effects of changes in accounting principles, (iv) the writedown of any asset, and (v) charges for restructuring and rationalization programs. Such performance goals may vary by Participant and may be different for different Awards. Such performance goals shall be set by the Section 162(m) Committee within the time period prescribed by, and shall otherwise comply with the requirements of, Section 162(m).</w:t>
      </w:r>
    </w:p>
    <w:p>
      <w:pPr>
        <w:spacing w:after="0" w:line="124" w:lineRule="exact"/>
        <w:rPr>
          <w:rFonts w:ascii="Arial" w:cs="Arial" w:eastAsia="Arial" w:hAnsi="Arial"/>
          <w:sz w:val="16"/>
          <w:szCs w:val="16"/>
          <w:color w:val="auto"/>
        </w:rPr>
      </w:pPr>
    </w:p>
    <w:p>
      <w:pPr>
        <w:jc w:val="both"/>
        <w:ind w:firstLine="921"/>
        <w:spacing w:after="0" w:line="306" w:lineRule="auto"/>
        <w:tabs>
          <w:tab w:leader="none" w:pos="1193" w:val="left"/>
        </w:tabs>
        <w:numPr>
          <w:ilvl w:val="2"/>
          <w:numId w:val="255"/>
        </w:numPr>
        <w:rPr>
          <w:rFonts w:ascii="Arial" w:cs="Arial" w:eastAsia="Arial" w:hAnsi="Arial"/>
          <w:sz w:val="16"/>
          <w:szCs w:val="16"/>
          <w:color w:val="auto"/>
        </w:rPr>
      </w:pPr>
      <w:r>
        <w:rPr>
          <w:rFonts w:ascii="Arial" w:cs="Arial" w:eastAsia="Arial" w:hAnsi="Arial"/>
          <w:sz w:val="16"/>
          <w:szCs w:val="16"/>
          <w:color w:val="auto"/>
        </w:rPr>
        <w:t>Notwithstanding any provision of the Plan, with respect to any Restricted Stock Award or Other Stock Unit Award that is subject to this Section 10(i), the Section 162(m) Committee may adjust downwards, but not upwards, the cash or number of Shares payable pursuant to such Award, and the Section 162(m) Committee may not waive the achievement of the applicable performance goals except in the case of the death or disability of the Participant.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58" w:name="page159"/>
    <w:bookmarkEnd w:id="158"/>
    <w:p>
      <w:pPr>
        <w:jc w:val="both"/>
        <w:ind w:firstLine="921"/>
        <w:spacing w:after="0" w:line="259" w:lineRule="auto"/>
        <w:tabs>
          <w:tab w:leader="none" w:pos="1175" w:val="left"/>
        </w:tabs>
        <w:numPr>
          <w:ilvl w:val="2"/>
          <w:numId w:val="2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Section 162(m) Committee shall have the power to impose such other restrictions on Awards subject to this Section 10(i) as it may deem necessary or appropriate to ensure that such Awards satisfy all requirements for “performance-based compensation” within the meaning of Section 162(m)(4)(C) of the Code, or any successor provision thereto.</w:t>
      </w:r>
    </w:p>
    <w:p>
      <w:pPr>
        <w:spacing w:after="0" w:line="261" w:lineRule="exact"/>
        <w:rPr>
          <w:rFonts w:ascii="Arial" w:cs="Arial" w:eastAsia="Arial" w:hAnsi="Arial"/>
          <w:sz w:val="18"/>
          <w:szCs w:val="18"/>
          <w:color w:val="auto"/>
        </w:rPr>
      </w:pPr>
    </w:p>
    <w:p>
      <w:pPr>
        <w:ind w:left="460" w:hanging="452"/>
        <w:spacing w:after="0"/>
        <w:tabs>
          <w:tab w:leader="none" w:pos="460" w:val="left"/>
        </w:tabs>
        <w:numPr>
          <w:ilvl w:val="0"/>
          <w:numId w:val="257"/>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90" w:lineRule="exact"/>
        <w:rPr>
          <w:rFonts w:ascii="Arial" w:cs="Arial" w:eastAsia="Arial" w:hAnsi="Arial"/>
          <w:sz w:val="18"/>
          <w:szCs w:val="18"/>
          <w:color w:val="auto"/>
        </w:rPr>
      </w:pPr>
    </w:p>
    <w:p>
      <w:pPr>
        <w:jc w:val="both"/>
        <w:ind w:right="20" w:firstLine="464"/>
        <w:spacing w:after="0" w:line="256" w:lineRule="auto"/>
        <w:tabs>
          <w:tab w:leader="none" w:pos="709" w:val="left"/>
        </w:tabs>
        <w:numPr>
          <w:ilvl w:val="1"/>
          <w:numId w:val="257"/>
        </w:numPr>
        <w:rPr>
          <w:rFonts w:ascii="Arial" w:cs="Arial" w:eastAsia="Arial" w:hAnsi="Arial"/>
          <w:sz w:val="18"/>
          <w:szCs w:val="18"/>
          <w:color w:val="auto"/>
        </w:rPr>
      </w:pPr>
      <w:r>
        <w:rPr>
          <w:rFonts w:ascii="Arial" w:cs="Arial" w:eastAsia="Arial" w:hAnsi="Arial"/>
          <w:sz w:val="18"/>
          <w:szCs w:val="18"/>
          <w:u w:val="single" w:color="auto"/>
          <w:color w:val="auto"/>
        </w:rPr>
        <w:t>No Right To Employment or Other Status</w:t>
      </w:r>
      <w:r>
        <w:rPr>
          <w:rFonts w:ascii="Arial" w:cs="Arial" w:eastAsia="Arial" w:hAnsi="Arial"/>
          <w:sz w:val="18"/>
          <w:szCs w:val="18"/>
          <w:color w:val="auto"/>
        </w:rPr>
        <w:t>. No person shall have any claim or right to be granted an Award,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spacing w:after="0" w:line="143" w:lineRule="exact"/>
        <w:rPr>
          <w:rFonts w:ascii="Arial" w:cs="Arial" w:eastAsia="Arial" w:hAnsi="Arial"/>
          <w:sz w:val="18"/>
          <w:szCs w:val="18"/>
          <w:color w:val="auto"/>
        </w:rPr>
      </w:pPr>
    </w:p>
    <w:p>
      <w:pPr>
        <w:jc w:val="both"/>
        <w:ind w:firstLine="464"/>
        <w:spacing w:after="0" w:line="290" w:lineRule="auto"/>
        <w:tabs>
          <w:tab w:leader="none" w:pos="719" w:val="left"/>
        </w:tabs>
        <w:numPr>
          <w:ilvl w:val="1"/>
          <w:numId w:val="257"/>
        </w:numPr>
        <w:rPr>
          <w:rFonts w:ascii="Arial" w:cs="Arial" w:eastAsia="Arial" w:hAnsi="Arial"/>
          <w:sz w:val="16"/>
          <w:szCs w:val="16"/>
          <w:color w:val="auto"/>
        </w:rPr>
      </w:pPr>
      <w:r>
        <w:rPr>
          <w:rFonts w:ascii="Arial" w:cs="Arial" w:eastAsia="Arial" w:hAnsi="Arial"/>
          <w:sz w:val="16"/>
          <w:szCs w:val="16"/>
          <w:u w:val="single" w:color="auto"/>
          <w:color w:val="auto"/>
        </w:rPr>
        <w:t>No Rights As Stockholder</w:t>
      </w:r>
      <w:r>
        <w:rPr>
          <w:rFonts w:ascii="Arial" w:cs="Arial" w:eastAsia="Arial" w:hAnsi="Arial"/>
          <w:sz w:val="16"/>
          <w:szCs w:val="16"/>
          <w:color w:val="auto"/>
        </w:rPr>
        <w:t>. Subject to the provisions of the applicable Award, no Participant or Designated Beneficiary shall have any rights as a stockholder with respect to any shares of Common Stock to be distributed with respect to an Award until becoming the record holder of such shares. Notwithstanding the foregoing, in the event the Company effects a split of the Common Stock by means of a stock dividend and the exercise price of and the number of shares subject to such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118" w:lineRule="exact"/>
        <w:rPr>
          <w:rFonts w:ascii="Arial" w:cs="Arial" w:eastAsia="Arial" w:hAnsi="Arial"/>
          <w:sz w:val="16"/>
          <w:szCs w:val="16"/>
          <w:color w:val="auto"/>
        </w:rPr>
      </w:pPr>
    </w:p>
    <w:p>
      <w:pPr>
        <w:jc w:val="both"/>
        <w:ind w:firstLine="464"/>
        <w:spacing w:after="0" w:line="256" w:lineRule="auto"/>
        <w:tabs>
          <w:tab w:leader="none" w:pos="695" w:val="left"/>
        </w:tabs>
        <w:numPr>
          <w:ilvl w:val="1"/>
          <w:numId w:val="257"/>
        </w:numPr>
        <w:rPr>
          <w:rFonts w:ascii="Arial" w:cs="Arial" w:eastAsia="Arial" w:hAnsi="Arial"/>
          <w:sz w:val="18"/>
          <w:szCs w:val="18"/>
          <w:color w:val="auto"/>
        </w:rPr>
      </w:pPr>
      <w:r>
        <w:rPr>
          <w:rFonts w:ascii="Arial" w:cs="Arial" w:eastAsia="Arial" w:hAnsi="Arial"/>
          <w:sz w:val="18"/>
          <w:szCs w:val="18"/>
          <w:u w:val="single" w:color="auto"/>
          <w:color w:val="auto"/>
        </w:rPr>
        <w:t>Effective Date and Term of Plan</w:t>
      </w:r>
      <w:r>
        <w:rPr>
          <w:rFonts w:ascii="Arial" w:cs="Arial" w:eastAsia="Arial" w:hAnsi="Arial"/>
          <w:sz w:val="18"/>
          <w:szCs w:val="18"/>
          <w:color w:val="auto"/>
        </w:rPr>
        <w:t>. The Plan shall become effective on the date on which it is adopted by the Board, but no Award may be granted unless and until the Plan has been approved by the Company’s stockholders. No Awards shall be granted under the Plan after the completion of 10 years from the earlier of (i) the date on which the Plan was adopted by the Board or (ii) the date the Plan was approved by the Company’s stockholders, but Awards previously granted may extend beyond that date.</w:t>
      </w:r>
    </w:p>
    <w:p>
      <w:pPr>
        <w:spacing w:after="0" w:line="143" w:lineRule="exact"/>
        <w:rPr>
          <w:rFonts w:ascii="Arial" w:cs="Arial" w:eastAsia="Arial" w:hAnsi="Arial"/>
          <w:sz w:val="18"/>
          <w:szCs w:val="18"/>
          <w:color w:val="auto"/>
        </w:rPr>
      </w:pPr>
    </w:p>
    <w:p>
      <w:pPr>
        <w:jc w:val="both"/>
        <w:ind w:firstLine="464"/>
        <w:spacing w:after="0" w:line="306" w:lineRule="auto"/>
        <w:tabs>
          <w:tab w:leader="none" w:pos="705" w:val="left"/>
        </w:tabs>
        <w:numPr>
          <w:ilvl w:val="1"/>
          <w:numId w:val="257"/>
        </w:numPr>
        <w:rPr>
          <w:rFonts w:ascii="Arial" w:cs="Arial" w:eastAsia="Arial" w:hAnsi="Arial"/>
          <w:sz w:val="16"/>
          <w:szCs w:val="16"/>
          <w:color w:val="auto"/>
        </w:rPr>
      </w:pPr>
      <w:r>
        <w:rPr>
          <w:rFonts w:ascii="Arial" w:cs="Arial" w:eastAsia="Arial" w:hAnsi="Arial"/>
          <w:sz w:val="16"/>
          <w:szCs w:val="16"/>
          <w:u w:val="single" w:color="auto"/>
          <w:color w:val="auto"/>
        </w:rPr>
        <w:t>Amendment of Plan</w:t>
      </w:r>
      <w:r>
        <w:rPr>
          <w:rFonts w:ascii="Arial" w:cs="Arial" w:eastAsia="Arial" w:hAnsi="Arial"/>
          <w:sz w:val="16"/>
          <w:szCs w:val="16"/>
          <w:color w:val="auto"/>
        </w:rPr>
        <w:t>. The Board may amend, suspend or terminate the Plan or any portion thereof at any time; provided that, to the extent determined by the Board, no amendment requiring stockholder approval under any applicable legal, regulatory or listing requirement shall become effective until such stockholder approval is obtained. No Award shall be made that is conditioned upon stockholder approval of any amendment to the Plan.</w:t>
      </w:r>
    </w:p>
    <w:p>
      <w:pPr>
        <w:spacing w:after="0" w:line="106" w:lineRule="exact"/>
        <w:rPr>
          <w:rFonts w:ascii="Arial" w:cs="Arial" w:eastAsia="Arial" w:hAnsi="Arial"/>
          <w:sz w:val="16"/>
          <w:szCs w:val="16"/>
          <w:color w:val="auto"/>
        </w:rPr>
      </w:pPr>
    </w:p>
    <w:p>
      <w:pPr>
        <w:jc w:val="both"/>
        <w:ind w:firstLine="464"/>
        <w:spacing w:after="0" w:line="259" w:lineRule="auto"/>
        <w:tabs>
          <w:tab w:leader="none" w:pos="695" w:val="left"/>
        </w:tabs>
        <w:numPr>
          <w:ilvl w:val="1"/>
          <w:numId w:val="257"/>
        </w:numPr>
        <w:rPr>
          <w:rFonts w:ascii="Arial" w:cs="Arial" w:eastAsia="Arial" w:hAnsi="Arial"/>
          <w:sz w:val="18"/>
          <w:szCs w:val="18"/>
          <w:color w:val="auto"/>
        </w:rPr>
      </w:pPr>
      <w:r>
        <w:rPr>
          <w:rFonts w:ascii="Arial" w:cs="Arial" w:eastAsia="Arial" w:hAnsi="Arial"/>
          <w:sz w:val="18"/>
          <w:szCs w:val="18"/>
          <w:u w:val="single" w:color="auto"/>
          <w:color w:val="auto"/>
        </w:rPr>
        <w:t>Provisions for Foreign Participants</w:t>
      </w:r>
      <w:r>
        <w:rPr>
          <w:rFonts w:ascii="Arial" w:cs="Arial" w:eastAsia="Arial" w:hAnsi="Arial"/>
          <w:sz w:val="18"/>
          <w:szCs w:val="18"/>
          <w:color w:val="auto"/>
        </w:rPr>
        <w:t>. The Board may modify Awards or Options granted to Participants who are foreign nationals or employed outside the United States or establish subplans or procedures under the Plan to recognize differences in laws, rules, regulations or customs of such foreign jurisdictions with respect to tax, securities, currency, employee benefit or other matters.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59" w:name="page160"/>
    <w:bookmarkEnd w:id="159"/>
    <w:p>
      <w:pPr>
        <w:ind w:left="-20" w:firstLine="464"/>
        <w:spacing w:after="0" w:line="268" w:lineRule="auto"/>
        <w:tabs>
          <w:tab w:leader="none" w:pos="669"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Governing Law</w:t>
      </w:r>
      <w:r>
        <w:rPr>
          <w:rFonts w:ascii="Arial" w:cs="Arial" w:eastAsia="Arial" w:hAnsi="Arial"/>
          <w:sz w:val="18"/>
          <w:szCs w:val="18"/>
          <w:color w:val="auto"/>
        </w:rPr>
        <w:t>. The provisions of the Plan and all Awards made hereunder shall be governed by and interpreted in accordance with the laws of the State of Delaware, without regard to any applicable conflicts of law.</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60" w:top="280"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10.10</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AMERICAN SUPERCONDUCTOR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2007 STOCK INCENTIVE PLAN, AS AMENDED</w:t>
      </w:r>
    </w:p>
    <w:p>
      <w:pPr>
        <w:spacing w:after="0" w:line="212" w:lineRule="exact"/>
        <w:rPr>
          <w:sz w:val="20"/>
          <w:szCs w:val="20"/>
          <w:color w:val="auto"/>
        </w:rPr>
      </w:pPr>
    </w:p>
    <w:p>
      <w:pPr>
        <w:ind w:left="460" w:hanging="452"/>
        <w:spacing w:after="0"/>
        <w:tabs>
          <w:tab w:leader="none" w:pos="460"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Purpose</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purpose of this 2007 Stock Incentive Plan, as amended (the “Plan”) of American Superconductor Corporation, a Delaware corporation (the “Company”), is to advance the interests of the Company’s stockholders by enhancing the Company’s ability to attract, retain and motivate persons who are expected to make important contributions to the Company and by providing such persons with equity ownership opportunities and performance-based incentives that are intended to align their interests with those of the Company’s stockholders. Except where the context otherwise requires, the term “Company” shall include any of the Company’s present or future parent or subsidiary corporations as defined in Sections 424(e) or (f) of the Internal Revenue Code of 1986, as amended, and any regulations promulgated thereunder (the “Code”) and any other business venture (including, without limitation, joint venture or limited liability company) in which the Company has a controlling interest, as determined by the Board of Directors of the Company (the “Board”).</w:t>
      </w:r>
    </w:p>
    <w:p>
      <w:pPr>
        <w:spacing w:after="0" w:line="240" w:lineRule="exact"/>
        <w:rPr>
          <w:sz w:val="20"/>
          <w:szCs w:val="20"/>
          <w:color w:val="auto"/>
        </w:rPr>
      </w:pPr>
    </w:p>
    <w:p>
      <w:pPr>
        <w:ind w:left="460" w:hanging="452"/>
        <w:spacing w:after="0"/>
        <w:tabs>
          <w:tab w:leader="none" w:pos="460"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Eligibility</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All of the Company’s employees, officers, consultants and advisors are eligible to receive options, stock appreciation rights (“SARs”), restricted stock, restricted stock units (“RSUs”) and other stock-based awards (each, an “Award”) under the Plan. Each person who receives an Award under the Plan is deemed a “Participant”.</w:t>
      </w:r>
    </w:p>
    <w:p>
      <w:pPr>
        <w:spacing w:after="0" w:line="262" w:lineRule="exact"/>
        <w:rPr>
          <w:sz w:val="20"/>
          <w:szCs w:val="20"/>
          <w:color w:val="auto"/>
        </w:rPr>
      </w:pPr>
    </w:p>
    <w:p>
      <w:pPr>
        <w:ind w:left="460" w:hanging="452"/>
        <w:spacing w:after="0"/>
        <w:tabs>
          <w:tab w:leader="none" w:pos="460"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Administration and Delegation</w:t>
      </w:r>
    </w:p>
    <w:p>
      <w:pPr>
        <w:spacing w:after="0" w:line="90" w:lineRule="exact"/>
        <w:rPr>
          <w:rFonts w:ascii="Arial" w:cs="Arial" w:eastAsia="Arial" w:hAnsi="Arial"/>
          <w:sz w:val="18"/>
          <w:szCs w:val="18"/>
          <w:color w:val="auto"/>
        </w:rPr>
      </w:pPr>
    </w:p>
    <w:p>
      <w:pPr>
        <w:jc w:val="both"/>
        <w:ind w:firstLine="464"/>
        <w:spacing w:after="0" w:line="253" w:lineRule="auto"/>
        <w:tabs>
          <w:tab w:leader="none" w:pos="695" w:val="left"/>
        </w:tabs>
        <w:numPr>
          <w:ilvl w:val="1"/>
          <w:numId w:val="261"/>
        </w:numPr>
        <w:rPr>
          <w:rFonts w:ascii="Arial" w:cs="Arial" w:eastAsia="Arial" w:hAnsi="Arial"/>
          <w:sz w:val="18"/>
          <w:szCs w:val="18"/>
          <w:color w:val="auto"/>
        </w:rPr>
      </w:pPr>
      <w:r>
        <w:rPr>
          <w:rFonts w:ascii="Arial" w:cs="Arial" w:eastAsia="Arial" w:hAnsi="Arial"/>
          <w:sz w:val="18"/>
          <w:szCs w:val="18"/>
          <w:u w:val="single" w:color="auto"/>
          <w:color w:val="auto"/>
        </w:rPr>
        <w:t>Administration by Board of Directors</w:t>
      </w:r>
      <w:r>
        <w:rPr>
          <w:rFonts w:ascii="Arial" w:cs="Arial" w:eastAsia="Arial" w:hAnsi="Arial"/>
          <w:sz w:val="18"/>
          <w:szCs w:val="18"/>
          <w:color w:val="auto"/>
        </w:rPr>
        <w:t>. The Plan will be administered by the Board. The Board shall have authority to grant Awards and to adopt, amend and repeal such administrative rules, guidelines and practices relating to the Plan as it shall deem advisable. The Board may construe and interpret the terms of the Plan and any Award agreements entered into under the Plan. The Board may correct any defect, supply any omission or reconcile any inconsistency in the Plan or any Award in the manner and to the extent it shall deem expedient to carry the Plan into effect and it shall be the sole and final judge of such expediency. All decisions by the Board shall be made in the Board’s sole discretion and shall be final and binding on all persons having or claiming any interest in the Plan or in any Award. No director or person acting pursuant to the authority delegated by the Board shall be liable for any action or determination relating to or under the Plan made in good faith.</w:t>
      </w:r>
    </w:p>
    <w:p>
      <w:pPr>
        <w:spacing w:after="0" w:line="147" w:lineRule="exact"/>
        <w:rPr>
          <w:rFonts w:ascii="Arial" w:cs="Arial" w:eastAsia="Arial" w:hAnsi="Arial"/>
          <w:sz w:val="18"/>
          <w:szCs w:val="18"/>
          <w:color w:val="auto"/>
        </w:rPr>
      </w:pPr>
    </w:p>
    <w:p>
      <w:pPr>
        <w:jc w:val="both"/>
        <w:ind w:firstLine="464"/>
        <w:spacing w:after="0" w:line="306" w:lineRule="auto"/>
        <w:tabs>
          <w:tab w:leader="none" w:pos="705" w:val="left"/>
        </w:tabs>
        <w:numPr>
          <w:ilvl w:val="1"/>
          <w:numId w:val="261"/>
        </w:numPr>
        <w:rPr>
          <w:rFonts w:ascii="Arial" w:cs="Arial" w:eastAsia="Arial" w:hAnsi="Arial"/>
          <w:sz w:val="16"/>
          <w:szCs w:val="16"/>
          <w:color w:val="auto"/>
        </w:rPr>
      </w:pPr>
      <w:r>
        <w:rPr>
          <w:rFonts w:ascii="Arial" w:cs="Arial" w:eastAsia="Arial" w:hAnsi="Arial"/>
          <w:sz w:val="16"/>
          <w:szCs w:val="16"/>
          <w:u w:val="single" w:color="auto"/>
          <w:color w:val="auto"/>
        </w:rPr>
        <w:t>Appointment of Committees</w:t>
      </w:r>
      <w:r>
        <w:rPr>
          <w:rFonts w:ascii="Arial" w:cs="Arial" w:eastAsia="Arial" w:hAnsi="Arial"/>
          <w:sz w:val="16"/>
          <w:szCs w:val="16"/>
          <w:color w:val="auto"/>
        </w:rPr>
        <w:t>. To the extent permitted by applicable law, the Board may delegate any or all of its powers under the Plan to one or more committees or subcommittees of the Board (a “Committee”). All references in the Plan to the “Board” shall mean the Board or a Committee of the Board or the officers referred to in Section 3(c) to the extent that the Board’s powers or authority under the Plan have been delegated to such Committee or officers.</w:t>
      </w:r>
    </w:p>
    <w:p>
      <w:pPr>
        <w:sectPr>
          <w:pgSz w:w="11900" w:h="16838" w:orient="portrait"/>
          <w:cols w:equalWidth="0" w:num="1">
            <w:col w:w="11420"/>
          </w:cols>
          <w:pgMar w:left="240" w:top="125" w:right="239" w:bottom="1440" w:gutter="0" w:footer="0" w:header="0"/>
        </w:sectPr>
      </w:pPr>
    </w:p>
    <w:bookmarkStart w:id="161" w:name="page162"/>
    <w:bookmarkEnd w:id="161"/>
    <w:p>
      <w:pPr>
        <w:jc w:val="both"/>
        <w:ind w:firstLine="464"/>
        <w:spacing w:after="0" w:line="290" w:lineRule="auto"/>
        <w:tabs>
          <w:tab w:leader="none" w:pos="695" w:val="left"/>
        </w:tabs>
        <w:numPr>
          <w:ilvl w:val="1"/>
          <w:numId w:val="26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Delegation to Officers</w:t>
      </w:r>
      <w:r>
        <w:rPr>
          <w:rFonts w:ascii="Arial" w:cs="Arial" w:eastAsia="Arial" w:hAnsi="Arial"/>
          <w:sz w:val="16"/>
          <w:szCs w:val="16"/>
          <w:color w:val="auto"/>
        </w:rPr>
        <w:t>. To the extent permitted by applicable law, the Board may delegate to one or more officers of the Company the power to grant Awards (subject to any limitations under the Plan) to employees or officers of the Company or any of its present or future subsidiary corporations and to exercise such other powers under the Plan as the Board may determine, provided that the Board shall fix the terms of the Awards to be granted by such officers (including the exercise price of such Awards, which may include a formula by which the exercise price will be determined) and the maximum number of shares subject to Awards that the officers may grant; provided further, however, that no officer shall be authorized to grant Awards to any “executive officer” of the Company (as defined by Rule 3b-7 under the Securities Exchange Act of 1934, as amended (the “Exchange Act”)) or to any “officer” of the Company (as defined by Rule 16a-1 under the Exchange Act).</w:t>
      </w:r>
    </w:p>
    <w:p>
      <w:pPr>
        <w:spacing w:after="0" w:line="239" w:lineRule="exact"/>
        <w:rPr>
          <w:rFonts w:ascii="Arial" w:cs="Arial" w:eastAsia="Arial" w:hAnsi="Arial"/>
          <w:sz w:val="16"/>
          <w:szCs w:val="16"/>
          <w:color w:val="auto"/>
        </w:rPr>
      </w:pPr>
    </w:p>
    <w:p>
      <w:pPr>
        <w:ind w:left="460" w:hanging="452"/>
        <w:spacing w:after="0"/>
        <w:tabs>
          <w:tab w:leader="none" w:pos="460"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Stock Available for Awards</w:t>
      </w:r>
    </w:p>
    <w:p>
      <w:pPr>
        <w:spacing w:after="0" w:line="90" w:lineRule="exact"/>
        <w:rPr>
          <w:rFonts w:ascii="Arial" w:cs="Arial" w:eastAsia="Arial" w:hAnsi="Arial"/>
          <w:sz w:val="18"/>
          <w:szCs w:val="18"/>
          <w:color w:val="auto"/>
        </w:rPr>
      </w:pPr>
    </w:p>
    <w:p>
      <w:pPr>
        <w:ind w:left="700" w:hanging="236"/>
        <w:spacing w:after="0"/>
        <w:tabs>
          <w:tab w:leader="none" w:pos="700" w:val="left"/>
        </w:tabs>
        <w:numPr>
          <w:ilvl w:val="1"/>
          <w:numId w:val="263"/>
        </w:numPr>
        <w:rPr>
          <w:rFonts w:ascii="Arial" w:cs="Arial" w:eastAsia="Arial" w:hAnsi="Arial"/>
          <w:sz w:val="18"/>
          <w:szCs w:val="18"/>
          <w:color w:val="auto"/>
        </w:rPr>
      </w:pPr>
      <w:r>
        <w:rPr>
          <w:rFonts w:ascii="Arial" w:cs="Arial" w:eastAsia="Arial" w:hAnsi="Arial"/>
          <w:sz w:val="18"/>
          <w:szCs w:val="18"/>
          <w:u w:val="single" w:color="auto"/>
          <w:color w:val="auto"/>
        </w:rPr>
        <w:t>Number of Shares; Share Counting</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firstLine="921"/>
        <w:spacing w:after="0" w:line="259" w:lineRule="auto"/>
        <w:tabs>
          <w:tab w:leader="none" w:pos="1161" w:val="left"/>
        </w:tabs>
        <w:numPr>
          <w:ilvl w:val="2"/>
          <w:numId w:val="263"/>
        </w:numPr>
        <w:rPr>
          <w:rFonts w:ascii="Arial" w:cs="Arial" w:eastAsia="Arial" w:hAnsi="Arial"/>
          <w:sz w:val="18"/>
          <w:szCs w:val="18"/>
          <w:color w:val="auto"/>
        </w:rPr>
      </w:pPr>
      <w:r>
        <w:rPr>
          <w:rFonts w:ascii="Arial" w:cs="Arial" w:eastAsia="Arial" w:hAnsi="Arial"/>
          <w:sz w:val="18"/>
          <w:szCs w:val="18"/>
          <w:u w:val="single" w:color="auto"/>
          <w:color w:val="auto"/>
        </w:rPr>
        <w:t>Authorized Number of Shares</w:t>
      </w:r>
      <w:r>
        <w:rPr>
          <w:rFonts w:ascii="Arial" w:cs="Arial" w:eastAsia="Arial" w:hAnsi="Arial"/>
          <w:sz w:val="18"/>
          <w:szCs w:val="18"/>
          <w:color w:val="auto"/>
        </w:rPr>
        <w:t>. Subject to adjustment under Section 9, Awards may be made under the Plan for up to 3,000,000 shares of common stock, $0.01 par value per share, of the Company (the “Common Stock”). Shares issued under the Plan may consist in whole or in part of authorized but unissued shares or treasury shares.</w:t>
      </w:r>
    </w:p>
    <w:p>
      <w:pPr>
        <w:spacing w:after="0" w:line="140" w:lineRule="exact"/>
        <w:rPr>
          <w:rFonts w:ascii="Arial" w:cs="Arial" w:eastAsia="Arial" w:hAnsi="Arial"/>
          <w:sz w:val="18"/>
          <w:szCs w:val="18"/>
          <w:color w:val="auto"/>
        </w:rPr>
      </w:pPr>
    </w:p>
    <w:p>
      <w:pPr>
        <w:jc w:val="both"/>
        <w:ind w:firstLine="921"/>
        <w:spacing w:after="0" w:line="286" w:lineRule="auto"/>
        <w:tabs>
          <w:tab w:leader="none" w:pos="1189" w:val="left"/>
        </w:tabs>
        <w:numPr>
          <w:ilvl w:val="2"/>
          <w:numId w:val="263"/>
        </w:numPr>
        <w:rPr>
          <w:rFonts w:ascii="Arial" w:cs="Arial" w:eastAsia="Arial" w:hAnsi="Arial"/>
          <w:sz w:val="16"/>
          <w:szCs w:val="16"/>
          <w:color w:val="auto"/>
        </w:rPr>
      </w:pPr>
      <w:r>
        <w:rPr>
          <w:rFonts w:ascii="Arial" w:cs="Arial" w:eastAsia="Arial" w:hAnsi="Arial"/>
          <w:sz w:val="16"/>
          <w:szCs w:val="16"/>
          <w:u w:val="single" w:color="auto"/>
          <w:color w:val="auto"/>
        </w:rPr>
        <w:t>Share Counting</w:t>
      </w:r>
      <w:r>
        <w:rPr>
          <w:rFonts w:ascii="Arial" w:cs="Arial" w:eastAsia="Arial" w:hAnsi="Arial"/>
          <w:sz w:val="16"/>
          <w:szCs w:val="16"/>
          <w:color w:val="auto"/>
        </w:rPr>
        <w:t xml:space="preserve">. For purposes of counting the number of shares available for the grant of Awards under the Plan and under the sub-limits contained in Section 4(b)(2), (i) all shares of Common Stock covered by independent SARs shall be counted against the number of shares available for the grant of Awards;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independent SARs that may be settled in cash only shall not be so counted; (ii) if any Award (A) expires or is terminated, surrendered or canceled without having been fully exercised or is forfeited in whole or in part (including as the result of shares of Common Stock subject to such Award being repurchased by the Company at the original issuance price pursuant to a contractual repurchase right) or (B) results in any Common Stock not being issued (including as a result of an independent SAR that was settleable either in cash or in stock actually being settled in cash), the unused Common Stock covered by such Award shall again be available for the grant of Awards;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the case of Incentive Stock Options (as hereinafter defined), the foregoing shall be subject to any limitations under the Code; and provided further, in the case of independent SARs, that the full number of shares subject to any stock-settled SAR shall be counted against the shares available under the Plan and against the sub-limits listed in the first clause of this Section regardless of the number of shares actually used to settle such SAR upon exercise; (iii) shares of Common Stock tendered to the Company by a Participant to (A) purchase shares of Common Stock upon the exercise of an Award or (B) satisfy tax withholding obligations (including shares retained from the Award creating the tax obligation) shall not be added back to the number of shares available for the future grant of Awards; and (iv) shares of Common Stock repurchased by the Company on the open market using the proceeds from the exercise of an Award shall not increase the number of shares available for future grant of Awards.</w:t>
      </w:r>
    </w:p>
    <w:p>
      <w:pPr>
        <w:spacing w:after="0" w:line="120" w:lineRule="exact"/>
        <w:rPr>
          <w:rFonts w:ascii="Arial" w:cs="Arial" w:eastAsia="Arial" w:hAnsi="Arial"/>
          <w:sz w:val="16"/>
          <w:szCs w:val="16"/>
          <w:color w:val="auto"/>
        </w:rPr>
      </w:pPr>
    </w:p>
    <w:p>
      <w:pPr>
        <w:ind w:left="720" w:hanging="256"/>
        <w:spacing w:after="0"/>
        <w:tabs>
          <w:tab w:leader="none" w:pos="720" w:val="left"/>
        </w:tabs>
        <w:numPr>
          <w:ilvl w:val="1"/>
          <w:numId w:val="263"/>
        </w:numPr>
        <w:rPr>
          <w:rFonts w:ascii="Arial" w:cs="Arial" w:eastAsia="Arial" w:hAnsi="Arial"/>
          <w:sz w:val="18"/>
          <w:szCs w:val="18"/>
          <w:color w:val="auto"/>
        </w:rPr>
      </w:pPr>
      <w:r>
        <w:rPr>
          <w:rFonts w:ascii="Arial" w:cs="Arial" w:eastAsia="Arial" w:hAnsi="Arial"/>
          <w:sz w:val="18"/>
          <w:szCs w:val="18"/>
          <w:u w:val="single" w:color="auto"/>
          <w:color w:val="auto"/>
        </w:rPr>
        <w:t>Sub-limits</w:t>
      </w:r>
      <w:r>
        <w:rPr>
          <w:rFonts w:ascii="Arial" w:cs="Arial" w:eastAsia="Arial" w:hAnsi="Arial"/>
          <w:sz w:val="18"/>
          <w:szCs w:val="18"/>
          <w:color w:val="auto"/>
        </w:rPr>
        <w:t>. Subject to adjustment under Section 9, the following sub-limits on the number of shares subject to Awards shall apply:</w:t>
      </w:r>
    </w:p>
    <w:p>
      <w:pPr>
        <w:spacing w:after="0" w:line="90" w:lineRule="exact"/>
        <w:rPr>
          <w:rFonts w:ascii="Arial" w:cs="Arial" w:eastAsia="Arial" w:hAnsi="Arial"/>
          <w:sz w:val="18"/>
          <w:szCs w:val="18"/>
          <w:color w:val="auto"/>
        </w:rPr>
      </w:pPr>
    </w:p>
    <w:p>
      <w:pPr>
        <w:jc w:val="both"/>
        <w:ind w:firstLine="921"/>
        <w:spacing w:after="0" w:line="298" w:lineRule="auto"/>
        <w:tabs>
          <w:tab w:leader="none" w:pos="1161" w:val="left"/>
        </w:tabs>
        <w:numPr>
          <w:ilvl w:val="2"/>
          <w:numId w:val="263"/>
        </w:numPr>
        <w:rPr>
          <w:rFonts w:ascii="Arial" w:cs="Arial" w:eastAsia="Arial" w:hAnsi="Arial"/>
          <w:sz w:val="16"/>
          <w:szCs w:val="16"/>
          <w:color w:val="auto"/>
        </w:rPr>
      </w:pPr>
      <w:r>
        <w:rPr>
          <w:rFonts w:ascii="Arial" w:cs="Arial" w:eastAsia="Arial" w:hAnsi="Arial"/>
          <w:sz w:val="16"/>
          <w:szCs w:val="16"/>
          <w:u w:val="single" w:color="auto"/>
          <w:color w:val="auto"/>
        </w:rPr>
        <w:t>Section 162(m) Per-Participant Limit</w:t>
      </w:r>
      <w:r>
        <w:rPr>
          <w:rFonts w:ascii="Arial" w:cs="Arial" w:eastAsia="Arial" w:hAnsi="Arial"/>
          <w:sz w:val="16"/>
          <w:szCs w:val="16"/>
          <w:color w:val="auto"/>
        </w:rPr>
        <w:t>. The maximum number of shares of Common Stock with respect to which Awards may be granted to any Participant under the Plan shall be 1,000,000 per calendar year. For purposes of the foregoing limit, the combination of an Option in tandem with an SAR (as each is hereafter defined) shall be treated as a single Award. The per-Participant limit described in this Section 4(b)(1) shall be construed and applied consistently with Section 162(m) of the Code or any successor provision thereto, and the regulations thereunder (“Section 162(m)”).</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62" w:name="page163"/>
    <w:bookmarkEnd w:id="162"/>
    <w:p>
      <w:pPr>
        <w:ind w:firstLine="921"/>
        <w:spacing w:after="0" w:line="268" w:lineRule="auto"/>
        <w:tabs>
          <w:tab w:leader="none" w:pos="1175" w:val="left"/>
        </w:tabs>
        <w:numPr>
          <w:ilvl w:val="2"/>
          <w:numId w:val="26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Limit on Awards other than Options and SARS</w:t>
      </w:r>
      <w:r>
        <w:rPr>
          <w:rFonts w:ascii="Arial" w:cs="Arial" w:eastAsia="Arial" w:hAnsi="Arial"/>
          <w:sz w:val="18"/>
          <w:szCs w:val="18"/>
          <w:color w:val="auto"/>
        </w:rPr>
        <w:t>. The maximum number of shares with respect to which Awards other than Options and SARs may be granted shall be 600,000.</w:t>
      </w:r>
    </w:p>
    <w:p>
      <w:pPr>
        <w:spacing w:after="0" w:line="131" w:lineRule="exact"/>
        <w:rPr>
          <w:rFonts w:ascii="Arial" w:cs="Arial" w:eastAsia="Arial" w:hAnsi="Arial"/>
          <w:sz w:val="18"/>
          <w:szCs w:val="18"/>
          <w:color w:val="auto"/>
        </w:rPr>
      </w:pPr>
    </w:p>
    <w:p>
      <w:pPr>
        <w:jc w:val="both"/>
        <w:ind w:firstLine="464"/>
        <w:spacing w:after="0" w:line="255" w:lineRule="auto"/>
        <w:tabs>
          <w:tab w:leader="none" w:pos="695" w:val="left"/>
        </w:tabs>
        <w:numPr>
          <w:ilvl w:val="1"/>
          <w:numId w:val="265"/>
        </w:numPr>
        <w:rPr>
          <w:rFonts w:ascii="Arial" w:cs="Arial" w:eastAsia="Arial" w:hAnsi="Arial"/>
          <w:sz w:val="18"/>
          <w:szCs w:val="18"/>
          <w:color w:val="auto"/>
        </w:rPr>
      </w:pPr>
      <w:r>
        <w:rPr>
          <w:rFonts w:ascii="Arial" w:cs="Arial" w:eastAsia="Arial" w:hAnsi="Arial"/>
          <w:sz w:val="18"/>
          <w:szCs w:val="18"/>
          <w:u w:val="single" w:color="auto"/>
          <w:color w:val="auto"/>
        </w:rPr>
        <w:t>Substitute Awards</w:t>
      </w:r>
      <w:r>
        <w:rPr>
          <w:rFonts w:ascii="Arial" w:cs="Arial" w:eastAsia="Arial" w:hAnsi="Arial"/>
          <w:sz w:val="18"/>
          <w:szCs w:val="18"/>
          <w:color w:val="auto"/>
        </w:rPr>
        <w:t>. In connection with a merger or consolidation of an entity with the Company or the acquisition by the Company of property or stock of an entity, the Board may grant Awards in substitution for any options or other stock or stock-based awards granted by such entity or an affiliate thereof. Substitute Awards may be granted on such terms as the Board deems appropriate in the circumstances, notwithstanding any limitations on Awards contained in the Plan. Substitute Awards shall not count against the overall share limit set forth in Section 4(a)(1) or any sub-limits contained in the Plan, except as may be required by reason of Section 422 and related provisions of the Code.</w:t>
      </w:r>
    </w:p>
    <w:p>
      <w:pPr>
        <w:spacing w:after="0" w:line="264" w:lineRule="exact"/>
        <w:rPr>
          <w:rFonts w:ascii="Arial" w:cs="Arial" w:eastAsia="Arial" w:hAnsi="Arial"/>
          <w:sz w:val="18"/>
          <w:szCs w:val="18"/>
          <w:color w:val="auto"/>
        </w:rPr>
      </w:pPr>
    </w:p>
    <w:p>
      <w:pPr>
        <w:ind w:left="460" w:hanging="452"/>
        <w:spacing w:after="0"/>
        <w:tabs>
          <w:tab w:leader="none" w:pos="460"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Stock Options</w:t>
      </w:r>
    </w:p>
    <w:p>
      <w:pPr>
        <w:spacing w:after="0" w:line="90" w:lineRule="exact"/>
        <w:rPr>
          <w:rFonts w:ascii="Arial" w:cs="Arial" w:eastAsia="Arial" w:hAnsi="Arial"/>
          <w:sz w:val="18"/>
          <w:szCs w:val="18"/>
          <w:color w:val="auto"/>
        </w:rPr>
      </w:pPr>
    </w:p>
    <w:p>
      <w:pPr>
        <w:jc w:val="both"/>
        <w:ind w:firstLine="464"/>
        <w:spacing w:after="0" w:line="256" w:lineRule="auto"/>
        <w:tabs>
          <w:tab w:leader="none" w:pos="709" w:val="left"/>
        </w:tabs>
        <w:numPr>
          <w:ilvl w:val="1"/>
          <w:numId w:val="266"/>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Board may grant options to purchase Common Stock (each, an “Option”) and determine the number of shares of Common Stock to be covered by each Option, the exercise price of each Option and the conditions and limitations applicable to the exercise of each Option, including conditions relating to applicable federal or state securities laws, as it considers necessary or advisable. An Option which is not intended to be an Incentive Stock Option (as hereinafter defined) shall be designated a “Nonstatutory Stock Option”.</w:t>
      </w:r>
    </w:p>
    <w:p>
      <w:pPr>
        <w:spacing w:after="0" w:line="143" w:lineRule="exact"/>
        <w:rPr>
          <w:rFonts w:ascii="Arial" w:cs="Arial" w:eastAsia="Arial" w:hAnsi="Arial"/>
          <w:sz w:val="18"/>
          <w:szCs w:val="18"/>
          <w:color w:val="auto"/>
        </w:rPr>
      </w:pPr>
    </w:p>
    <w:p>
      <w:pPr>
        <w:jc w:val="both"/>
        <w:ind w:firstLine="464"/>
        <w:spacing w:after="0" w:line="291" w:lineRule="auto"/>
        <w:tabs>
          <w:tab w:leader="none" w:pos="705" w:val="left"/>
        </w:tabs>
        <w:numPr>
          <w:ilvl w:val="1"/>
          <w:numId w:val="266"/>
        </w:numPr>
        <w:rPr>
          <w:rFonts w:ascii="Arial" w:cs="Arial" w:eastAsia="Arial" w:hAnsi="Arial"/>
          <w:sz w:val="16"/>
          <w:szCs w:val="16"/>
          <w:color w:val="auto"/>
        </w:rPr>
      </w:pPr>
      <w:r>
        <w:rPr>
          <w:rFonts w:ascii="Arial" w:cs="Arial" w:eastAsia="Arial" w:hAnsi="Arial"/>
          <w:sz w:val="16"/>
          <w:szCs w:val="16"/>
          <w:u w:val="single" w:color="auto"/>
          <w:color w:val="auto"/>
        </w:rPr>
        <w:t>Incentive Stock Options</w:t>
      </w:r>
      <w:r>
        <w:rPr>
          <w:rFonts w:ascii="Arial" w:cs="Arial" w:eastAsia="Arial" w:hAnsi="Arial"/>
          <w:sz w:val="16"/>
          <w:szCs w:val="16"/>
          <w:color w:val="auto"/>
        </w:rPr>
        <w:t>. An Option that the Board intends to be an “incentive stock option” as defined in Section 422 of the Code (an “Incentive Stock Option”) shall only be granted to employees of the Company, any of the Company’s present or future parent or subsidiary corporations as defined in Section 424(e) or (f) of the Code, and any other entities the employees of which are eligible to receive Incentive Stock Options under the Code, and shall be subject to and shall be construed consistently with the requirements of Section 422 of the Code. The Company shall have no liability to a Participant, or any other party, if an Option (or any part thereof) that is intended to be an Incentive Stock Option is not an Incentive Stock Option or for any action taken by the Board, including without limitation the conversion of an Incentive Stock Option to a Nonstatutory Stock Option.</w:t>
      </w:r>
    </w:p>
    <w:p>
      <w:pPr>
        <w:spacing w:after="0" w:line="120" w:lineRule="exact"/>
        <w:rPr>
          <w:rFonts w:ascii="Arial" w:cs="Arial" w:eastAsia="Arial" w:hAnsi="Arial"/>
          <w:sz w:val="16"/>
          <w:szCs w:val="16"/>
          <w:color w:val="auto"/>
        </w:rPr>
      </w:pPr>
    </w:p>
    <w:p>
      <w:pPr>
        <w:jc w:val="both"/>
        <w:ind w:firstLine="464"/>
        <w:spacing w:after="0" w:line="256" w:lineRule="auto"/>
        <w:tabs>
          <w:tab w:leader="none" w:pos="709" w:val="left"/>
        </w:tabs>
        <w:numPr>
          <w:ilvl w:val="1"/>
          <w:numId w:val="266"/>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Board shall establish the exercise price of each Option and specify such exercise price in the applicable option agreement. The exercise price shall be not less than 100% of the Fair Market Value (as defined below) on the date the Option is granted; provided that if the Board approves the grant of an Option with an exercise price to be determined on a future date, the exercise price shall be not less than 100% of the Fair Market Value on such future date.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63" w:name="page164"/>
    <w:bookmarkEnd w:id="163"/>
    <w:p>
      <w:pPr>
        <w:ind w:firstLine="464"/>
        <w:spacing w:after="0" w:line="268" w:lineRule="auto"/>
        <w:tabs>
          <w:tab w:leader="none" w:pos="705"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Duration of Options</w:t>
      </w:r>
      <w:r>
        <w:rPr>
          <w:rFonts w:ascii="Arial" w:cs="Arial" w:eastAsia="Arial" w:hAnsi="Arial"/>
          <w:sz w:val="18"/>
          <w:szCs w:val="18"/>
          <w:color w:val="auto"/>
        </w:rPr>
        <w:t xml:space="preserve">. Each Option shall be exercisable at such times and subject to such terms and conditions as the Board may specify in the applicable option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Option will be granted for a term in excess of 10 years.</w:t>
      </w:r>
    </w:p>
    <w:p>
      <w:pPr>
        <w:spacing w:after="0" w:line="131" w:lineRule="exact"/>
        <w:rPr>
          <w:rFonts w:ascii="Arial" w:cs="Arial" w:eastAsia="Arial" w:hAnsi="Arial"/>
          <w:sz w:val="18"/>
          <w:szCs w:val="18"/>
          <w:color w:val="auto"/>
        </w:rPr>
      </w:pPr>
    </w:p>
    <w:p>
      <w:pPr>
        <w:jc w:val="both"/>
        <w:ind w:firstLine="464"/>
        <w:spacing w:after="0" w:line="259" w:lineRule="auto"/>
        <w:tabs>
          <w:tab w:leader="none" w:pos="695"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 Options may be exercised by delivery to the Company of a written notice of exercise signed by the proper person or by any other form of notice (including electronic notice) approved by the Board together with payment in full as specified in Section 5(f) for the number of shares for which the Option is exercised.</w:t>
      </w:r>
    </w:p>
    <w:p>
      <w:pPr>
        <w:spacing w:after="0" w:line="140" w:lineRule="exact"/>
        <w:rPr>
          <w:rFonts w:ascii="Arial" w:cs="Arial" w:eastAsia="Arial" w:hAnsi="Arial"/>
          <w:sz w:val="18"/>
          <w:szCs w:val="18"/>
          <w:color w:val="auto"/>
        </w:rPr>
      </w:pPr>
    </w:p>
    <w:p>
      <w:pPr>
        <w:ind w:left="680" w:hanging="216"/>
        <w:spacing w:after="0"/>
        <w:tabs>
          <w:tab w:leader="none" w:pos="680" w:val="left"/>
        </w:tabs>
        <w:numPr>
          <w:ilvl w:val="0"/>
          <w:numId w:val="267"/>
        </w:numPr>
        <w:rPr>
          <w:rFonts w:ascii="Arial" w:cs="Arial" w:eastAsia="Arial" w:hAnsi="Arial"/>
          <w:sz w:val="16"/>
          <w:szCs w:val="16"/>
          <w:color w:val="auto"/>
        </w:rPr>
      </w:pPr>
      <w:r>
        <w:rPr>
          <w:rFonts w:ascii="Arial" w:cs="Arial" w:eastAsia="Arial" w:hAnsi="Arial"/>
          <w:sz w:val="16"/>
          <w:szCs w:val="16"/>
          <w:u w:val="single" w:color="auto"/>
          <w:color w:val="auto"/>
        </w:rPr>
        <w:t>Payment Upon Exercise</w:t>
      </w:r>
      <w:r>
        <w:rPr>
          <w:rFonts w:ascii="Arial" w:cs="Arial" w:eastAsia="Arial" w:hAnsi="Arial"/>
          <w:sz w:val="16"/>
          <w:szCs w:val="16"/>
          <w:color w:val="auto"/>
        </w:rPr>
        <w:t>. Common Stock purchased upon the exercise of an Option granted under the Plan shall be paid for as follows:</w:t>
      </w:r>
    </w:p>
    <w:p>
      <w:pPr>
        <w:spacing w:after="0" w:line="113" w:lineRule="exact"/>
        <w:rPr>
          <w:rFonts w:ascii="Arial" w:cs="Arial" w:eastAsia="Arial" w:hAnsi="Arial"/>
          <w:sz w:val="16"/>
          <w:szCs w:val="16"/>
          <w:color w:val="auto"/>
        </w:rPr>
      </w:pPr>
    </w:p>
    <w:p>
      <w:pPr>
        <w:ind w:left="1160" w:hanging="239"/>
        <w:spacing w:after="0"/>
        <w:tabs>
          <w:tab w:leader="none" w:pos="1160" w:val="left"/>
        </w:tabs>
        <w:numPr>
          <w:ilvl w:val="1"/>
          <w:numId w:val="267"/>
        </w:numPr>
        <w:rPr>
          <w:rFonts w:ascii="Arial" w:cs="Arial" w:eastAsia="Arial" w:hAnsi="Arial"/>
          <w:sz w:val="18"/>
          <w:szCs w:val="18"/>
          <w:color w:val="auto"/>
        </w:rPr>
      </w:pPr>
      <w:r>
        <w:rPr>
          <w:rFonts w:ascii="Arial" w:cs="Arial" w:eastAsia="Arial" w:hAnsi="Arial"/>
          <w:sz w:val="18"/>
          <w:szCs w:val="18"/>
          <w:color w:val="auto"/>
        </w:rPr>
        <w:t>in cash or by check, payable to the order of the Company;</w:t>
      </w:r>
    </w:p>
    <w:p>
      <w:pPr>
        <w:spacing w:after="0" w:line="171" w:lineRule="exact"/>
        <w:rPr>
          <w:rFonts w:ascii="Arial" w:cs="Arial" w:eastAsia="Arial" w:hAnsi="Arial"/>
          <w:sz w:val="18"/>
          <w:szCs w:val="18"/>
          <w:color w:val="auto"/>
        </w:rPr>
      </w:pPr>
    </w:p>
    <w:p>
      <w:pPr>
        <w:jc w:val="both"/>
        <w:ind w:firstLine="921"/>
        <w:spacing w:after="0" w:line="256" w:lineRule="auto"/>
        <w:tabs>
          <w:tab w:leader="none" w:pos="1193" w:val="left"/>
        </w:tabs>
        <w:numPr>
          <w:ilvl w:val="1"/>
          <w:numId w:val="267"/>
        </w:numPr>
        <w:rPr>
          <w:rFonts w:ascii="Arial" w:cs="Arial" w:eastAsia="Arial" w:hAnsi="Arial"/>
          <w:sz w:val="18"/>
          <w:szCs w:val="18"/>
          <w:color w:val="auto"/>
        </w:rPr>
      </w:pPr>
      <w:r>
        <w:rPr>
          <w:rFonts w:ascii="Arial" w:cs="Arial" w:eastAsia="Arial" w:hAnsi="Arial"/>
          <w:sz w:val="18"/>
          <w:szCs w:val="18"/>
          <w:color w:val="auto"/>
        </w:rPr>
        <w:t>except as the Board may otherwise provide in an option agreement,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cash or a check sufficient to pay the exercise price and any required tax withholding;</w:t>
      </w:r>
    </w:p>
    <w:p>
      <w:pPr>
        <w:spacing w:after="0" w:line="143" w:lineRule="exact"/>
        <w:rPr>
          <w:rFonts w:ascii="Arial" w:cs="Arial" w:eastAsia="Arial" w:hAnsi="Arial"/>
          <w:sz w:val="18"/>
          <w:szCs w:val="18"/>
          <w:color w:val="auto"/>
        </w:rPr>
      </w:pPr>
    </w:p>
    <w:p>
      <w:pPr>
        <w:jc w:val="both"/>
        <w:ind w:firstLine="921"/>
        <w:spacing w:after="0" w:line="298" w:lineRule="auto"/>
        <w:tabs>
          <w:tab w:leader="none" w:pos="1164" w:val="left"/>
        </w:tabs>
        <w:numPr>
          <w:ilvl w:val="1"/>
          <w:numId w:val="267"/>
        </w:numPr>
        <w:rPr>
          <w:rFonts w:ascii="Arial" w:cs="Arial" w:eastAsia="Arial" w:hAnsi="Arial"/>
          <w:sz w:val="16"/>
          <w:szCs w:val="16"/>
          <w:color w:val="auto"/>
        </w:rPr>
      </w:pPr>
      <w:r>
        <w:rPr>
          <w:rFonts w:ascii="Arial" w:cs="Arial" w:eastAsia="Arial" w:hAnsi="Arial"/>
          <w:sz w:val="16"/>
          <w:szCs w:val="16"/>
          <w:color w:val="auto"/>
        </w:rPr>
        <w:t>when the Common Stock is registered under the Securities Exchange Act of 1934 (the “Exchange Act”), by delivery of shares of Common Stock owned by the Participant valued at their fair market value as determined by (or in a manner approved by) the Board (“Fair Market Value”), provided (i) such method of payment is then permitted under applicable law, (ii) such Common Stock, if acquired directly from the Company, was owned by the Participant at least six months prior to such delivery and (iii) such Common Stock is not subject to any repurchase, forfeiture, unfulfilled vesting or other similar requirements;</w:t>
      </w:r>
    </w:p>
    <w:p>
      <w:pPr>
        <w:spacing w:after="0" w:line="112" w:lineRule="exact"/>
        <w:rPr>
          <w:rFonts w:ascii="Arial" w:cs="Arial" w:eastAsia="Arial" w:hAnsi="Arial"/>
          <w:sz w:val="16"/>
          <w:szCs w:val="16"/>
          <w:color w:val="auto"/>
        </w:rPr>
      </w:pPr>
    </w:p>
    <w:p>
      <w:pPr>
        <w:ind w:firstLine="921"/>
        <w:spacing w:after="0" w:line="332" w:lineRule="auto"/>
        <w:tabs>
          <w:tab w:leader="none" w:pos="1168" w:val="left"/>
        </w:tabs>
        <w:numPr>
          <w:ilvl w:val="1"/>
          <w:numId w:val="267"/>
        </w:numPr>
        <w:rPr>
          <w:rFonts w:ascii="Arial" w:cs="Arial" w:eastAsia="Arial" w:hAnsi="Arial"/>
          <w:sz w:val="16"/>
          <w:szCs w:val="16"/>
          <w:color w:val="auto"/>
        </w:rPr>
      </w:pPr>
      <w:r>
        <w:rPr>
          <w:rFonts w:ascii="Arial" w:cs="Arial" w:eastAsia="Arial" w:hAnsi="Arial"/>
          <w:sz w:val="16"/>
          <w:szCs w:val="16"/>
          <w:color w:val="auto"/>
        </w:rPr>
        <w:t>to the extent permitted by applicable law and by the Board and provided for in the option agreement, by (i) delivery of a promissory note of the Participant to the Company on terms determined by the Board, or (ii) payment of such other lawful consideration as the Board may determine; or</w:t>
      </w:r>
    </w:p>
    <w:p>
      <w:pPr>
        <w:spacing w:after="0" w:line="85" w:lineRule="exact"/>
        <w:rPr>
          <w:rFonts w:ascii="Arial" w:cs="Arial" w:eastAsia="Arial" w:hAnsi="Arial"/>
          <w:sz w:val="16"/>
          <w:szCs w:val="16"/>
          <w:color w:val="auto"/>
        </w:rPr>
      </w:pPr>
    </w:p>
    <w:p>
      <w:pPr>
        <w:ind w:left="1160" w:hanging="239"/>
        <w:spacing w:after="0"/>
        <w:tabs>
          <w:tab w:leader="none" w:pos="1160" w:val="left"/>
        </w:tabs>
        <w:numPr>
          <w:ilvl w:val="1"/>
          <w:numId w:val="267"/>
        </w:numPr>
        <w:rPr>
          <w:rFonts w:ascii="Arial" w:cs="Arial" w:eastAsia="Arial" w:hAnsi="Arial"/>
          <w:sz w:val="18"/>
          <w:szCs w:val="18"/>
          <w:color w:val="auto"/>
        </w:rPr>
      </w:pPr>
      <w:r>
        <w:rPr>
          <w:rFonts w:ascii="Arial" w:cs="Arial" w:eastAsia="Arial" w:hAnsi="Arial"/>
          <w:sz w:val="18"/>
          <w:szCs w:val="18"/>
          <w:color w:val="auto"/>
        </w:rPr>
        <w:t>by any combination of the above permitted forms of payment.</w:t>
      </w:r>
    </w:p>
    <w:p>
      <w:pPr>
        <w:spacing w:after="0" w:line="171" w:lineRule="exact"/>
        <w:rPr>
          <w:rFonts w:ascii="Arial" w:cs="Arial" w:eastAsia="Arial" w:hAnsi="Arial"/>
          <w:sz w:val="18"/>
          <w:szCs w:val="18"/>
          <w:color w:val="auto"/>
        </w:rPr>
      </w:pPr>
    </w:p>
    <w:p>
      <w:pPr>
        <w:jc w:val="both"/>
        <w:ind w:firstLine="464"/>
        <w:spacing w:after="0" w:line="255" w:lineRule="auto"/>
        <w:tabs>
          <w:tab w:leader="none" w:pos="719"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Limitation on Repricing</w:t>
      </w:r>
      <w:r>
        <w:rPr>
          <w:rFonts w:ascii="Arial" w:cs="Arial" w:eastAsia="Arial" w:hAnsi="Arial"/>
          <w:sz w:val="18"/>
          <w:szCs w:val="18"/>
          <w:color w:val="auto"/>
        </w:rPr>
        <w:t>. Unless such action is approved by the Company’s stockholders: (1) no outstanding Option granted under the Plan may be amended to provide an exercise price per share that is lower than the then-current exercise price per share of such outstanding Option (other than adjustments pursuant to Section 9) and (2) the Board may not cancel any outstanding Option (whether or not granted under the Plan) and grant in substitution therefor new Awards under the Plan covering the same or a different number of shares of Common Stock and having an exercise price per share lower than the then-current exercise price per share of the cancelled Option.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64" w:name="page165"/>
    <w:bookmarkEnd w:id="164"/>
    <w:p>
      <w:pPr>
        <w:ind w:left="460" w:hanging="452"/>
        <w:spacing w:after="0"/>
        <w:tabs>
          <w:tab w:leader="none" w:pos="460"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Appreciation Rights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firstLine="464"/>
        <w:spacing w:after="0" w:line="294" w:lineRule="auto"/>
        <w:tabs>
          <w:tab w:leader="none" w:pos="709" w:val="left"/>
        </w:tabs>
        <w:numPr>
          <w:ilvl w:val="1"/>
          <w:numId w:val="268"/>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A Stock Appreciation Right, or SAR, is an Award entitling the holder, upon exercise, to receive an amount in cash or Common Stock or a combination thereof (such form to be determined by the Board) determined in whole or in part by reference to appreciation, from and after the date of grant, in the fair market value of a share of Common Stock. SARs may be based solely on appreciation in the fair market value of Common Stock or on a comparison of such appreciation with some other measure of market growth such as (but not limited to) appreciation in a recognized market index. The date as of which such appreciation or other measure is determined shall be the exercise date unless another date is specified by the Board in the SAR Award.</w:t>
      </w:r>
    </w:p>
    <w:p>
      <w:pPr>
        <w:spacing w:after="0" w:line="115" w:lineRule="exact"/>
        <w:rPr>
          <w:rFonts w:ascii="Arial" w:cs="Arial" w:eastAsia="Arial" w:hAnsi="Arial"/>
          <w:sz w:val="16"/>
          <w:szCs w:val="16"/>
          <w:color w:val="auto"/>
        </w:rPr>
      </w:pPr>
    </w:p>
    <w:p>
      <w:pPr>
        <w:ind w:left="720" w:hanging="256"/>
        <w:spacing w:after="0"/>
        <w:tabs>
          <w:tab w:leader="none" w:pos="720" w:val="left"/>
        </w:tabs>
        <w:numPr>
          <w:ilvl w:val="1"/>
          <w:numId w:val="268"/>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SARs may be granted in tandem with, or independently of, Options granted under the Plan.</w:t>
      </w:r>
    </w:p>
    <w:p>
      <w:pPr>
        <w:spacing w:after="0" w:line="90" w:lineRule="exact"/>
        <w:rPr>
          <w:rFonts w:ascii="Arial" w:cs="Arial" w:eastAsia="Arial" w:hAnsi="Arial"/>
          <w:sz w:val="18"/>
          <w:szCs w:val="18"/>
          <w:color w:val="auto"/>
        </w:rPr>
      </w:pPr>
    </w:p>
    <w:p>
      <w:pPr>
        <w:jc w:val="both"/>
        <w:ind w:firstLine="921"/>
        <w:spacing w:after="0" w:line="290" w:lineRule="auto"/>
        <w:tabs>
          <w:tab w:leader="none" w:pos="1161" w:val="left"/>
        </w:tabs>
        <w:numPr>
          <w:ilvl w:val="2"/>
          <w:numId w:val="268"/>
        </w:numPr>
        <w:rPr>
          <w:rFonts w:ascii="Arial" w:cs="Arial" w:eastAsia="Arial" w:hAnsi="Arial"/>
          <w:sz w:val="16"/>
          <w:szCs w:val="16"/>
          <w:color w:val="auto"/>
        </w:rPr>
      </w:pPr>
      <w:r>
        <w:rPr>
          <w:rFonts w:ascii="Arial" w:cs="Arial" w:eastAsia="Arial" w:hAnsi="Arial"/>
          <w:sz w:val="16"/>
          <w:szCs w:val="16"/>
          <w:u w:val="single" w:color="auto"/>
          <w:color w:val="auto"/>
        </w:rPr>
        <w:t>Tandem Awards</w:t>
      </w:r>
      <w:r>
        <w:rPr>
          <w:rFonts w:ascii="Arial" w:cs="Arial" w:eastAsia="Arial" w:hAnsi="Arial"/>
          <w:sz w:val="16"/>
          <w:szCs w:val="16"/>
          <w:color w:val="auto"/>
        </w:rPr>
        <w:t>. When SARs are expressly granted in tandem with Options, (i) the SAR will be exercisable only at such time or times, and to the extent, that the related Option is exercisable (except to the extent designated by the Board in connection with a Reorganization Event) and will be exercisable in accordance with the procedure required for exercise of the related Option; (ii) the SAR will terminate and no longer be exercisable upon the termination or exercise of the related Option, except to the extent designated by the Board in connection with a Reorganization Event and except that a SAR granted with respect to less than the full number of shares covered by an Option will not be reduced until the number of shares as to which the related Option has been exercised or has terminated exceeds the number of shares not covered by the SAR; (iii) the Option will terminate and no longer be exercisable upon the exercise of the related SAR; and (iv) the SAR will be transferable only with the related Option.</w:t>
      </w:r>
    </w:p>
    <w:p>
      <w:pPr>
        <w:spacing w:after="0" w:line="118" w:lineRule="exact"/>
        <w:rPr>
          <w:rFonts w:ascii="Arial" w:cs="Arial" w:eastAsia="Arial" w:hAnsi="Arial"/>
          <w:sz w:val="16"/>
          <w:szCs w:val="16"/>
          <w:color w:val="auto"/>
        </w:rPr>
      </w:pPr>
    </w:p>
    <w:p>
      <w:pPr>
        <w:ind w:firstLine="921"/>
        <w:spacing w:after="0" w:line="268" w:lineRule="auto"/>
        <w:tabs>
          <w:tab w:leader="none" w:pos="1189" w:val="left"/>
        </w:tabs>
        <w:numPr>
          <w:ilvl w:val="2"/>
          <w:numId w:val="268"/>
        </w:numPr>
        <w:rPr>
          <w:rFonts w:ascii="Arial" w:cs="Arial" w:eastAsia="Arial" w:hAnsi="Arial"/>
          <w:sz w:val="18"/>
          <w:szCs w:val="18"/>
          <w:color w:val="auto"/>
        </w:rPr>
      </w:pPr>
      <w:r>
        <w:rPr>
          <w:rFonts w:ascii="Arial" w:cs="Arial" w:eastAsia="Arial" w:hAnsi="Arial"/>
          <w:sz w:val="18"/>
          <w:szCs w:val="18"/>
          <w:u w:val="single" w:color="auto"/>
          <w:color w:val="auto"/>
        </w:rPr>
        <w:t>Independent SARs</w:t>
      </w:r>
      <w:r>
        <w:rPr>
          <w:rFonts w:ascii="Arial" w:cs="Arial" w:eastAsia="Arial" w:hAnsi="Arial"/>
          <w:sz w:val="18"/>
          <w:szCs w:val="18"/>
          <w:color w:val="auto"/>
        </w:rPr>
        <w:t>. A SAR not expressly granted in tandem with an Option will become exercisable at such time or times, and on such conditions, as the Board may specify in the SAR Award.</w:t>
      </w:r>
    </w:p>
    <w:p>
      <w:pPr>
        <w:spacing w:after="0" w:line="131" w:lineRule="exact"/>
        <w:rPr>
          <w:rFonts w:ascii="Arial" w:cs="Arial" w:eastAsia="Arial" w:hAnsi="Arial"/>
          <w:sz w:val="18"/>
          <w:szCs w:val="18"/>
          <w:color w:val="auto"/>
        </w:rPr>
      </w:pPr>
    </w:p>
    <w:p>
      <w:pPr>
        <w:jc w:val="both"/>
        <w:ind w:firstLine="464"/>
        <w:spacing w:after="0" w:line="306" w:lineRule="auto"/>
        <w:tabs>
          <w:tab w:leader="none" w:pos="695" w:val="left"/>
        </w:tabs>
        <w:numPr>
          <w:ilvl w:val="1"/>
          <w:numId w:val="268"/>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The Board shall establish the exercise price of each SAR and specify it in the applicable SAR agreement. The exercise price shall not be less than 100% of the Fair Market Value on the date the SAR is granted; provided that if the Board approves the grant of a SAR with an exercise price to be determined on a future date, the exercise price shall be not less than 100% of the Fair Market Value on such future date.</w:t>
      </w:r>
    </w:p>
    <w:p>
      <w:pPr>
        <w:spacing w:after="0" w:line="106" w:lineRule="exact"/>
        <w:rPr>
          <w:rFonts w:ascii="Arial" w:cs="Arial" w:eastAsia="Arial" w:hAnsi="Arial"/>
          <w:sz w:val="16"/>
          <w:szCs w:val="16"/>
          <w:color w:val="auto"/>
        </w:rPr>
      </w:pPr>
    </w:p>
    <w:p>
      <w:pPr>
        <w:ind w:right="20" w:firstLine="464"/>
        <w:spacing w:after="0" w:line="268" w:lineRule="auto"/>
        <w:tabs>
          <w:tab w:leader="none" w:pos="705" w:val="left"/>
        </w:tabs>
        <w:numPr>
          <w:ilvl w:val="1"/>
          <w:numId w:val="268"/>
        </w:numPr>
        <w:rPr>
          <w:rFonts w:ascii="Arial" w:cs="Arial" w:eastAsia="Arial" w:hAnsi="Arial"/>
          <w:sz w:val="18"/>
          <w:szCs w:val="18"/>
          <w:color w:val="auto"/>
        </w:rPr>
      </w:pPr>
      <w:r>
        <w:rPr>
          <w:rFonts w:ascii="Arial" w:cs="Arial" w:eastAsia="Arial" w:hAnsi="Arial"/>
          <w:sz w:val="18"/>
          <w:szCs w:val="18"/>
          <w:u w:val="single" w:color="auto"/>
          <w:color w:val="auto"/>
        </w:rPr>
        <w:t>Duration of SARs</w:t>
      </w:r>
      <w:r>
        <w:rPr>
          <w:rFonts w:ascii="Arial" w:cs="Arial" w:eastAsia="Arial" w:hAnsi="Arial"/>
          <w:sz w:val="18"/>
          <w:szCs w:val="18"/>
          <w:color w:val="auto"/>
        </w:rPr>
        <w:t xml:space="preserve">. Each SAR shall be exercisable at such times and subject to such terms and conditions as the Board may specify in the applicable SAR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SAR will be granted with a term in excess of 10 years.</w:t>
      </w:r>
    </w:p>
    <w:p>
      <w:pPr>
        <w:spacing w:after="0" w:line="131" w:lineRule="exact"/>
        <w:rPr>
          <w:rFonts w:ascii="Arial" w:cs="Arial" w:eastAsia="Arial" w:hAnsi="Arial"/>
          <w:sz w:val="18"/>
          <w:szCs w:val="18"/>
          <w:color w:val="auto"/>
        </w:rPr>
      </w:pPr>
    </w:p>
    <w:p>
      <w:pPr>
        <w:ind w:right="20" w:firstLine="464"/>
        <w:spacing w:after="0" w:line="268" w:lineRule="auto"/>
        <w:tabs>
          <w:tab w:leader="none" w:pos="695" w:val="left"/>
        </w:tabs>
        <w:numPr>
          <w:ilvl w:val="1"/>
          <w:numId w:val="268"/>
        </w:numPr>
        <w:rPr>
          <w:rFonts w:ascii="Arial" w:cs="Arial" w:eastAsia="Arial" w:hAnsi="Arial"/>
          <w:sz w:val="18"/>
          <w:szCs w:val="18"/>
          <w:color w:val="auto"/>
        </w:rPr>
      </w:pPr>
      <w:r>
        <w:rPr>
          <w:rFonts w:ascii="Arial" w:cs="Arial" w:eastAsia="Arial" w:hAnsi="Arial"/>
          <w:sz w:val="18"/>
          <w:szCs w:val="18"/>
          <w:u w:val="single" w:color="auto"/>
          <w:color w:val="auto"/>
        </w:rPr>
        <w:t>Exercise of SARs</w:t>
      </w:r>
      <w:r>
        <w:rPr>
          <w:rFonts w:ascii="Arial" w:cs="Arial" w:eastAsia="Arial" w:hAnsi="Arial"/>
          <w:sz w:val="18"/>
          <w:szCs w:val="18"/>
          <w:color w:val="auto"/>
        </w:rPr>
        <w:t>. SARs may be exercised by delivery to the Company of a written notice of exercise signed by the proper person or by any other form of notice (including electronic notice) approved by the Board, together with any other documents required by the Board.</w:t>
      </w:r>
    </w:p>
    <w:p>
      <w:pPr>
        <w:spacing w:after="0" w:line="131" w:lineRule="exact"/>
        <w:rPr>
          <w:rFonts w:ascii="Arial" w:cs="Arial" w:eastAsia="Arial" w:hAnsi="Arial"/>
          <w:sz w:val="18"/>
          <w:szCs w:val="18"/>
          <w:color w:val="auto"/>
        </w:rPr>
      </w:pPr>
    </w:p>
    <w:p>
      <w:pPr>
        <w:ind w:firstLine="464"/>
        <w:spacing w:after="0" w:line="268" w:lineRule="auto"/>
        <w:tabs>
          <w:tab w:leader="none" w:pos="689" w:val="left"/>
        </w:tabs>
        <w:numPr>
          <w:ilvl w:val="1"/>
          <w:numId w:val="268"/>
        </w:numPr>
        <w:rPr>
          <w:rFonts w:ascii="Arial" w:cs="Arial" w:eastAsia="Arial" w:hAnsi="Arial"/>
          <w:sz w:val="18"/>
          <w:szCs w:val="18"/>
          <w:color w:val="auto"/>
        </w:rPr>
      </w:pPr>
      <w:r>
        <w:rPr>
          <w:rFonts w:ascii="Arial" w:cs="Arial" w:eastAsia="Arial" w:hAnsi="Arial"/>
          <w:sz w:val="18"/>
          <w:szCs w:val="18"/>
          <w:u w:val="single" w:color="auto"/>
          <w:color w:val="auto"/>
        </w:rPr>
        <w:t>Limitation on Repricing</w:t>
      </w:r>
      <w:r>
        <w:rPr>
          <w:rFonts w:ascii="Arial" w:cs="Arial" w:eastAsia="Arial" w:hAnsi="Arial"/>
          <w:sz w:val="18"/>
          <w:szCs w:val="18"/>
          <w:color w:val="auto"/>
        </w:rPr>
        <w:t>. Unless such action is approved by the Company’s stockholders: (1) no outstanding SAR granted under the Plan may be amended to provide 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65" w:name="page166"/>
    <w:bookmarkEnd w:id="16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exercise price per share that is lower than the then-current exercise price per share of such outstanding SAR (other than adjustments pursuant to Section 9) and</w:t>
      </w:r>
    </w:p>
    <w:p>
      <w:pPr>
        <w:spacing w:after="0" w:line="38" w:lineRule="exact"/>
        <w:rPr>
          <w:sz w:val="20"/>
          <w:szCs w:val="20"/>
          <w:color w:val="auto"/>
        </w:rPr>
      </w:pPr>
    </w:p>
    <w:p>
      <w:pPr>
        <w:jc w:val="both"/>
        <w:ind w:firstLine="8"/>
        <w:spacing w:after="0" w:line="255" w:lineRule="auto"/>
        <w:tabs>
          <w:tab w:leader="none" w:pos="25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Board may not cancel any outstanding SAR (whether or not granted under the Plan) and grant in substitution therefor new Awards under the Plan covering the same or a different number of shares of Common Stock and having a exercise price per share lower than the then-current exercise price per share of the cancelled SAR.</w:t>
      </w:r>
    </w:p>
    <w:p>
      <w:pPr>
        <w:spacing w:after="0" w:line="266" w:lineRule="exact"/>
        <w:rPr>
          <w:sz w:val="20"/>
          <w:szCs w:val="20"/>
          <w:color w:val="auto"/>
        </w:rPr>
      </w:pPr>
    </w:p>
    <w:p>
      <w:pPr>
        <w:ind w:left="460" w:hanging="452"/>
        <w:spacing w:after="0"/>
        <w:tabs>
          <w:tab w:leader="none" w:pos="460" w:val="left"/>
        </w:tabs>
        <w:numPr>
          <w:ilvl w:val="0"/>
          <w:numId w:val="270"/>
        </w:numPr>
        <w:rPr>
          <w:rFonts w:ascii="Arial" w:cs="Arial" w:eastAsia="Arial" w:hAnsi="Arial"/>
          <w:sz w:val="18"/>
          <w:szCs w:val="18"/>
          <w:color w:val="auto"/>
        </w:rPr>
      </w:pPr>
      <w:r>
        <w:rPr>
          <w:rFonts w:ascii="Arial" w:cs="Arial" w:eastAsia="Arial" w:hAnsi="Arial"/>
          <w:sz w:val="18"/>
          <w:szCs w:val="18"/>
          <w:u w:val="single" w:color="auto"/>
          <w:color w:val="auto"/>
        </w:rPr>
        <w:t>Restricted Stock; Restricted Stock Units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firstLine="464"/>
        <w:spacing w:after="0" w:line="254" w:lineRule="auto"/>
        <w:tabs>
          <w:tab w:leader="none" w:pos="695" w:val="left"/>
        </w:tabs>
        <w:numPr>
          <w:ilvl w:val="1"/>
          <w:numId w:val="270"/>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Board may grant Awards entitling recipients to acquire shares of Common Stock (“Restricted Stock”), subject to the right of the Company to 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 Instead of granting Awards for Restricted Stock, the Board may grant Awards entitling the recipient to receive shares of Common Stock or cash to be delivered at the time such Award vests (“Restricted Stock Units”) (Restricted Stock and Restricted Stock Units are each referred to herein as a “Restricted Stock Award”).</w:t>
      </w:r>
    </w:p>
    <w:p>
      <w:pPr>
        <w:spacing w:after="0" w:line="144" w:lineRule="exact"/>
        <w:rPr>
          <w:rFonts w:ascii="Arial" w:cs="Arial" w:eastAsia="Arial" w:hAnsi="Arial"/>
          <w:sz w:val="18"/>
          <w:szCs w:val="18"/>
          <w:color w:val="auto"/>
        </w:rPr>
      </w:pPr>
    </w:p>
    <w:p>
      <w:pPr>
        <w:ind w:right="20" w:firstLine="464"/>
        <w:spacing w:after="0" w:line="268" w:lineRule="auto"/>
        <w:tabs>
          <w:tab w:leader="none" w:pos="719" w:val="left"/>
        </w:tabs>
        <w:numPr>
          <w:ilvl w:val="1"/>
          <w:numId w:val="270"/>
        </w:numPr>
        <w:rPr>
          <w:rFonts w:ascii="Arial" w:cs="Arial" w:eastAsia="Arial" w:hAnsi="Arial"/>
          <w:sz w:val="18"/>
          <w:szCs w:val="18"/>
          <w:color w:val="auto"/>
        </w:rPr>
      </w:pPr>
      <w:r>
        <w:rPr>
          <w:rFonts w:ascii="Arial" w:cs="Arial" w:eastAsia="Arial" w:hAnsi="Arial"/>
          <w:sz w:val="18"/>
          <w:szCs w:val="18"/>
          <w:u w:val="single" w:color="auto"/>
          <w:color w:val="auto"/>
        </w:rPr>
        <w:t>Terms and Conditions</w:t>
      </w:r>
      <w:r>
        <w:rPr>
          <w:rFonts w:ascii="Arial" w:cs="Arial" w:eastAsia="Arial" w:hAnsi="Arial"/>
          <w:sz w:val="18"/>
          <w:szCs w:val="18"/>
          <w:color w:val="auto"/>
        </w:rPr>
        <w:t>. The Board shall determine the terms and conditions of a Restricted Stock Award, including the conditions for repurchase (or forfeiture) and the issue price, if any.</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1"/>
          <w:numId w:val="270"/>
        </w:numPr>
        <w:rPr>
          <w:rFonts w:ascii="Arial" w:cs="Arial" w:eastAsia="Arial" w:hAnsi="Arial"/>
          <w:sz w:val="18"/>
          <w:szCs w:val="18"/>
          <w:color w:val="auto"/>
        </w:rPr>
      </w:pPr>
      <w:r>
        <w:rPr>
          <w:rFonts w:ascii="Arial" w:cs="Arial" w:eastAsia="Arial" w:hAnsi="Arial"/>
          <w:sz w:val="18"/>
          <w:szCs w:val="18"/>
          <w:u w:val="single" w:color="auto"/>
          <w:color w:val="auto"/>
        </w:rPr>
        <w:t>Additional Provisions Relating to Restricted Stock</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firstLine="921"/>
        <w:spacing w:after="0" w:line="254" w:lineRule="auto"/>
        <w:tabs>
          <w:tab w:leader="none" w:pos="1161" w:val="left"/>
        </w:tabs>
        <w:numPr>
          <w:ilvl w:val="2"/>
          <w:numId w:val="270"/>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Participants holding shares of Restricted Stock will be entitled to all ordinary cash dividends paid with respect to such shares, unless otherwise provided by the Board. Unless otherwise provided by the Board, if any dividends or distributions are paid in shares, or consist of a dividend or distribution to holders of Common Stock other than an ordinary cash dividend, the shares, cash or other property will be subject to the same restrictions on transferability and forfeitability as the shares of Restricted Stock with respect to which they were paid. Each dividend payment will be made no later than the end of the calendar year in which the dividends are paid to shareholders of that class of stock or, if later, the 15th day of the third month following the date the dividends are paid to shareholders of that class of stock.</w:t>
      </w:r>
    </w:p>
    <w:p>
      <w:pPr>
        <w:spacing w:after="0" w:line="144" w:lineRule="exact"/>
        <w:rPr>
          <w:rFonts w:ascii="Arial" w:cs="Arial" w:eastAsia="Arial" w:hAnsi="Arial"/>
          <w:sz w:val="18"/>
          <w:szCs w:val="18"/>
          <w:color w:val="auto"/>
        </w:rPr>
      </w:pPr>
    </w:p>
    <w:p>
      <w:pPr>
        <w:jc w:val="both"/>
        <w:ind w:firstLine="921"/>
        <w:spacing w:after="0" w:line="291" w:lineRule="auto"/>
        <w:tabs>
          <w:tab w:leader="none" w:pos="1175" w:val="left"/>
        </w:tabs>
        <w:numPr>
          <w:ilvl w:val="2"/>
          <w:numId w:val="270"/>
        </w:numPr>
        <w:rPr>
          <w:rFonts w:ascii="Arial" w:cs="Arial" w:eastAsia="Arial" w:hAnsi="Arial"/>
          <w:sz w:val="16"/>
          <w:szCs w:val="16"/>
          <w:color w:val="auto"/>
        </w:rPr>
      </w:pPr>
      <w:r>
        <w:rPr>
          <w:rFonts w:ascii="Arial" w:cs="Arial" w:eastAsia="Arial" w:hAnsi="Arial"/>
          <w:sz w:val="16"/>
          <w:szCs w:val="16"/>
          <w:u w:val="single" w:color="auto"/>
          <w:color w:val="auto"/>
        </w:rPr>
        <w:t>Stock Certificates</w:t>
      </w:r>
      <w:r>
        <w:rPr>
          <w:rFonts w:ascii="Arial" w:cs="Arial" w:eastAsia="Arial" w:hAnsi="Arial"/>
          <w:sz w:val="16"/>
          <w:szCs w:val="16"/>
          <w:color w:val="auto"/>
        </w:rPr>
        <w:t>. Any stock certificates issued in respect of a Restricted Stock Award shall be registered in the name of the Participant and, unless otherwise determined by the Board, deposited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the beneficiary designated, in a manner determined by the Board, by a Participant to receive amounts due or exercise rights of the Participant in the event of the Participant’s death (the “Designated Beneficiary”). In the absence of an effective designation by a Participant, “Designated Beneficiary” shall mean the Participant’s estate.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66" w:name="page167"/>
    <w:bookmarkEnd w:id="166"/>
    <w:p>
      <w:pPr>
        <w:ind w:left="1160" w:hanging="239"/>
        <w:spacing w:after="0"/>
        <w:tabs>
          <w:tab w:leader="none" w:pos="1160" w:val="left"/>
        </w:tabs>
        <w:numPr>
          <w:ilvl w:val="1"/>
          <w:numId w:val="27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Additional Provisions Relating to Restricted Stock Units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firstLine="1492"/>
        <w:spacing w:after="0" w:line="256" w:lineRule="auto"/>
        <w:tabs>
          <w:tab w:leader="none" w:pos="1722" w:val="left"/>
        </w:tabs>
        <w:numPr>
          <w:ilvl w:val="2"/>
          <w:numId w:val="271"/>
        </w:numPr>
        <w:rPr>
          <w:rFonts w:ascii="Arial" w:cs="Arial" w:eastAsia="Arial" w:hAnsi="Arial"/>
          <w:sz w:val="18"/>
          <w:szCs w:val="18"/>
          <w:color w:val="auto"/>
        </w:rPr>
      </w:pPr>
      <w:r>
        <w:rPr>
          <w:rFonts w:ascii="Arial" w:cs="Arial" w:eastAsia="Arial" w:hAnsi="Arial"/>
          <w:sz w:val="18"/>
          <w:szCs w:val="18"/>
          <w:u w:val="single" w:color="auto"/>
          <w:color w:val="auto"/>
        </w:rPr>
        <w:t>Settlement</w:t>
      </w:r>
      <w:r>
        <w:rPr>
          <w:rFonts w:ascii="Arial" w:cs="Arial" w:eastAsia="Arial" w:hAnsi="Arial"/>
          <w:sz w:val="18"/>
          <w:szCs w:val="18"/>
          <w:color w:val="auto"/>
        </w:rPr>
        <w:t>. Upon the vesting of and/or lapsing of any other restrictions (i.e., settlement) with respect to each Restricted Stock Unit, the Participant shall be entitled to receive from the Company one share of Common Stock or an amount of cash equal to the Fair Market Value of one share of Common Stock, as provided in the applicable Award agreement. The Board may, in its discretion, provide that settlement of Restricted Stock Units shall be deferred, on a mandatory basis or at the election of the Participant.</w:t>
      </w:r>
    </w:p>
    <w:p>
      <w:pPr>
        <w:spacing w:after="0" w:line="143" w:lineRule="exact"/>
        <w:rPr>
          <w:rFonts w:ascii="Arial" w:cs="Arial" w:eastAsia="Arial" w:hAnsi="Arial"/>
          <w:sz w:val="18"/>
          <w:szCs w:val="18"/>
          <w:color w:val="auto"/>
        </w:rPr>
      </w:pPr>
    </w:p>
    <w:p>
      <w:pPr>
        <w:ind w:left="1740" w:hanging="248"/>
        <w:spacing w:after="0"/>
        <w:tabs>
          <w:tab w:leader="none" w:pos="1740" w:val="left"/>
        </w:tabs>
        <w:numPr>
          <w:ilvl w:val="2"/>
          <w:numId w:val="271"/>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A Participant shall have no voting rights with respect to any Restricted Stock Units.</w:t>
      </w:r>
    </w:p>
    <w:p>
      <w:pPr>
        <w:spacing w:after="0" w:line="171" w:lineRule="exact"/>
        <w:rPr>
          <w:rFonts w:ascii="Arial" w:cs="Arial" w:eastAsia="Arial" w:hAnsi="Arial"/>
          <w:sz w:val="18"/>
          <w:szCs w:val="18"/>
          <w:color w:val="auto"/>
        </w:rPr>
      </w:pPr>
    </w:p>
    <w:p>
      <w:pPr>
        <w:jc w:val="both"/>
        <w:ind w:firstLine="1492"/>
        <w:spacing w:after="0" w:line="254" w:lineRule="auto"/>
        <w:tabs>
          <w:tab w:leader="none" w:pos="1749" w:val="left"/>
        </w:tabs>
        <w:numPr>
          <w:ilvl w:val="2"/>
          <w:numId w:val="271"/>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To the extent provided by the Board, in its sole discretion, a grant of Restricted Stock Units may provide Participants with the right to receive an amount equal to any dividends or other distributions declared and paid on an equal number of outstanding shares of Common Stock (“Dividend Equivalents”). Dividend Equivalents may be paid currently or credited to an account for the Participants, may be settled in cash and/or shares of Common Stock and may be subject to the same restrictions on transfer and forfeitability as the Restricted Stock Units with respect to which paid, as determined by the Board in its sole discretion, subject in each case to such terms and conditions as the Board shall establish, in each case to be set forth in the applicable Award agreement.</w:t>
      </w:r>
    </w:p>
    <w:p>
      <w:pPr>
        <w:spacing w:after="0" w:line="265" w:lineRule="exact"/>
        <w:rPr>
          <w:rFonts w:ascii="Arial" w:cs="Arial" w:eastAsia="Arial" w:hAnsi="Arial"/>
          <w:sz w:val="18"/>
          <w:szCs w:val="18"/>
          <w:color w:val="auto"/>
        </w:rPr>
      </w:pPr>
    </w:p>
    <w:p>
      <w:pPr>
        <w:ind w:left="460" w:hanging="452"/>
        <w:spacing w:after="0"/>
        <w:tabs>
          <w:tab w:leader="none" w:pos="460"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Other Stock-Based Awards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Other Awards of shares of Common Stock, and other Awards that are valued in whole or in part by reference to, or are otherwise based on, shares of</w:t>
      </w:r>
    </w:p>
    <w:p>
      <w:pPr>
        <w:spacing w:after="0" w:line="38"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Common Stock or other property, may be granted hereunder to Participants (“Other Stock-Based Awards”). Such Other Stock-Based Awards shall also be available as a form of payment in the settlement of other Awards granted under the Plan or as payment in lieu of compensation to which a Participant is otherwise entitled. Other Stock-Based Awards may be paid in shares of Common Stock or cash, as the Board shall determine. Subject to the provisions of the Plan, the Board shall determine the conditions of each Other Stock-Based Awards, including any purchase price applicable thereto.</w:t>
      </w:r>
    </w:p>
    <w:p>
      <w:pPr>
        <w:spacing w:after="0" w:line="237" w:lineRule="exact"/>
        <w:rPr>
          <w:sz w:val="20"/>
          <w:szCs w:val="20"/>
          <w:color w:val="auto"/>
        </w:rPr>
      </w:pPr>
    </w:p>
    <w:p>
      <w:pPr>
        <w:ind w:left="460" w:hanging="452"/>
        <w:spacing w:after="0"/>
        <w:tabs>
          <w:tab w:leader="none" w:pos="460"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Adjustments for Changes in Common Stock and Certain Other Events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firstLine="464"/>
        <w:spacing w:after="0" w:line="253" w:lineRule="auto"/>
        <w:tabs>
          <w:tab w:leader="none" w:pos="695" w:val="left"/>
        </w:tabs>
        <w:numPr>
          <w:ilvl w:val="1"/>
          <w:numId w:val="273"/>
        </w:numPr>
        <w:rPr>
          <w:rFonts w:ascii="Arial" w:cs="Arial" w:eastAsia="Arial" w:hAnsi="Arial"/>
          <w:sz w:val="18"/>
          <w:szCs w:val="18"/>
          <w:color w:val="auto"/>
        </w:rPr>
      </w:pPr>
      <w:r>
        <w:rPr>
          <w:rFonts w:ascii="Arial" w:cs="Arial" w:eastAsia="Arial" w:hAnsi="Arial"/>
          <w:sz w:val="18"/>
          <w:szCs w:val="18"/>
          <w:u w:val="single" w:color="auto"/>
          <w:color w:val="auto"/>
        </w:rPr>
        <w:t>Changes in Capitalization</w:t>
      </w:r>
      <w:r>
        <w:rPr>
          <w:rFonts w:ascii="Arial" w:cs="Arial" w:eastAsia="Arial" w:hAnsi="Arial"/>
          <w:sz w:val="18"/>
          <w:szCs w:val="18"/>
          <w:color w:val="auto"/>
        </w:rPr>
        <w:t>.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(i) the number and class of securities available under this Plan, (ii) the sub-limits and share counting rules set forth in Section 4(a) and Section 4(b), (iii) the number and class of securities and exercise price per share of each outstanding Option, (iv) the share- and per-share provisions and the exercise price of each SAR, (v) the number of shares subject to and the repurchase price per share subject to each outstanding Restricted Stock Award and (vi) the share- and per-share-related provisions and the purchase price, if any, of each outstanding Other Stock-Based Award, shall be equitably adjusted by the Company (or substituted Awards may be made, if applicable). Without limiting the generality of the foregoing, in the event the Company effects a split of the Common Stock by means of a stock</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67" w:name="page168"/>
    <w:bookmarkEnd w:id="167"/>
    <w:p>
      <w:pPr>
        <w:jc w:val="both"/>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dividend and the exercise price of and the number of shares subject to an outstanding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113" w:lineRule="exact"/>
        <w:rPr>
          <w:sz w:val="20"/>
          <w:szCs w:val="20"/>
          <w:color w:val="auto"/>
        </w:rPr>
      </w:pPr>
    </w:p>
    <w:p>
      <w:pPr>
        <w:ind w:left="720" w:hanging="256"/>
        <w:spacing w:after="0"/>
        <w:tabs>
          <w:tab w:leader="none" w:pos="720"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Reorganization Events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firstLine="921"/>
        <w:spacing w:after="0" w:line="256" w:lineRule="auto"/>
        <w:tabs>
          <w:tab w:leader="none" w:pos="1161" w:val="left"/>
        </w:tabs>
        <w:numPr>
          <w:ilvl w:val="1"/>
          <w:numId w:val="274"/>
        </w:numPr>
        <w:rPr>
          <w:rFonts w:ascii="Arial" w:cs="Arial" w:eastAsia="Arial" w:hAnsi="Arial"/>
          <w:sz w:val="18"/>
          <w:szCs w:val="18"/>
          <w:color w:val="auto"/>
        </w:rPr>
      </w:pPr>
      <w:r>
        <w:rPr>
          <w:rFonts w:ascii="Arial" w:cs="Arial" w:eastAsia="Arial" w:hAnsi="Arial"/>
          <w:sz w:val="18"/>
          <w:szCs w:val="18"/>
          <w:u w:val="single" w:color="auto"/>
          <w:color w:val="auto"/>
        </w:rPr>
        <w:t>Definition</w:t>
      </w:r>
      <w:r>
        <w:rPr>
          <w:rFonts w:ascii="Arial" w:cs="Arial" w:eastAsia="Arial" w:hAnsi="Arial"/>
          <w:sz w:val="18"/>
          <w:szCs w:val="18"/>
          <w:color w:val="auto"/>
        </w:rPr>
        <w:t>. A “Reorganization Event” shall mean: (a) any merger or consolidation of the Company with or into another entity as a result of which all of the Common Stock of the Company is converted into or exchanged for the right to receive cash, securities or other property or is cancelled, (b) any exchange of all of the Common Stock of the Company for cash, securities or other property pursuant to a share exchange transaction or (c) any liquidation or dissolution of the Company.</w:t>
      </w:r>
    </w:p>
    <w:p>
      <w:pPr>
        <w:spacing w:after="0" w:line="143" w:lineRule="exact"/>
        <w:rPr>
          <w:rFonts w:ascii="Arial" w:cs="Arial" w:eastAsia="Arial" w:hAnsi="Arial"/>
          <w:sz w:val="18"/>
          <w:szCs w:val="18"/>
          <w:color w:val="auto"/>
        </w:rPr>
      </w:pPr>
    </w:p>
    <w:p>
      <w:pPr>
        <w:jc w:val="both"/>
        <w:ind w:firstLine="921"/>
        <w:spacing w:after="0" w:line="285" w:lineRule="auto"/>
        <w:tabs>
          <w:tab w:leader="none" w:pos="1161" w:val="left"/>
        </w:tabs>
        <w:numPr>
          <w:ilvl w:val="1"/>
          <w:numId w:val="274"/>
        </w:numPr>
        <w:rPr>
          <w:rFonts w:ascii="Arial" w:cs="Arial" w:eastAsia="Arial" w:hAnsi="Arial"/>
          <w:sz w:val="16"/>
          <w:szCs w:val="16"/>
          <w:color w:val="auto"/>
        </w:rPr>
      </w:pPr>
      <w:r>
        <w:rPr>
          <w:rFonts w:ascii="Arial" w:cs="Arial" w:eastAsia="Arial" w:hAnsi="Arial"/>
          <w:sz w:val="16"/>
          <w:szCs w:val="16"/>
          <w:u w:val="single" w:color="auto"/>
          <w:color w:val="auto"/>
        </w:rPr>
        <w:t>Consequences of a Reorganization Event on Awards Other than Restricted Stock Awards</w:t>
      </w:r>
      <w:r>
        <w:rPr>
          <w:rFonts w:ascii="Arial" w:cs="Arial" w:eastAsia="Arial" w:hAnsi="Arial"/>
          <w:sz w:val="16"/>
          <w:szCs w:val="16"/>
          <w:color w:val="auto"/>
        </w:rPr>
        <w:t>. In connection with a Reorganization Event, the Board may take any one or more of the following actions as to all or any (or any portion of) outstanding Awards other than Restricted Stock Awards on such terms as the Board determines: (i) provide that Awards shall be assumed, or substantially equivalent Awards shall be substituted, by the acquiring or succeeding corporation (or an affiliate thereof), (ii) upon written notice to a Participant, provide that the Participant’s unexercised Awards will terminate immediately prior to the consummation of such Reorganization Event unless exercised by the Participant within a specified period following the date of such notice, (iii) provide that outstanding Awards shall become exercisable, realizable, or deliverable, or restrictions applicable to an Award shall lapse, in whole or in part prior to or upon such Reorganization Event, (iv) in the event of a Reorganization Event under the terms of which holders of Common Stock will receive upon consummation thereof a cash payment for each share surrendered in the Reorganization Event (the “Acquisition Price”), make or provide for a cash payment to a Participant equal to the excess, if any, of (A) the Acquisition Price times the number of shares of Common Stock subject to the Participant’s Awards (to the extent the exercise price does not exceed the Acquisition Price) over (B) the aggregate exercise price of all such outstanding Awards and any applicable tax withholdings, in exchange for the termination of such Awards, (v) provide that, in connection with a liquidation or dissolution of the Company, Awards shall convert into the right to receive liquidation proceeds (if applicable, net of the exercise price thereof and any applicable tax withholdings) and (vi) any combination of the foregoing. In taking any of the actions permitted under this Section 9(b), the Board shall not be obligated by the Plan to treat all Awards, all Awards held by a Participant, or all Awards of the same type, identically.</w:t>
      </w:r>
    </w:p>
    <w:p>
      <w:pPr>
        <w:spacing w:after="0" w:line="128"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For purposes of clause (i) above, an Option shall be considered assumed if, following consummation of the Reorganization Event, the Option confers the right to purchase, for each share of Common Stock subject to the Option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68" w:name="page169"/>
    <w:bookmarkEnd w:id="168"/>
    <w:p>
      <w:pPr>
        <w:jc w:val="both"/>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were offered a choice of consideration, the type of consideration chosen by the holders of a majority of the outstanding shares of Common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of Options to consist solely of common stock of the acquiring or succeeding corporation (or an affiliate thereof) equivalent in value (as determined by the Board) to the per share consideration received by holders of outstanding shares of Common Stock as a result of the Reorganization Event.</w:t>
      </w:r>
    </w:p>
    <w:p>
      <w:pPr>
        <w:spacing w:after="0" w:line="116" w:lineRule="exact"/>
        <w:rPr>
          <w:sz w:val="20"/>
          <w:szCs w:val="20"/>
          <w:color w:val="auto"/>
        </w:rPr>
      </w:pPr>
    </w:p>
    <w:p>
      <w:pPr>
        <w:jc w:val="both"/>
        <w:ind w:firstLine="921"/>
        <w:spacing w:after="0" w:line="290" w:lineRule="auto"/>
        <w:tabs>
          <w:tab w:leader="none" w:pos="1161" w:val="left"/>
        </w:tabs>
        <w:numPr>
          <w:ilvl w:val="2"/>
          <w:numId w:val="275"/>
        </w:numPr>
        <w:rPr>
          <w:rFonts w:ascii="Arial" w:cs="Arial" w:eastAsia="Arial" w:hAnsi="Arial"/>
          <w:sz w:val="16"/>
          <w:szCs w:val="16"/>
          <w:color w:val="auto"/>
        </w:rPr>
      </w:pPr>
      <w:r>
        <w:rPr>
          <w:rFonts w:ascii="Arial" w:cs="Arial" w:eastAsia="Arial" w:hAnsi="Arial"/>
          <w:sz w:val="16"/>
          <w:szCs w:val="16"/>
          <w:u w:val="single" w:color="auto"/>
          <w:color w:val="auto"/>
        </w:rPr>
        <w:t>Consequences of a Reorganization Event on Restricted Stock Awards</w:t>
      </w:r>
      <w:r>
        <w:rPr>
          <w:rFonts w:ascii="Arial" w:cs="Arial" w:eastAsia="Arial" w:hAnsi="Arial"/>
          <w:sz w:val="16"/>
          <w:szCs w:val="16"/>
          <w:color w:val="auto"/>
        </w:rPr>
        <w:t>. Upon the occurrence of a Reorganization Event other than a liquidation or dissolution of the Company, the repurchase and other rights of the Company under each outstanding Restricted Stock Award shall inure to the benefit of the Company’s successor and shall, unless the Board determines otherwise, apply to the cash, securities or other property which the Common Stock was converted into or exchanged for pursuant to such Reorganization Event in the same manner and to the same extent as they applied to the Common Stock subject to such Restricted Stock Award. Upon the occurrence of a Reorganization Event involving the liquidation or dissolution of the Company, except to the extent specifically provided to the contrary in the instrument evidencing any Restricted Stock Award or any other agreement between a Participant and the Company, all restrictions and conditions on all Restricted Stock Awards then outstanding shall automatically be deemed terminated or satisfied.</w:t>
      </w:r>
    </w:p>
    <w:p>
      <w:pPr>
        <w:spacing w:after="0" w:line="239" w:lineRule="exact"/>
        <w:rPr>
          <w:rFonts w:ascii="Arial" w:cs="Arial" w:eastAsia="Arial" w:hAnsi="Arial"/>
          <w:sz w:val="16"/>
          <w:szCs w:val="16"/>
          <w:color w:val="auto"/>
        </w:rPr>
      </w:pPr>
    </w:p>
    <w:p>
      <w:pPr>
        <w:ind w:left="460" w:hanging="452"/>
        <w:spacing w:after="0"/>
        <w:tabs>
          <w:tab w:leader="none" w:pos="460"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General Provisions Applicable to Awards</w:t>
      </w:r>
    </w:p>
    <w:p>
      <w:pPr>
        <w:spacing w:after="0" w:line="90" w:lineRule="exact"/>
        <w:rPr>
          <w:rFonts w:ascii="Arial" w:cs="Arial" w:eastAsia="Arial" w:hAnsi="Arial"/>
          <w:sz w:val="18"/>
          <w:szCs w:val="18"/>
          <w:color w:val="auto"/>
        </w:rPr>
      </w:pPr>
    </w:p>
    <w:p>
      <w:pPr>
        <w:jc w:val="both"/>
        <w:ind w:firstLine="464"/>
        <w:spacing w:after="0" w:line="287" w:lineRule="auto"/>
        <w:tabs>
          <w:tab w:leader="none" w:pos="695" w:val="left"/>
        </w:tabs>
        <w:numPr>
          <w:ilvl w:val="1"/>
          <w:numId w:val="276"/>
        </w:numPr>
        <w:rPr>
          <w:rFonts w:ascii="Arial" w:cs="Arial" w:eastAsia="Arial" w:hAnsi="Arial"/>
          <w:sz w:val="16"/>
          <w:szCs w:val="16"/>
          <w:color w:val="auto"/>
        </w:rPr>
      </w:pPr>
      <w:r>
        <w:rPr>
          <w:rFonts w:ascii="Arial" w:cs="Arial" w:eastAsia="Arial" w:hAnsi="Arial"/>
          <w:sz w:val="16"/>
          <w:szCs w:val="16"/>
          <w:u w:val="single" w:color="auto"/>
          <w:color w:val="auto"/>
        </w:rPr>
        <w:t>Transferability of Awards</w:t>
      </w:r>
      <w:r>
        <w:rPr>
          <w:rFonts w:ascii="Arial" w:cs="Arial" w:eastAsia="Arial" w:hAnsi="Arial"/>
          <w:sz w:val="16"/>
          <w:szCs w:val="16"/>
          <w:color w:val="auto"/>
        </w:rPr>
        <w:t xml:space="preserve">. Awards shall not be sold, assigned, transferred, pledged or otherwise encumbered by the person to whom they are granted, either voluntarily or by operation of law, except by will or the laws of descent and distribution or, other than in the case of an Incentive Stock Option, pursuant to a qualified domestic relations order, and, during the life of the Participant, shall be exercisable only by the Participant;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Board may permit or provide in an Award for the gratuitous transfer of the Award by the Participant to or for the benefit of any immediate family member, family trust or other entity established for the benefit of the Participant and/or an immediate family member thereof if, with respect to such proposed transferee, the Company would be eligible to use a Form S-8 for the registration of the sale of the Common Stock subject to such Award under the Securities Act of 1933, as amended; provided, further, that the Company shall not be required to recognize any such transfer until such time as the Participant and such permitted transferee shall, as a condition to such transfer, deliver to the Company a written instrument in form and substance satisfactory to the Company confirming that such transferee shall be bound by all of the terms and conditions of the Award. References to a Participant, to the extent relevant in the context, shall include references to authorized transferees.</w:t>
      </w:r>
    </w:p>
    <w:p>
      <w:pPr>
        <w:spacing w:after="0" w:line="122" w:lineRule="exact"/>
        <w:rPr>
          <w:rFonts w:ascii="Arial" w:cs="Arial" w:eastAsia="Arial" w:hAnsi="Arial"/>
          <w:sz w:val="16"/>
          <w:szCs w:val="16"/>
          <w:color w:val="auto"/>
        </w:rPr>
      </w:pPr>
    </w:p>
    <w:p>
      <w:pPr>
        <w:ind w:right="20" w:firstLine="464"/>
        <w:spacing w:after="0" w:line="268" w:lineRule="auto"/>
        <w:tabs>
          <w:tab w:leader="none" w:pos="705" w:val="left"/>
        </w:tabs>
        <w:numPr>
          <w:ilvl w:val="1"/>
          <w:numId w:val="276"/>
        </w:numPr>
        <w:rPr>
          <w:rFonts w:ascii="Arial" w:cs="Arial" w:eastAsia="Arial" w:hAnsi="Arial"/>
          <w:sz w:val="18"/>
          <w:szCs w:val="18"/>
          <w:color w:val="auto"/>
        </w:rPr>
      </w:pPr>
      <w:r>
        <w:rPr>
          <w:rFonts w:ascii="Arial" w:cs="Arial" w:eastAsia="Arial" w:hAnsi="Arial"/>
          <w:sz w:val="18"/>
          <w:szCs w:val="18"/>
          <w:u w:val="single" w:color="auto"/>
          <w:color w:val="auto"/>
        </w:rPr>
        <w:t>Documentation</w:t>
      </w:r>
      <w:r>
        <w:rPr>
          <w:rFonts w:ascii="Arial" w:cs="Arial" w:eastAsia="Arial" w:hAnsi="Arial"/>
          <w:sz w:val="18"/>
          <w:szCs w:val="18"/>
          <w:color w:val="auto"/>
        </w:rPr>
        <w:t>. Each Award shall be evidenced in such form (written, electronic or otherwise) as the Board shall determine. Each Award may contain terms and conditions in addition to those set forth in the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69" w:name="page170"/>
    <w:bookmarkEnd w:id="169"/>
    <w:p>
      <w:pPr>
        <w:ind w:firstLine="464"/>
        <w:spacing w:after="0" w:line="268" w:lineRule="auto"/>
        <w:tabs>
          <w:tab w:leader="none" w:pos="695" w:val="left"/>
        </w:tabs>
        <w:numPr>
          <w:ilvl w:val="1"/>
          <w:numId w:val="27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Board Discretion</w:t>
      </w:r>
      <w:r>
        <w:rPr>
          <w:rFonts w:ascii="Arial" w:cs="Arial" w:eastAsia="Arial" w:hAnsi="Arial"/>
          <w:sz w:val="18"/>
          <w:szCs w:val="18"/>
          <w:color w:val="auto"/>
        </w:rPr>
        <w:t>. Except as otherwise provided by the Plan, each Award may be made alone or in addition or in relation to any other Award. The terms of each Award need not be identical, and the Board need not treat Participants uniformly.</w:t>
      </w:r>
    </w:p>
    <w:p>
      <w:pPr>
        <w:spacing w:after="0" w:line="131" w:lineRule="exact"/>
        <w:rPr>
          <w:rFonts w:ascii="Arial" w:cs="Arial" w:eastAsia="Arial" w:hAnsi="Arial"/>
          <w:sz w:val="18"/>
          <w:szCs w:val="18"/>
          <w:color w:val="auto"/>
        </w:rPr>
      </w:pPr>
    </w:p>
    <w:p>
      <w:pPr>
        <w:jc w:val="both"/>
        <w:ind w:firstLine="464"/>
        <w:spacing w:after="0" w:line="306" w:lineRule="auto"/>
        <w:tabs>
          <w:tab w:leader="none" w:pos="732" w:val="left"/>
        </w:tabs>
        <w:numPr>
          <w:ilvl w:val="1"/>
          <w:numId w:val="277"/>
        </w:numPr>
        <w:rPr>
          <w:rFonts w:ascii="Arial" w:cs="Arial" w:eastAsia="Arial" w:hAnsi="Arial"/>
          <w:sz w:val="16"/>
          <w:szCs w:val="16"/>
          <w:color w:val="auto"/>
        </w:rPr>
      </w:pPr>
      <w:r>
        <w:rPr>
          <w:rFonts w:ascii="Arial" w:cs="Arial" w:eastAsia="Arial" w:hAnsi="Arial"/>
          <w:sz w:val="16"/>
          <w:szCs w:val="16"/>
          <w:u w:val="single" w:color="auto"/>
          <w:color w:val="auto"/>
        </w:rPr>
        <w:t>Termination of Status</w:t>
      </w:r>
      <w:r>
        <w:rPr>
          <w:rFonts w:ascii="Arial" w:cs="Arial" w:eastAsia="Arial" w:hAnsi="Arial"/>
          <w:sz w:val="16"/>
          <w:szCs w:val="16"/>
          <w:color w:val="auto"/>
        </w:rPr>
        <w:t>. The Board shall determine the effect on an Award of the disability, death, termination or other cessation of employment, authorized leave of absence or other change in the employment or other status of a Participant and the extent to which, and the period during which, the Participant, or the Participant’s legal representative, conservator, guardian or Designated Beneficiary, may exercise rights under the Award.</w:t>
      </w:r>
    </w:p>
    <w:p>
      <w:pPr>
        <w:spacing w:after="0" w:line="106" w:lineRule="exact"/>
        <w:rPr>
          <w:rFonts w:ascii="Arial" w:cs="Arial" w:eastAsia="Arial" w:hAnsi="Arial"/>
          <w:sz w:val="16"/>
          <w:szCs w:val="16"/>
          <w:color w:val="auto"/>
        </w:rPr>
      </w:pPr>
    </w:p>
    <w:p>
      <w:pPr>
        <w:jc w:val="both"/>
        <w:ind w:firstLine="464"/>
        <w:spacing w:after="0" w:line="286" w:lineRule="auto"/>
        <w:tabs>
          <w:tab w:leader="none" w:pos="695" w:val="left"/>
        </w:tabs>
        <w:numPr>
          <w:ilvl w:val="1"/>
          <w:numId w:val="277"/>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xml:space="preserve">. The Participant must satisfy all applicable federal, state, and local or other income and employment tax withholding obligations before the Company will deliver stock certificates or otherwise recognize ownership of Common Stock under an Award. The Company may decide to satisfy the withholding obligations through additional withholding on salary or wages.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or release from forfeiture of an Award or, if the Company so requires, at the same time as is payment of the exercise price unless the Company determines otherwise. If provided for in an Award or approved by the Board in its sole discretion, a Participant may satisfy such tax obligations in whole or in part by delivery of shares of Common Stock, including shares retained from the Award creating the tax obligation, valued at their Fair Market Value;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except as otherwise provided by the Board, that the total tax withholding where stock is being used to satisfy such tax obligations cannot exceed the Company’s minimum statutory withholding obligations (based on minimum statutory withholding rates for federal and state tax purposes, including payroll taxes, that are applicable to such supplemental taxable income). Shares surrendered to satisfy tax withholding requirements cannot be subject to any repurchase, forfeiture, unfulfilled vesting or other similar requirements.</w:t>
      </w:r>
    </w:p>
    <w:p>
      <w:pPr>
        <w:spacing w:after="0" w:line="127" w:lineRule="exact"/>
        <w:rPr>
          <w:rFonts w:ascii="Arial" w:cs="Arial" w:eastAsia="Arial" w:hAnsi="Arial"/>
          <w:sz w:val="16"/>
          <w:szCs w:val="16"/>
          <w:color w:val="auto"/>
        </w:rPr>
      </w:pPr>
    </w:p>
    <w:p>
      <w:pPr>
        <w:jc w:val="both"/>
        <w:ind w:firstLine="464"/>
        <w:spacing w:after="0" w:line="298" w:lineRule="auto"/>
        <w:tabs>
          <w:tab w:leader="none" w:pos="676" w:val="left"/>
        </w:tabs>
        <w:numPr>
          <w:ilvl w:val="1"/>
          <w:numId w:val="277"/>
        </w:numPr>
        <w:rPr>
          <w:rFonts w:ascii="Arial" w:cs="Arial" w:eastAsia="Arial" w:hAnsi="Arial"/>
          <w:sz w:val="16"/>
          <w:szCs w:val="16"/>
          <w:color w:val="auto"/>
        </w:rPr>
      </w:pPr>
      <w:r>
        <w:rPr>
          <w:rFonts w:ascii="Arial" w:cs="Arial" w:eastAsia="Arial" w:hAnsi="Arial"/>
          <w:sz w:val="16"/>
          <w:szCs w:val="16"/>
          <w:u w:val="single" w:color="auto"/>
          <w:color w:val="auto"/>
        </w:rPr>
        <w:t>Amendment of Award</w:t>
      </w:r>
      <w:r>
        <w:rPr>
          <w:rFonts w:ascii="Arial" w:cs="Arial" w:eastAsia="Arial" w:hAnsi="Arial"/>
          <w:sz w:val="16"/>
          <w:szCs w:val="16"/>
          <w:color w:val="auto"/>
        </w:rPr>
        <w:t>. The Board may amend, modify or terminate any outstanding Award, including but not limited to, substituting therefor another Award of the same or a different type, changing the date of exercise or realization, and converting an Incentive Stock Option to a Nonstatutory Stock Option, provided that the Participant’s consent to such action shall be required unless (i) the Board determines that the action, taking into account any related action, would not materially and adversely affect the Participant’s rights under the Plan or (ii) the change is permitted under Section 9 hereof.</w:t>
      </w:r>
    </w:p>
    <w:p>
      <w:pPr>
        <w:spacing w:after="0" w:line="112" w:lineRule="exact"/>
        <w:rPr>
          <w:rFonts w:ascii="Arial" w:cs="Arial" w:eastAsia="Arial" w:hAnsi="Arial"/>
          <w:sz w:val="16"/>
          <w:szCs w:val="16"/>
          <w:color w:val="auto"/>
        </w:rPr>
      </w:pPr>
    </w:p>
    <w:p>
      <w:pPr>
        <w:jc w:val="both"/>
        <w:ind w:firstLine="464"/>
        <w:spacing w:after="0" w:line="286" w:lineRule="auto"/>
        <w:tabs>
          <w:tab w:leader="none" w:pos="719" w:val="left"/>
        </w:tabs>
        <w:numPr>
          <w:ilvl w:val="1"/>
          <w:numId w:val="277"/>
        </w:numPr>
        <w:rPr>
          <w:rFonts w:ascii="Arial" w:cs="Arial" w:eastAsia="Arial" w:hAnsi="Arial"/>
          <w:sz w:val="16"/>
          <w:szCs w:val="16"/>
          <w:color w:val="auto"/>
        </w:rPr>
      </w:pPr>
      <w:r>
        <w:rPr>
          <w:rFonts w:ascii="Arial" w:cs="Arial" w:eastAsia="Arial" w:hAnsi="Arial"/>
          <w:sz w:val="16"/>
          <w:szCs w:val="16"/>
          <w:u w:val="single" w:color="auto"/>
          <w:color w:val="auto"/>
        </w:rPr>
        <w:t>Conditions on Delivery of Stock</w:t>
      </w:r>
      <w:r>
        <w:rPr>
          <w:rFonts w:ascii="Arial" w:cs="Arial" w:eastAsia="Arial" w:hAnsi="Arial"/>
          <w:sz w:val="16"/>
          <w:szCs w:val="16"/>
          <w:color w:val="auto"/>
        </w:rPr>
        <w:t>. The Company will not be obligated to deliver any shares of Common Stock pursuant to the Plan or to remove restrictions from shares previously delivered under the Plan until (i) all conditions of the Award have been met or removed to the satisfaction of the Company,</w:t>
      </w:r>
    </w:p>
    <w:p>
      <w:pPr>
        <w:jc w:val="both"/>
        <w:ind w:firstLine="8"/>
        <w:spacing w:after="0" w:line="302" w:lineRule="auto"/>
        <w:tabs>
          <w:tab w:leader="none" w:pos="26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in the opinion of the Company’s counsel, all other legal matters in connection with the issuance and delivery of such shares have been satisfied, including any applicable securities laws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70" w:name="page171"/>
    <w:bookmarkEnd w:id="170"/>
    <w:p>
      <w:pPr>
        <w:ind w:firstLine="464"/>
        <w:spacing w:after="0" w:line="268" w:lineRule="auto"/>
        <w:tabs>
          <w:tab w:leader="none" w:pos="705"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Acceleration</w:t>
      </w:r>
      <w:r>
        <w:rPr>
          <w:rFonts w:ascii="Arial" w:cs="Arial" w:eastAsia="Arial" w:hAnsi="Arial"/>
          <w:sz w:val="18"/>
          <w:szCs w:val="18"/>
          <w:color w:val="auto"/>
        </w:rPr>
        <w:t>. The Board may at any time provide that any Award shall become immediately exercisable in full or in part, free of some or all restrictions or conditions, or otherwise realizable in full or in part, as the case may be.</w:t>
      </w:r>
    </w:p>
    <w:p>
      <w:pPr>
        <w:spacing w:after="0" w:line="131" w:lineRule="exact"/>
        <w:rPr>
          <w:rFonts w:ascii="Arial" w:cs="Arial" w:eastAsia="Arial" w:hAnsi="Arial"/>
          <w:sz w:val="18"/>
          <w:szCs w:val="18"/>
          <w:color w:val="auto"/>
        </w:rPr>
      </w:pPr>
    </w:p>
    <w:p>
      <w:pPr>
        <w:ind w:left="680" w:hanging="216"/>
        <w:spacing w:after="0"/>
        <w:tabs>
          <w:tab w:leader="none" w:pos="680"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Performance Awards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921"/>
        <w:spacing w:after="0" w:line="268" w:lineRule="auto"/>
        <w:tabs>
          <w:tab w:leader="none" w:pos="1161" w:val="left"/>
        </w:tabs>
        <w:numPr>
          <w:ilvl w:val="1"/>
          <w:numId w:val="279"/>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Restricted Stock Awards and Other Stock-Based Awards under the Plan may be made subject to the achievement of performance goals pursuant to this Section 10(i) (“Performance Awards”), subject to the limit in Section 4(b) on shares covered by such grants.</w:t>
      </w:r>
    </w:p>
    <w:p>
      <w:pPr>
        <w:spacing w:after="0" w:line="131" w:lineRule="exact"/>
        <w:rPr>
          <w:rFonts w:ascii="Arial" w:cs="Arial" w:eastAsia="Arial" w:hAnsi="Arial"/>
          <w:sz w:val="18"/>
          <w:szCs w:val="18"/>
          <w:color w:val="auto"/>
        </w:rPr>
      </w:pPr>
    </w:p>
    <w:p>
      <w:pPr>
        <w:jc w:val="both"/>
        <w:ind w:firstLine="921"/>
        <w:spacing w:after="0" w:line="254" w:lineRule="auto"/>
        <w:tabs>
          <w:tab w:leader="none" w:pos="1202" w:val="left"/>
        </w:tabs>
        <w:numPr>
          <w:ilvl w:val="1"/>
          <w:numId w:val="279"/>
        </w:numPr>
        <w:rPr>
          <w:rFonts w:ascii="Arial" w:cs="Arial" w:eastAsia="Arial" w:hAnsi="Arial"/>
          <w:sz w:val="18"/>
          <w:szCs w:val="18"/>
          <w:color w:val="auto"/>
        </w:rPr>
      </w:pPr>
      <w:r>
        <w:rPr>
          <w:rFonts w:ascii="Arial" w:cs="Arial" w:eastAsia="Arial" w:hAnsi="Arial"/>
          <w:sz w:val="18"/>
          <w:szCs w:val="18"/>
          <w:u w:val="single" w:color="auto"/>
          <w:color w:val="auto"/>
        </w:rPr>
        <w:t>Committee</w:t>
      </w:r>
      <w:r>
        <w:rPr>
          <w:rFonts w:ascii="Arial" w:cs="Arial" w:eastAsia="Arial" w:hAnsi="Arial"/>
          <w:sz w:val="18"/>
          <w:szCs w:val="18"/>
          <w:color w:val="auto"/>
        </w:rPr>
        <w:t>. Grants of Performance Awards to any Covered Employee intended to qualify as “performance-based compensation” under Section 162(m) (“Performance-Based Compensation”) shall be made only by a Committee (or subcommittee of a Committee) comprised solely of two or more directors eligible to serve on a committee making Awards qualifying as “performance-based compensation” under Section 162(m). In the case of such Awards granted to Covered Employees, references to the Board or to a Committee shall be deemed to be references to such Committee or subcommittee. “Covered Employee” shall mean any person who is, or whom the Committee, in its discretion, determines may be, a “covered employee” under Section 162(m)(3) of the Code.</w:t>
      </w:r>
    </w:p>
    <w:p>
      <w:pPr>
        <w:spacing w:after="0" w:line="144" w:lineRule="exact"/>
        <w:rPr>
          <w:rFonts w:ascii="Arial" w:cs="Arial" w:eastAsia="Arial" w:hAnsi="Arial"/>
          <w:sz w:val="18"/>
          <w:szCs w:val="18"/>
          <w:color w:val="auto"/>
        </w:rPr>
      </w:pPr>
    </w:p>
    <w:p>
      <w:pPr>
        <w:jc w:val="both"/>
        <w:ind w:firstLine="921"/>
        <w:spacing w:after="0" w:line="286" w:lineRule="auto"/>
        <w:tabs>
          <w:tab w:leader="none" w:pos="1175" w:val="left"/>
        </w:tabs>
        <w:numPr>
          <w:ilvl w:val="1"/>
          <w:numId w:val="279"/>
        </w:numPr>
        <w:rPr>
          <w:rFonts w:ascii="Arial" w:cs="Arial" w:eastAsia="Arial" w:hAnsi="Arial"/>
          <w:sz w:val="16"/>
          <w:szCs w:val="16"/>
          <w:color w:val="auto"/>
        </w:rPr>
      </w:pPr>
      <w:r>
        <w:rPr>
          <w:rFonts w:ascii="Arial" w:cs="Arial" w:eastAsia="Arial" w:hAnsi="Arial"/>
          <w:sz w:val="16"/>
          <w:szCs w:val="16"/>
          <w:u w:val="single" w:color="auto"/>
          <w:color w:val="auto"/>
        </w:rPr>
        <w:t>Performance Measures</w:t>
      </w:r>
      <w:r>
        <w:rPr>
          <w:rFonts w:ascii="Arial" w:cs="Arial" w:eastAsia="Arial" w:hAnsi="Arial"/>
          <w:sz w:val="16"/>
          <w:szCs w:val="16"/>
          <w:color w:val="auto"/>
        </w:rPr>
        <w:t>. For any Award that is intended to qualify as Performance-Based Compensation, the Committee shall specify that the degree of granting, vesting and/or payout shall be subject to the achievement of one or more objective performance measures established by the Committee, which shall be based on the relative or absolute attainment of specified levels of one or any combination of the following: net income, earnings before or after discontinued operations, interest, taxes, depreciation and/or amortization, operating profit before or after discontinued operations and/or taxes, sales, sales growth, earnings growth, cash flow or cash position, gross margins, stock price, market share, return on sales, assets, equity or investment, improvement of financial ratings, achievement of balance sheet or income statement objectives or total shareholder return, and may be absolute in their terms or measured against or in relationship to other companies comparably, similarly or otherwise situated. The Committee may specify that such performance measures shall be adjusted to exclude any one or more of (i) extraordinary items, (ii) gains or losses on the dispositions of discontinued operations, (iii) the cumulative effects of changes in accounting principles, (iv) the writedown of any asset, and (v) charges for restructuring and rationalization programs. Such performance measures: (i) may vary by Participant and may be different for different Awards; (ii) may be particular to a Participant or the department, branch, line of business, subsidiary or other unit in which the Participant works and may cover such period as may be specified by the Committee; and (iii) shall be set by the Committee within the time period prescribed by, and shall otherwise comply with the requirements of, Section 162(m). Awards that are not intended to qualify as Performance-Based Compensation may be based on these or such other performance measures as the Board may determine.</w:t>
      </w:r>
    </w:p>
    <w:p>
      <w:pPr>
        <w:spacing w:after="0" w:line="120" w:lineRule="exact"/>
        <w:rPr>
          <w:rFonts w:ascii="Arial" w:cs="Arial" w:eastAsia="Arial" w:hAnsi="Arial"/>
          <w:sz w:val="16"/>
          <w:szCs w:val="16"/>
          <w:color w:val="auto"/>
        </w:rPr>
      </w:pPr>
    </w:p>
    <w:p>
      <w:pPr>
        <w:ind w:right="20" w:firstLine="921"/>
        <w:spacing w:after="0" w:line="268" w:lineRule="auto"/>
        <w:tabs>
          <w:tab w:leader="none" w:pos="1175" w:val="left"/>
        </w:tabs>
        <w:numPr>
          <w:ilvl w:val="1"/>
          <w:numId w:val="279"/>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 provision of the Plan, with respect to any Performance Award that is intended to qualify as Performance-Based Compensation, the Committee may adjust downwards, but not upwards, the cash or number of Shares payable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71" w:name="page172"/>
    <w:bookmarkEnd w:id="171"/>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pursuant to such Award, and the Committee may not waive the achievement of the applicable performance measures except in the case of the death or disability of the Participant or a change in control of the Company.</w:t>
      </w:r>
    </w:p>
    <w:p>
      <w:pPr>
        <w:spacing w:after="0" w:line="132" w:lineRule="exact"/>
        <w:rPr>
          <w:sz w:val="20"/>
          <w:szCs w:val="20"/>
          <w:color w:val="auto"/>
        </w:rPr>
      </w:pPr>
    </w:p>
    <w:p>
      <w:pPr>
        <w:ind w:firstLine="921"/>
        <w:spacing w:after="0" w:line="268" w:lineRule="auto"/>
        <w:tabs>
          <w:tab w:leader="none" w:pos="1161" w:val="left"/>
        </w:tabs>
        <w:numPr>
          <w:ilvl w:val="2"/>
          <w:numId w:val="280"/>
        </w:numPr>
        <w:rPr>
          <w:rFonts w:ascii="Arial" w:cs="Arial" w:eastAsia="Arial" w:hAnsi="Arial"/>
          <w:sz w:val="18"/>
          <w:szCs w:val="18"/>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The Committee shall have the power to impose such other restrictions on Performance Awards as it may deem necessary or appropriate to ensure that such Awards satisfy all requirements for Performance-Based Compensation.</w:t>
      </w:r>
    </w:p>
    <w:p>
      <w:pPr>
        <w:spacing w:after="0" w:line="253" w:lineRule="exact"/>
        <w:rPr>
          <w:rFonts w:ascii="Arial" w:cs="Arial" w:eastAsia="Arial" w:hAnsi="Arial"/>
          <w:sz w:val="18"/>
          <w:szCs w:val="18"/>
          <w:color w:val="auto"/>
        </w:rPr>
      </w:pPr>
    </w:p>
    <w:p>
      <w:pPr>
        <w:ind w:left="460" w:hanging="452"/>
        <w:spacing w:after="0"/>
        <w:tabs>
          <w:tab w:leader="none" w:pos="460" w:val="left"/>
        </w:tabs>
        <w:numPr>
          <w:ilvl w:val="0"/>
          <w:numId w:val="281"/>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90" w:lineRule="exact"/>
        <w:rPr>
          <w:rFonts w:ascii="Arial" w:cs="Arial" w:eastAsia="Arial" w:hAnsi="Arial"/>
          <w:sz w:val="18"/>
          <w:szCs w:val="18"/>
          <w:color w:val="auto"/>
        </w:rPr>
      </w:pPr>
    </w:p>
    <w:p>
      <w:pPr>
        <w:jc w:val="both"/>
        <w:ind w:right="20" w:firstLine="464"/>
        <w:spacing w:after="0" w:line="256" w:lineRule="auto"/>
        <w:tabs>
          <w:tab w:leader="none" w:pos="709" w:val="left"/>
        </w:tabs>
        <w:numPr>
          <w:ilvl w:val="1"/>
          <w:numId w:val="281"/>
        </w:numPr>
        <w:rPr>
          <w:rFonts w:ascii="Arial" w:cs="Arial" w:eastAsia="Arial" w:hAnsi="Arial"/>
          <w:sz w:val="18"/>
          <w:szCs w:val="18"/>
          <w:color w:val="auto"/>
        </w:rPr>
      </w:pPr>
      <w:r>
        <w:rPr>
          <w:rFonts w:ascii="Arial" w:cs="Arial" w:eastAsia="Arial" w:hAnsi="Arial"/>
          <w:sz w:val="18"/>
          <w:szCs w:val="18"/>
          <w:u w:val="single" w:color="auto"/>
          <w:color w:val="auto"/>
        </w:rPr>
        <w:t>No Right To Employment or Other Status</w:t>
      </w:r>
      <w:r>
        <w:rPr>
          <w:rFonts w:ascii="Arial" w:cs="Arial" w:eastAsia="Arial" w:hAnsi="Arial"/>
          <w:sz w:val="18"/>
          <w:szCs w:val="18"/>
          <w:color w:val="auto"/>
        </w:rPr>
        <w:t>. No person shall have any claim or right to be granted an Award,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spacing w:after="0" w:line="143" w:lineRule="exact"/>
        <w:rPr>
          <w:rFonts w:ascii="Arial" w:cs="Arial" w:eastAsia="Arial" w:hAnsi="Arial"/>
          <w:sz w:val="18"/>
          <w:szCs w:val="18"/>
          <w:color w:val="auto"/>
        </w:rPr>
      </w:pPr>
    </w:p>
    <w:p>
      <w:pPr>
        <w:ind w:right="20" w:firstLine="464"/>
        <w:spacing w:after="0" w:line="332" w:lineRule="auto"/>
        <w:tabs>
          <w:tab w:leader="none" w:pos="719" w:val="left"/>
        </w:tabs>
        <w:numPr>
          <w:ilvl w:val="1"/>
          <w:numId w:val="281"/>
        </w:numPr>
        <w:rPr>
          <w:rFonts w:ascii="Arial" w:cs="Arial" w:eastAsia="Arial" w:hAnsi="Arial"/>
          <w:sz w:val="16"/>
          <w:szCs w:val="16"/>
          <w:color w:val="auto"/>
        </w:rPr>
      </w:pPr>
      <w:r>
        <w:rPr>
          <w:rFonts w:ascii="Arial" w:cs="Arial" w:eastAsia="Arial" w:hAnsi="Arial"/>
          <w:sz w:val="16"/>
          <w:szCs w:val="16"/>
          <w:u w:val="single" w:color="auto"/>
          <w:color w:val="auto"/>
        </w:rPr>
        <w:t>No Rights As Stockholder</w:t>
      </w:r>
      <w:r>
        <w:rPr>
          <w:rFonts w:ascii="Arial" w:cs="Arial" w:eastAsia="Arial" w:hAnsi="Arial"/>
          <w:sz w:val="16"/>
          <w:szCs w:val="16"/>
          <w:color w:val="auto"/>
        </w:rPr>
        <w:t>. Subject to the provisions of the applicable Award, no Participant or Designated Beneficiary shall have any rights as a stockholder with respect to any shares of Common Stock to be distributed with respect to an Award until becoming the record holder of such shares.</w:t>
      </w:r>
    </w:p>
    <w:p>
      <w:pPr>
        <w:spacing w:after="0" w:line="85" w:lineRule="exact"/>
        <w:rPr>
          <w:rFonts w:ascii="Arial" w:cs="Arial" w:eastAsia="Arial" w:hAnsi="Arial"/>
          <w:sz w:val="16"/>
          <w:szCs w:val="16"/>
          <w:color w:val="auto"/>
        </w:rPr>
      </w:pPr>
    </w:p>
    <w:p>
      <w:pPr>
        <w:jc w:val="both"/>
        <w:ind w:firstLine="464"/>
        <w:spacing w:after="0" w:line="259" w:lineRule="auto"/>
        <w:tabs>
          <w:tab w:leader="none" w:pos="709" w:val="left"/>
        </w:tabs>
        <w:numPr>
          <w:ilvl w:val="1"/>
          <w:numId w:val="281"/>
        </w:numPr>
        <w:rPr>
          <w:rFonts w:ascii="Arial" w:cs="Arial" w:eastAsia="Arial" w:hAnsi="Arial"/>
          <w:sz w:val="18"/>
          <w:szCs w:val="18"/>
          <w:color w:val="auto"/>
        </w:rPr>
      </w:pPr>
      <w:r>
        <w:rPr>
          <w:rFonts w:ascii="Arial" w:cs="Arial" w:eastAsia="Arial" w:hAnsi="Arial"/>
          <w:sz w:val="18"/>
          <w:szCs w:val="18"/>
          <w:u w:val="single" w:color="auto"/>
          <w:color w:val="auto"/>
        </w:rPr>
        <w:t>Effective Date and Term of Plan</w:t>
      </w:r>
      <w:r>
        <w:rPr>
          <w:rFonts w:ascii="Arial" w:cs="Arial" w:eastAsia="Arial" w:hAnsi="Arial"/>
          <w:sz w:val="18"/>
          <w:szCs w:val="18"/>
          <w:color w:val="auto"/>
        </w:rPr>
        <w:t>. The Plan shall become effective on the date the Plan is approved by the Company’s stockholders (the “Effective Date”). No Awards shall be granted under the Plan after the expiration of 10 years from the Effective Date, but Awards previously granted may extend beyond that date.</w:t>
      </w:r>
    </w:p>
    <w:p>
      <w:pPr>
        <w:spacing w:after="0" w:line="140" w:lineRule="exact"/>
        <w:rPr>
          <w:rFonts w:ascii="Arial" w:cs="Arial" w:eastAsia="Arial" w:hAnsi="Arial"/>
          <w:sz w:val="18"/>
          <w:szCs w:val="18"/>
          <w:color w:val="auto"/>
        </w:rPr>
      </w:pPr>
    </w:p>
    <w:p>
      <w:pPr>
        <w:jc w:val="both"/>
        <w:ind w:firstLine="464"/>
        <w:spacing w:after="0" w:line="286" w:lineRule="auto"/>
        <w:tabs>
          <w:tab w:leader="none" w:pos="705" w:val="left"/>
        </w:tabs>
        <w:numPr>
          <w:ilvl w:val="1"/>
          <w:numId w:val="281"/>
        </w:numPr>
        <w:rPr>
          <w:rFonts w:ascii="Arial" w:cs="Arial" w:eastAsia="Arial" w:hAnsi="Arial"/>
          <w:sz w:val="16"/>
          <w:szCs w:val="16"/>
          <w:color w:val="auto"/>
        </w:rPr>
      </w:pPr>
      <w:r>
        <w:rPr>
          <w:rFonts w:ascii="Arial" w:cs="Arial" w:eastAsia="Arial" w:hAnsi="Arial"/>
          <w:sz w:val="16"/>
          <w:szCs w:val="16"/>
          <w:u w:val="single" w:color="auto"/>
          <w:color w:val="auto"/>
        </w:rPr>
        <w:t>Amendment of Plan</w:t>
      </w:r>
      <w:r>
        <w:rPr>
          <w:rFonts w:ascii="Arial" w:cs="Arial" w:eastAsia="Arial" w:hAnsi="Arial"/>
          <w:sz w:val="16"/>
          <w:szCs w:val="16"/>
          <w:color w:val="auto"/>
        </w:rPr>
        <w:t>. The Board may amend, suspend or terminate the Plan or any portion thereof at any time provided that (i) to the extent required by Section 162(m), no Award granted to a Participant that is intended to comply with Section 162(m) after the date of such amendment shall become exercisable, realizable or vested, as applicable to such Award, unless and until such amendment shall have been approved by the Company’s stockholders if required by Section 162(m) (including the vote required under Section 162(m)); (ii) no amendment that would require stockholder approval under the rules of the NASDAQ Stock Market (“NASDAQ”) may be made effective unless and until such amendment shall have been approved by the Company’s stockholders; and (iii) if the NASDAQ amends its corporate governance rules so that such rules no longer require stockholder approval of “material amendments” to equity compensation plans, then, from and after the effective date of such amendment to the NASDAQ rules, no amendment to the Plan (A) materially increasing the number of shares authorized under the Plan (other than pursuant to Section 4(c) or 9), (B) expanding the types of Awards that may be granted under the Plan, or (C) materially expanding the class of participants eligible to participate in the Plan shall be effective unless stockholder approval is obtained. In addition, if at any time the approval of the Company’s stockholders is required as to any other modification or amendment under Section 422 of the Code or any successor provision with respect to Incentive Stock Options, the Board may not effect such modification or amendment without such approval. Unless otherwise specified in the amendment, any amendment to the Plan adopted in accordance with this Section 11(d) shall</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72" w:name="page173"/>
    <w:bookmarkEnd w:id="172"/>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apply to, and be binding on the holders of, all Awards outstanding under the Plan at the time the amendment is adopted, provided the Board determines that such amendment does not materially and adversely affect the rights of Participants under the Plan. No Award shall be made that is conditioned upon stockholder approval of any amendment to the Plan.</w:t>
      </w:r>
    </w:p>
    <w:p>
      <w:pPr>
        <w:spacing w:after="0" w:line="140" w:lineRule="exact"/>
        <w:rPr>
          <w:sz w:val="20"/>
          <w:szCs w:val="20"/>
          <w:color w:val="auto"/>
        </w:rPr>
      </w:pPr>
    </w:p>
    <w:p>
      <w:pPr>
        <w:jc w:val="both"/>
        <w:ind w:firstLine="464"/>
        <w:spacing w:after="0" w:line="259" w:lineRule="auto"/>
        <w:tabs>
          <w:tab w:leader="none" w:pos="695" w:val="left"/>
        </w:tabs>
        <w:numPr>
          <w:ilvl w:val="0"/>
          <w:numId w:val="282"/>
        </w:numPr>
        <w:rPr>
          <w:rFonts w:ascii="Arial" w:cs="Arial" w:eastAsia="Arial" w:hAnsi="Arial"/>
          <w:sz w:val="18"/>
          <w:szCs w:val="18"/>
          <w:color w:val="auto"/>
        </w:rPr>
      </w:pPr>
      <w:r>
        <w:rPr>
          <w:rFonts w:ascii="Arial" w:cs="Arial" w:eastAsia="Arial" w:hAnsi="Arial"/>
          <w:sz w:val="18"/>
          <w:szCs w:val="18"/>
          <w:u w:val="single" w:color="auto"/>
          <w:color w:val="auto"/>
        </w:rPr>
        <w:t>Provisions for Foreign Participants</w:t>
      </w:r>
      <w:r>
        <w:rPr>
          <w:rFonts w:ascii="Arial" w:cs="Arial" w:eastAsia="Arial" w:hAnsi="Arial"/>
          <w:sz w:val="18"/>
          <w:szCs w:val="18"/>
          <w:color w:val="auto"/>
        </w:rPr>
        <w:t>. The Board may modify Awards granted to Participants who are foreign nationals or employed outside the United States or establish subplans or procedures under the Plan to recognize differences in laws, rules, regulations or customs of such foreign jurisdictions with respect to tax, securities, currency, employee benefit or other matters.</w:t>
      </w:r>
    </w:p>
    <w:p>
      <w:pPr>
        <w:spacing w:after="0" w:line="140" w:lineRule="exact"/>
        <w:rPr>
          <w:rFonts w:ascii="Arial" w:cs="Arial" w:eastAsia="Arial" w:hAnsi="Arial"/>
          <w:sz w:val="18"/>
          <w:szCs w:val="18"/>
          <w:color w:val="auto"/>
        </w:rPr>
      </w:pPr>
    </w:p>
    <w:p>
      <w:pPr>
        <w:jc w:val="both"/>
        <w:ind w:firstLine="464"/>
        <w:spacing w:after="0" w:line="256" w:lineRule="auto"/>
        <w:tabs>
          <w:tab w:leader="none" w:pos="676" w:val="left"/>
        </w:tabs>
        <w:numPr>
          <w:ilvl w:val="0"/>
          <w:numId w:val="282"/>
        </w:numPr>
        <w:rPr>
          <w:rFonts w:ascii="Arial" w:cs="Arial" w:eastAsia="Arial" w:hAnsi="Arial"/>
          <w:sz w:val="18"/>
          <w:szCs w:val="18"/>
          <w:color w:val="auto"/>
        </w:rPr>
      </w:pPr>
      <w:r>
        <w:rPr>
          <w:rFonts w:ascii="Arial" w:cs="Arial" w:eastAsia="Arial" w:hAnsi="Arial"/>
          <w:sz w:val="18"/>
          <w:szCs w:val="18"/>
          <w:u w:val="single" w:color="auto"/>
          <w:color w:val="auto"/>
        </w:rPr>
        <w:t>Compliance with Code Section 409A</w:t>
      </w:r>
      <w:r>
        <w:rPr>
          <w:rFonts w:ascii="Arial" w:cs="Arial" w:eastAsia="Arial" w:hAnsi="Arial"/>
          <w:sz w:val="18"/>
          <w:szCs w:val="18"/>
          <w:color w:val="auto"/>
        </w:rPr>
        <w:t>. No Award shall provide for deferral of compensation that does not comply with Section 409A of the Code, unless the Board, at the time of grant, specifically provides that the Award is not intended to comply with Section 409A of the Code. The Company shall have no liability to a Participant, or any other party, if an Award that is intended to be exempt from, or compliant with, Section 409A is not so exempt or compliant or for any action taken by the Board.</w:t>
      </w:r>
    </w:p>
    <w:p>
      <w:pPr>
        <w:spacing w:after="0" w:line="143" w:lineRule="exact"/>
        <w:rPr>
          <w:rFonts w:ascii="Arial" w:cs="Arial" w:eastAsia="Arial" w:hAnsi="Arial"/>
          <w:sz w:val="18"/>
          <w:szCs w:val="18"/>
          <w:color w:val="auto"/>
        </w:rPr>
      </w:pPr>
    </w:p>
    <w:p>
      <w:pPr>
        <w:ind w:firstLine="464"/>
        <w:spacing w:after="0" w:line="268" w:lineRule="auto"/>
        <w:tabs>
          <w:tab w:leader="none" w:pos="719" w:val="left"/>
        </w:tabs>
        <w:numPr>
          <w:ilvl w:val="0"/>
          <w:numId w:val="28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provisions of the Plan and all Awards made hereunder shall be governed by and interpreted in accordance with the laws of the State of Delaware, without regard to any applicable conflicts of law principles.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10.11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DIRECTOR STOCK PLAN, AS AMENDED</w:t>
      </w:r>
    </w:p>
    <w:p>
      <w:pPr>
        <w:spacing w:after="0" w:line="212" w:lineRule="exact"/>
        <w:rPr>
          <w:sz w:val="20"/>
          <w:szCs w:val="20"/>
          <w:color w:val="auto"/>
        </w:rPr>
      </w:pPr>
    </w:p>
    <w:p>
      <w:pPr>
        <w:ind w:left="460" w:hanging="452"/>
        <w:spacing w:after="0"/>
        <w:tabs>
          <w:tab w:leader="none" w:pos="460"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purpose of this 2007 Director Stock Option Plan, as amended (the “Plan”) of American Superconductor Corporation (the “Company”) is to encourage stock ownership in the Company by outside directors of the Company whose continued services are considered essential to the Company’s future success and to provide them with a further incentive to remain as directors of the Company.</w:t>
      </w:r>
    </w:p>
    <w:p>
      <w:pPr>
        <w:spacing w:after="0" w:line="256" w:lineRule="exact"/>
        <w:rPr>
          <w:sz w:val="20"/>
          <w:szCs w:val="20"/>
          <w:color w:val="auto"/>
        </w:rPr>
      </w:pPr>
    </w:p>
    <w:p>
      <w:pPr>
        <w:ind w:left="460" w:hanging="452"/>
        <w:spacing w:after="0"/>
        <w:tabs>
          <w:tab w:leader="none" w:pos="460"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96" w:lineRule="exact"/>
        <w:rPr>
          <w:rFonts w:ascii="Arial" w:cs="Arial" w:eastAsia="Arial" w:hAnsi="Arial"/>
          <w:sz w:val="18"/>
          <w:szCs w:val="18"/>
          <w:b w:val="1"/>
          <w:bCs w:val="1"/>
          <w:color w:val="auto"/>
        </w:rPr>
      </w:pPr>
    </w:p>
    <w:p>
      <w:pPr>
        <w:jc w:val="both"/>
        <w:ind w:firstLine="464"/>
        <w:spacing w:after="0" w:line="289" w:lineRule="auto"/>
        <w:tabs>
          <w:tab w:leader="none" w:pos="695" w:val="left"/>
        </w:tabs>
        <w:numPr>
          <w:ilvl w:val="1"/>
          <w:numId w:val="284"/>
        </w:numPr>
        <w:rPr>
          <w:rFonts w:ascii="Arial" w:cs="Arial" w:eastAsia="Arial" w:hAnsi="Arial"/>
          <w:sz w:val="16"/>
          <w:szCs w:val="16"/>
          <w:color w:val="auto"/>
        </w:rPr>
      </w:pPr>
      <w:r>
        <w:rPr>
          <w:rFonts w:ascii="Arial" w:cs="Arial" w:eastAsia="Arial" w:hAnsi="Arial"/>
          <w:sz w:val="16"/>
          <w:szCs w:val="16"/>
          <w:u w:val="single" w:color="auto"/>
          <w:color w:val="auto"/>
        </w:rPr>
        <w:t>Administration by Board</w:t>
      </w:r>
      <w:r>
        <w:rPr>
          <w:rFonts w:ascii="Arial" w:cs="Arial" w:eastAsia="Arial" w:hAnsi="Arial"/>
          <w:sz w:val="16"/>
          <w:szCs w:val="16"/>
          <w:color w:val="auto"/>
        </w:rPr>
        <w:t>. The Company’s Board of Directors (the “Board”) shall supervise and administer the Plan. Grants of stock options and stock awards under the Plan and the amount and nature of the options and awards to be granted shall be automatic in accordance with Section 5. The Board shall have authority to adopt, amend and repeal such administrative rules, guidelines and practices relating to the Plan as it shall deem advisable. The Board may construe and interpret the terms of the Plan and any options and awards granted under the Plan. The Board may correct any defect, supply any omission or reconcile any inconsistency in the Plan or any option or award in the manner and to the extent it shall deem expedient to carry the Plan into effect and it shall be the sole and final judge of such expediency. All decisions by the Board shall be made in the Board’s sole discretion and shall be final and binding on all persons having or claiming any interest in the Plan or in any option or award. No director or person acting pursuant to the authority delegated by the Board shall be liable for any action or determination relating to or under the Plan made in good faith.</w:t>
      </w:r>
    </w:p>
    <w:p>
      <w:pPr>
        <w:spacing w:after="0" w:line="118" w:lineRule="exact"/>
        <w:rPr>
          <w:rFonts w:ascii="Arial" w:cs="Arial" w:eastAsia="Arial" w:hAnsi="Arial"/>
          <w:sz w:val="16"/>
          <w:szCs w:val="16"/>
          <w:color w:val="auto"/>
        </w:rPr>
      </w:pPr>
    </w:p>
    <w:p>
      <w:pPr>
        <w:jc w:val="both"/>
        <w:ind w:firstLine="464"/>
        <w:spacing w:after="0" w:line="259" w:lineRule="auto"/>
        <w:tabs>
          <w:tab w:leader="none" w:pos="719" w:val="left"/>
        </w:tabs>
        <w:numPr>
          <w:ilvl w:val="1"/>
          <w:numId w:val="284"/>
        </w:numPr>
        <w:rPr>
          <w:rFonts w:ascii="Arial" w:cs="Arial" w:eastAsia="Arial" w:hAnsi="Arial"/>
          <w:sz w:val="18"/>
          <w:szCs w:val="18"/>
          <w:color w:val="auto"/>
        </w:rPr>
      </w:pPr>
      <w:r>
        <w:rPr>
          <w:rFonts w:ascii="Arial" w:cs="Arial" w:eastAsia="Arial" w:hAnsi="Arial"/>
          <w:sz w:val="18"/>
          <w:szCs w:val="18"/>
          <w:u w:val="single" w:color="auto"/>
          <w:color w:val="auto"/>
        </w:rPr>
        <w:t>Delegation</w:t>
      </w:r>
      <w:r>
        <w:rPr>
          <w:rFonts w:ascii="Arial" w:cs="Arial" w:eastAsia="Arial" w:hAnsi="Arial"/>
          <w:sz w:val="18"/>
          <w:szCs w:val="18"/>
          <w:color w:val="auto"/>
        </w:rPr>
        <w:t>. To the extent permitted by applicable law, the Board may delegate any or all of its powers under the Plan to one or more committees or subcommittees of the Board. All references in the Plan to the “Board” shall mean the Board or a committee of the Board to the extent that the Board’s powers or authority under the Plan have been delegated to such committee.</w:t>
      </w:r>
    </w:p>
    <w:p>
      <w:pPr>
        <w:spacing w:after="0" w:line="255" w:lineRule="exact"/>
        <w:rPr>
          <w:rFonts w:ascii="Arial" w:cs="Arial" w:eastAsia="Arial" w:hAnsi="Arial"/>
          <w:sz w:val="18"/>
          <w:szCs w:val="18"/>
          <w:color w:val="auto"/>
        </w:rPr>
      </w:pPr>
    </w:p>
    <w:p>
      <w:pPr>
        <w:ind w:left="460" w:hanging="452"/>
        <w:spacing w:after="0"/>
        <w:tabs>
          <w:tab w:leader="none" w:pos="460"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Participation in the Plan.</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Directors of the Company who are not full-time employees of the Company or any subsidiary of the Company (“Outside Directors”) shall be eligible to receive options and stock awards under the Plan, except that Directors of the Company who are representatives of an equity holder of the Company shall not be eligible to receive options or awards under the Plan.</w:t>
      </w:r>
    </w:p>
    <w:p>
      <w:pPr>
        <w:spacing w:after="0" w:line="256" w:lineRule="exact"/>
        <w:rPr>
          <w:sz w:val="20"/>
          <w:szCs w:val="20"/>
          <w:color w:val="auto"/>
        </w:rPr>
      </w:pPr>
    </w:p>
    <w:p>
      <w:pPr>
        <w:ind w:left="460" w:hanging="452"/>
        <w:spacing w:after="0"/>
        <w:tabs>
          <w:tab w:leader="none" w:pos="460"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color w:val="auto"/>
        </w:rPr>
        <w:t>Stock Subject to the Plan.</w:t>
      </w:r>
    </w:p>
    <w:p>
      <w:pPr>
        <w:spacing w:after="0" w:line="96" w:lineRule="exact"/>
        <w:rPr>
          <w:rFonts w:ascii="Arial" w:cs="Arial" w:eastAsia="Arial" w:hAnsi="Arial"/>
          <w:sz w:val="18"/>
          <w:szCs w:val="18"/>
          <w:b w:val="1"/>
          <w:bCs w:val="1"/>
          <w:color w:val="auto"/>
        </w:rPr>
      </w:pPr>
    </w:p>
    <w:p>
      <w:pPr>
        <w:ind w:firstLine="464"/>
        <w:spacing w:after="0" w:line="268" w:lineRule="auto"/>
        <w:tabs>
          <w:tab w:leader="none" w:pos="695" w:val="left"/>
        </w:tabs>
        <w:numPr>
          <w:ilvl w:val="1"/>
          <w:numId w:val="285"/>
        </w:numPr>
        <w:rPr>
          <w:rFonts w:ascii="Arial" w:cs="Arial" w:eastAsia="Arial" w:hAnsi="Arial"/>
          <w:sz w:val="18"/>
          <w:szCs w:val="18"/>
          <w:color w:val="auto"/>
        </w:rPr>
      </w:pPr>
      <w:r>
        <w:rPr>
          <w:rFonts w:ascii="Arial" w:cs="Arial" w:eastAsia="Arial" w:hAnsi="Arial"/>
          <w:sz w:val="18"/>
          <w:szCs w:val="18"/>
          <w:u w:val="single" w:color="auto"/>
          <w:color w:val="auto"/>
        </w:rPr>
        <w:t>Shares Issuable</w:t>
      </w:r>
      <w:r>
        <w:rPr>
          <w:rFonts w:ascii="Arial" w:cs="Arial" w:eastAsia="Arial" w:hAnsi="Arial"/>
          <w:sz w:val="18"/>
          <w:szCs w:val="18"/>
          <w:color w:val="auto"/>
        </w:rPr>
        <w:t>. The maximum number of shares of the Company’s common stock, par value $.01 per share (“Common Stock”), which may be issued under the Plan shall be 300,000 shares, subject to adjustment as provided in Section 7.</w:t>
      </w:r>
    </w:p>
    <w:p>
      <w:pPr>
        <w:sectPr>
          <w:pgSz w:w="11900" w:h="16838" w:orient="portrait"/>
          <w:cols w:equalWidth="0" w:num="1">
            <w:col w:w="11420"/>
          </w:cols>
          <w:pgMar w:left="240" w:top="125" w:right="239" w:bottom="1440" w:gutter="0" w:footer="0" w:header="0"/>
        </w:sectPr>
      </w:pPr>
    </w:p>
    <w:bookmarkStart w:id="174" w:name="page175"/>
    <w:bookmarkEnd w:id="174"/>
    <w:p>
      <w:pPr>
        <w:ind w:firstLine="464"/>
        <w:spacing w:after="0" w:line="332" w:lineRule="auto"/>
        <w:tabs>
          <w:tab w:leader="none" w:pos="705" w:val="left"/>
        </w:tabs>
        <w:numPr>
          <w:ilvl w:val="1"/>
          <w:numId w:val="28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Reissuance of Shares</w:t>
      </w:r>
      <w:r>
        <w:rPr>
          <w:rFonts w:ascii="Arial" w:cs="Arial" w:eastAsia="Arial" w:hAnsi="Arial"/>
          <w:sz w:val="16"/>
          <w:szCs w:val="16"/>
          <w:color w:val="auto"/>
        </w:rPr>
        <w:t>. If any outstanding option under the Plan for any reason expires or is terminated, surrendered, or cancelled without having been exercised in full, the shares covered by the unexercised portion of such option shall again become available for issuance pursuant to the Plan.</w:t>
      </w:r>
    </w:p>
    <w:p>
      <w:pPr>
        <w:spacing w:after="0" w:line="85" w:lineRule="exact"/>
        <w:rPr>
          <w:rFonts w:ascii="Arial" w:cs="Arial" w:eastAsia="Arial" w:hAnsi="Arial"/>
          <w:sz w:val="16"/>
          <w:szCs w:val="16"/>
          <w:color w:val="auto"/>
        </w:rPr>
      </w:pPr>
    </w:p>
    <w:p>
      <w:pPr>
        <w:ind w:right="20" w:firstLine="464"/>
        <w:spacing w:after="0" w:line="268" w:lineRule="auto"/>
        <w:tabs>
          <w:tab w:leader="none" w:pos="695" w:val="left"/>
        </w:tabs>
        <w:numPr>
          <w:ilvl w:val="1"/>
          <w:numId w:val="286"/>
        </w:numPr>
        <w:rPr>
          <w:rFonts w:ascii="Arial" w:cs="Arial" w:eastAsia="Arial" w:hAnsi="Arial"/>
          <w:sz w:val="18"/>
          <w:szCs w:val="18"/>
          <w:color w:val="auto"/>
        </w:rPr>
      </w:pPr>
      <w:r>
        <w:rPr>
          <w:rFonts w:ascii="Arial" w:cs="Arial" w:eastAsia="Arial" w:hAnsi="Arial"/>
          <w:sz w:val="18"/>
          <w:szCs w:val="18"/>
          <w:u w:val="single" w:color="auto"/>
          <w:color w:val="auto"/>
        </w:rPr>
        <w:t>Non-Statutory Options</w:t>
      </w:r>
      <w:r>
        <w:rPr>
          <w:rFonts w:ascii="Arial" w:cs="Arial" w:eastAsia="Arial" w:hAnsi="Arial"/>
          <w:sz w:val="18"/>
          <w:szCs w:val="18"/>
          <w:color w:val="auto"/>
        </w:rPr>
        <w:t>. All options granted under the Plan shall be non-statutory options and not entitled to special tax treatment under Section 422 of the Internal Revenue Code of 1986, as amended (the “Code”).</w:t>
      </w:r>
    </w:p>
    <w:p>
      <w:pPr>
        <w:spacing w:after="0" w:line="131" w:lineRule="exact"/>
        <w:rPr>
          <w:rFonts w:ascii="Arial" w:cs="Arial" w:eastAsia="Arial" w:hAnsi="Arial"/>
          <w:sz w:val="18"/>
          <w:szCs w:val="18"/>
          <w:color w:val="auto"/>
        </w:rPr>
      </w:pPr>
    </w:p>
    <w:p>
      <w:pPr>
        <w:ind w:right="20" w:firstLine="464"/>
        <w:spacing w:after="0" w:line="268" w:lineRule="auto"/>
        <w:tabs>
          <w:tab w:leader="none" w:pos="719" w:val="left"/>
        </w:tabs>
        <w:numPr>
          <w:ilvl w:val="1"/>
          <w:numId w:val="286"/>
        </w:numPr>
        <w:rPr>
          <w:rFonts w:ascii="Arial" w:cs="Arial" w:eastAsia="Arial" w:hAnsi="Arial"/>
          <w:sz w:val="18"/>
          <w:szCs w:val="18"/>
          <w:color w:val="auto"/>
        </w:rPr>
      </w:pPr>
      <w:r>
        <w:rPr>
          <w:rFonts w:ascii="Arial" w:cs="Arial" w:eastAsia="Arial" w:hAnsi="Arial"/>
          <w:sz w:val="18"/>
          <w:szCs w:val="18"/>
          <w:u w:val="single" w:color="auto"/>
          <w:color w:val="auto"/>
        </w:rPr>
        <w:t>Unissued and Treasury Shares</w:t>
      </w:r>
      <w:r>
        <w:rPr>
          <w:rFonts w:ascii="Arial" w:cs="Arial" w:eastAsia="Arial" w:hAnsi="Arial"/>
          <w:sz w:val="18"/>
          <w:szCs w:val="18"/>
          <w:color w:val="auto"/>
        </w:rPr>
        <w:t>. Shares of Common Stock issued under the Plan may consist in whole or in part of authorized but unissued shares or treasury shares.</w:t>
      </w:r>
    </w:p>
    <w:p>
      <w:pPr>
        <w:spacing w:after="0" w:line="247" w:lineRule="exact"/>
        <w:rPr>
          <w:rFonts w:ascii="Arial" w:cs="Arial" w:eastAsia="Arial" w:hAnsi="Arial"/>
          <w:sz w:val="18"/>
          <w:szCs w:val="18"/>
          <w:color w:val="auto"/>
        </w:rPr>
      </w:pPr>
    </w:p>
    <w:p>
      <w:pPr>
        <w:ind w:left="460" w:hanging="452"/>
        <w:spacing w:after="0"/>
        <w:tabs>
          <w:tab w:leader="none" w:pos="460" w:val="left"/>
        </w:tabs>
        <w:numPr>
          <w:ilvl w:val="0"/>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Director Option and Award Grants; Terms of Director Options.</w:t>
      </w:r>
    </w:p>
    <w:p>
      <w:pPr>
        <w:spacing w:after="0" w:line="96" w:lineRule="exact"/>
        <w:rPr>
          <w:rFonts w:ascii="Arial" w:cs="Arial" w:eastAsia="Arial" w:hAnsi="Arial"/>
          <w:sz w:val="18"/>
          <w:szCs w:val="18"/>
          <w:b w:val="1"/>
          <w:bCs w:val="1"/>
          <w:color w:val="auto"/>
        </w:rPr>
      </w:pPr>
    </w:p>
    <w:p>
      <w:pPr>
        <w:ind w:left="700" w:hanging="236"/>
        <w:spacing w:after="0"/>
        <w:tabs>
          <w:tab w:leader="none" w:pos="700" w:val="left"/>
        </w:tabs>
        <w:numPr>
          <w:ilvl w:val="1"/>
          <w:numId w:val="287"/>
        </w:numPr>
        <w:rPr>
          <w:rFonts w:ascii="Arial" w:cs="Arial" w:eastAsia="Arial" w:hAnsi="Arial"/>
          <w:sz w:val="18"/>
          <w:szCs w:val="18"/>
          <w:color w:val="auto"/>
        </w:rPr>
      </w:pPr>
      <w:r>
        <w:rPr>
          <w:rFonts w:ascii="Arial" w:cs="Arial" w:eastAsia="Arial" w:hAnsi="Arial"/>
          <w:sz w:val="18"/>
          <w:szCs w:val="18"/>
          <w:u w:val="single" w:color="auto"/>
          <w:color w:val="auto"/>
        </w:rPr>
        <w:t>Director Option Grants</w:t>
      </w:r>
      <w:r>
        <w:rPr>
          <w:rFonts w:ascii="Arial" w:cs="Arial" w:eastAsia="Arial" w:hAnsi="Arial"/>
          <w:sz w:val="18"/>
          <w:szCs w:val="18"/>
          <w:color w:val="auto"/>
        </w:rPr>
        <w:t>. The Company shall grant options or awards to Outside Directors under the Plan as follows:</w:t>
      </w:r>
    </w:p>
    <w:p>
      <w:pPr>
        <w:spacing w:after="0" w:line="90" w:lineRule="exact"/>
        <w:rPr>
          <w:rFonts w:ascii="Arial" w:cs="Arial" w:eastAsia="Arial" w:hAnsi="Arial"/>
          <w:sz w:val="18"/>
          <w:szCs w:val="18"/>
          <w:color w:val="auto"/>
        </w:rPr>
      </w:pPr>
    </w:p>
    <w:p>
      <w:pPr>
        <w:jc w:val="both"/>
        <w:ind w:firstLine="921"/>
        <w:spacing w:after="0" w:line="259" w:lineRule="auto"/>
        <w:tabs>
          <w:tab w:leader="none" w:pos="1122" w:val="left"/>
        </w:tabs>
        <w:numPr>
          <w:ilvl w:val="2"/>
          <w:numId w:val="287"/>
        </w:numPr>
        <w:rPr>
          <w:rFonts w:ascii="Arial" w:cs="Arial" w:eastAsia="Arial" w:hAnsi="Arial"/>
          <w:sz w:val="18"/>
          <w:szCs w:val="18"/>
          <w:color w:val="auto"/>
        </w:rPr>
      </w:pPr>
      <w:r>
        <w:rPr>
          <w:rFonts w:ascii="Arial" w:cs="Arial" w:eastAsia="Arial" w:hAnsi="Arial"/>
          <w:sz w:val="18"/>
          <w:szCs w:val="18"/>
          <w:u w:val="single" w:color="auto"/>
          <w:color w:val="auto"/>
        </w:rPr>
        <w:t>Initial Option Grants to Outside Directors</w:t>
      </w:r>
      <w:r>
        <w:rPr>
          <w:rFonts w:ascii="Arial" w:cs="Arial" w:eastAsia="Arial" w:hAnsi="Arial"/>
          <w:sz w:val="18"/>
          <w:szCs w:val="18"/>
          <w:color w:val="auto"/>
        </w:rPr>
        <w:t>. An option to purchase 20,000 shares of Common Stock shall be granted automatically to each Outside Director first elected to the Board after the date of the approval of the Plan by the stockholders of the Company, upon the date of his or her initial election to the Board.</w:t>
      </w:r>
    </w:p>
    <w:p>
      <w:pPr>
        <w:spacing w:after="0" w:line="140" w:lineRule="exact"/>
        <w:rPr>
          <w:rFonts w:ascii="Arial" w:cs="Arial" w:eastAsia="Arial" w:hAnsi="Arial"/>
          <w:sz w:val="18"/>
          <w:szCs w:val="18"/>
          <w:color w:val="auto"/>
        </w:rPr>
      </w:pPr>
    </w:p>
    <w:p>
      <w:pPr>
        <w:jc w:val="both"/>
        <w:ind w:firstLine="921"/>
        <w:spacing w:after="0" w:line="298" w:lineRule="auto"/>
        <w:tabs>
          <w:tab w:leader="none" w:pos="1198" w:val="left"/>
        </w:tabs>
        <w:numPr>
          <w:ilvl w:val="2"/>
          <w:numId w:val="287"/>
        </w:numPr>
        <w:rPr>
          <w:rFonts w:ascii="Arial" w:cs="Arial" w:eastAsia="Arial" w:hAnsi="Arial"/>
          <w:sz w:val="16"/>
          <w:szCs w:val="16"/>
          <w:color w:val="auto"/>
        </w:rPr>
      </w:pPr>
      <w:r>
        <w:rPr>
          <w:rFonts w:ascii="Arial" w:cs="Arial" w:eastAsia="Arial" w:hAnsi="Arial"/>
          <w:sz w:val="16"/>
          <w:szCs w:val="16"/>
          <w:u w:val="single" w:color="auto"/>
          <w:color w:val="auto"/>
        </w:rPr>
        <w:t>Stock Awards to Outside Directors</w:t>
      </w:r>
      <w:r>
        <w:rPr>
          <w:rFonts w:ascii="Arial" w:cs="Arial" w:eastAsia="Arial" w:hAnsi="Arial"/>
          <w:sz w:val="16"/>
          <w:szCs w:val="16"/>
          <w:color w:val="auto"/>
        </w:rPr>
        <w:t>. An award of 5,000 shares of Common Stock shall be granted automatically, on the third business day following the date of each Annual Meeting of Stockholders of the Company, to each person serving as an Outside Director of the Company on the date of such grant, provided that such Outside Director has served on the Board for at least one full calendar year prior to the date of such grant. The shares of Common Stock covered by such award shall be fully vested and not subject to any repurchase rights or other contractual restrictions.</w:t>
      </w:r>
    </w:p>
    <w:p>
      <w:pPr>
        <w:spacing w:after="0" w:line="112" w:lineRule="exact"/>
        <w:rPr>
          <w:rFonts w:ascii="Arial" w:cs="Arial" w:eastAsia="Arial" w:hAnsi="Arial"/>
          <w:sz w:val="16"/>
          <w:szCs w:val="16"/>
          <w:color w:val="auto"/>
        </w:rPr>
      </w:pPr>
    </w:p>
    <w:p>
      <w:pPr>
        <w:jc w:val="both"/>
        <w:ind w:firstLine="464"/>
        <w:spacing w:after="0" w:line="259" w:lineRule="auto"/>
        <w:tabs>
          <w:tab w:leader="none" w:pos="705" w:val="left"/>
        </w:tabs>
        <w:numPr>
          <w:ilvl w:val="1"/>
          <w:numId w:val="287"/>
        </w:numPr>
        <w:rPr>
          <w:rFonts w:ascii="Arial" w:cs="Arial" w:eastAsia="Arial" w:hAnsi="Arial"/>
          <w:sz w:val="18"/>
          <w:szCs w:val="18"/>
          <w:color w:val="auto"/>
        </w:rPr>
      </w:pPr>
      <w:r>
        <w:rPr>
          <w:rFonts w:ascii="Arial" w:cs="Arial" w:eastAsia="Arial" w:hAnsi="Arial"/>
          <w:sz w:val="18"/>
          <w:szCs w:val="18"/>
          <w:u w:val="single" w:color="auto"/>
          <w:color w:val="auto"/>
        </w:rPr>
        <w:t>Terms of Director Options</w:t>
      </w:r>
      <w:r>
        <w:rPr>
          <w:rFonts w:ascii="Arial" w:cs="Arial" w:eastAsia="Arial" w:hAnsi="Arial"/>
          <w:sz w:val="18"/>
          <w:szCs w:val="18"/>
          <w:color w:val="auto"/>
        </w:rPr>
        <w:t>. Each option granted pursuant to Section 5(a)(i) shall be evidenced by a written agreement in such form as the President or the Executive Vice President, Corporate Development shall from time to time approve, which agreements shall comply with and be subject to the following terms and conditions:</w:t>
      </w:r>
    </w:p>
    <w:p>
      <w:pPr>
        <w:spacing w:after="0" w:line="140" w:lineRule="exact"/>
        <w:rPr>
          <w:rFonts w:ascii="Arial" w:cs="Arial" w:eastAsia="Arial" w:hAnsi="Arial"/>
          <w:sz w:val="18"/>
          <w:szCs w:val="18"/>
          <w:color w:val="auto"/>
        </w:rPr>
      </w:pPr>
    </w:p>
    <w:p>
      <w:pPr>
        <w:jc w:val="both"/>
        <w:ind w:firstLine="921"/>
        <w:spacing w:after="0" w:line="253" w:lineRule="auto"/>
        <w:tabs>
          <w:tab w:leader="none" w:pos="1122" w:val="left"/>
        </w:tabs>
        <w:numPr>
          <w:ilvl w:val="2"/>
          <w:numId w:val="287"/>
        </w:numPr>
        <w:rPr>
          <w:rFonts w:ascii="Arial" w:cs="Arial" w:eastAsia="Arial" w:hAnsi="Arial"/>
          <w:sz w:val="18"/>
          <w:szCs w:val="18"/>
          <w:color w:val="auto"/>
        </w:rPr>
      </w:pPr>
      <w:r>
        <w:rPr>
          <w:rFonts w:ascii="Arial" w:cs="Arial" w:eastAsia="Arial" w:hAnsi="Arial"/>
          <w:sz w:val="18"/>
          <w:szCs w:val="18"/>
          <w:u w:val="single" w:color="auto"/>
          <w:color w:val="auto"/>
        </w:rPr>
        <w:t>Option Exercise Price</w:t>
      </w:r>
      <w:r>
        <w:rPr>
          <w:rFonts w:ascii="Arial" w:cs="Arial" w:eastAsia="Arial" w:hAnsi="Arial"/>
          <w:sz w:val="18"/>
          <w:szCs w:val="18"/>
          <w:color w:val="auto"/>
        </w:rPr>
        <w:t>. The option exercise price per share for each option granted under the Plan shall be equal to the fair market value per share of Common Stock on the date of grant, which shall be determined as follows: (i) if the Common Stock is listed on the Nasdaq Global Market or another nationally recognized exchange or trading system as of the date on which a determination of fair market value is to be made, the fair market value per share shall be deemed to be the last reported sale price per share of Common Stock thereon on such date (or, if no such price is reported on such date, such price on the nearest preceding date on which such a price is reported); and (ii) if the Common Stock is not listed on the Nasdaq Global Market or another nationally recognized exchange or trading system as of the date on which a determination of fair market value is to be made, the fair market value per share shall be as determined by the Board.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75" w:name="page176"/>
    <w:bookmarkEnd w:id="175"/>
    <w:p>
      <w:pPr>
        <w:jc w:val="both"/>
        <w:ind w:firstLine="921"/>
        <w:spacing w:after="0" w:line="288" w:lineRule="auto"/>
        <w:tabs>
          <w:tab w:leader="none" w:pos="1185" w:val="left"/>
        </w:tabs>
        <w:numPr>
          <w:ilvl w:val="1"/>
          <w:numId w:val="28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Transferability of Options</w:t>
      </w:r>
      <w:r>
        <w:rPr>
          <w:rFonts w:ascii="Arial" w:cs="Arial" w:eastAsia="Arial" w:hAnsi="Arial"/>
          <w:sz w:val="16"/>
          <w:szCs w:val="16"/>
          <w:color w:val="auto"/>
        </w:rPr>
        <w:t xml:space="preserve">. Subject to clause (vi) below, except as the Board may otherwise determine, options shall not be sold, assigned, transferred, pledged or otherwise encumbered by the person to whom they are granted, either voluntarily or by operation of law, except by will or the laws of descent and distribution, and, during the life of the optionee, shall be exercisable only by the optionee;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Board may permit or provide in an option for the gratuitous transfer of such option by the applicable Outside Director to or for the benefit of any immediate family member, family trust or other entity established for the benefit of the Participant and/or an immediate family member thereof if, with respect to such proposed transferee, the Company would be eligible to use a Form S-8 for the registration of the sale of the Common Stock subject to such option under the Securities Act of 1933, as amended;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Company shall not be required to recognize any such transfer until such time as the applicable Outside Director and such permitted transferee shall, as a condition to such transfer, deliver to the Company a written instrument in form and substance satisfactory to the Company confirming that such transferee shall be bound by all of the terms and conditions of the option.</w:t>
      </w:r>
    </w:p>
    <w:p>
      <w:pPr>
        <w:spacing w:after="0" w:line="119" w:lineRule="exact"/>
        <w:rPr>
          <w:rFonts w:ascii="Arial" w:cs="Arial" w:eastAsia="Arial" w:hAnsi="Arial"/>
          <w:sz w:val="16"/>
          <w:szCs w:val="16"/>
          <w:color w:val="auto"/>
        </w:rPr>
      </w:pPr>
    </w:p>
    <w:p>
      <w:pPr>
        <w:ind w:left="1220" w:hanging="299"/>
        <w:spacing w:after="0"/>
        <w:tabs>
          <w:tab w:leader="none" w:pos="1220" w:val="left"/>
        </w:tabs>
        <w:numPr>
          <w:ilvl w:val="1"/>
          <w:numId w:val="288"/>
        </w:numPr>
        <w:rPr>
          <w:rFonts w:ascii="Arial" w:cs="Arial" w:eastAsia="Arial" w:hAnsi="Arial"/>
          <w:sz w:val="18"/>
          <w:szCs w:val="18"/>
          <w:color w:val="auto"/>
        </w:rPr>
      </w:pPr>
      <w:r>
        <w:rPr>
          <w:rFonts w:ascii="Arial" w:cs="Arial" w:eastAsia="Arial" w:hAnsi="Arial"/>
          <w:sz w:val="18"/>
          <w:szCs w:val="18"/>
          <w:u w:val="single" w:color="auto"/>
          <w:color w:val="auto"/>
        </w:rPr>
        <w:t>Vesting Period</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1492"/>
        <w:spacing w:after="0" w:line="268" w:lineRule="auto"/>
        <w:tabs>
          <w:tab w:leader="none" w:pos="1771" w:val="left"/>
        </w:tabs>
        <w:numPr>
          <w:ilvl w:val="2"/>
          <w:numId w:val="288"/>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Each option granted pursuant to Section 5(a)(i) shall become exercisable in equal annual installments over a two year period following the date of grant.</w:t>
      </w:r>
    </w:p>
    <w:p>
      <w:pPr>
        <w:spacing w:after="0" w:line="131" w:lineRule="exact"/>
        <w:rPr>
          <w:rFonts w:ascii="Arial" w:cs="Arial" w:eastAsia="Arial" w:hAnsi="Arial"/>
          <w:sz w:val="18"/>
          <w:szCs w:val="18"/>
          <w:color w:val="auto"/>
        </w:rPr>
      </w:pPr>
    </w:p>
    <w:p>
      <w:pPr>
        <w:jc w:val="both"/>
        <w:ind w:firstLine="1492"/>
        <w:spacing w:after="0" w:line="301" w:lineRule="auto"/>
        <w:tabs>
          <w:tab w:leader="none" w:pos="1761" w:val="left"/>
        </w:tabs>
        <w:numPr>
          <w:ilvl w:val="2"/>
          <w:numId w:val="288"/>
        </w:numPr>
        <w:rPr>
          <w:rFonts w:ascii="Arial" w:cs="Arial" w:eastAsia="Arial" w:hAnsi="Arial"/>
          <w:sz w:val="15"/>
          <w:szCs w:val="15"/>
          <w:color w:val="auto"/>
        </w:rPr>
      </w:pPr>
      <w:r>
        <w:rPr>
          <w:rFonts w:ascii="Arial" w:cs="Arial" w:eastAsia="Arial" w:hAnsi="Arial"/>
          <w:sz w:val="15"/>
          <w:szCs w:val="15"/>
          <w:u w:val="single" w:color="auto"/>
          <w:color w:val="auto"/>
        </w:rPr>
        <w:t>Acceleration Upon a Change in Control</w:t>
      </w:r>
      <w:r>
        <w:rPr>
          <w:rFonts w:ascii="Arial" w:cs="Arial" w:eastAsia="Arial" w:hAnsi="Arial"/>
          <w:sz w:val="15"/>
          <w:szCs w:val="15"/>
          <w:color w:val="auto"/>
        </w:rPr>
        <w:t>. Notwithstanding the foregoing, each outstanding option granted pursuant to Section 5(a)(i) shall immediately become exercisable in full in the event a Change in Control of the Company (as defined in this subsection) occurs. For purposes of the Plan, a “Change in Control of the Company” shall occur or be deemed to have occurred only if (i) any “person”, as such term is used in Section 13(d) and 14(d) of the Securities Exchange Act of 1934, as amended (the “Exchange Act”) (other than the Company, any trustee or other fiduciary holding securities under an employee benefit plan of the Company, or any corporation owned directly or indirectly by the stockholders of the Company in substantially the same proportion as their ownership of stock of the Company), is or becomes the “beneficial owner” (as defined in Rule 13d-3 under the Exchange Act), directly or indirectly, of securities of the Company representing 50% or more of the combined voting power of the Company’s then outstanding securities; (ii) during any period of two consecutive years ending during the term of any option agreement issued under the Plan, individuals who at the beginning of such period constitute the Board, and any new director (other than a director designated by a person who has entered into an agreement with the Company to effect any transaction described in clause (i), (iii) or</w:t>
      </w:r>
    </w:p>
    <w:p>
      <w:pPr>
        <w:spacing w:after="0" w:line="4" w:lineRule="exact"/>
        <w:rPr>
          <w:rFonts w:ascii="Arial" w:cs="Arial" w:eastAsia="Arial" w:hAnsi="Arial"/>
          <w:sz w:val="15"/>
          <w:szCs w:val="15"/>
          <w:color w:val="auto"/>
        </w:rPr>
      </w:pPr>
    </w:p>
    <w:p>
      <w:pPr>
        <w:jc w:val="both"/>
        <w:ind w:firstLine="8"/>
        <w:spacing w:after="0" w:line="290" w:lineRule="auto"/>
        <w:tabs>
          <w:tab w:leader="none" w:pos="299" w:val="left"/>
        </w:tabs>
        <w:numPr>
          <w:ilvl w:val="0"/>
          <w:numId w:val="289"/>
        </w:numPr>
        <w:rPr>
          <w:rFonts w:ascii="Arial" w:cs="Arial" w:eastAsia="Arial" w:hAnsi="Arial"/>
          <w:sz w:val="16"/>
          <w:szCs w:val="16"/>
          <w:color w:val="auto"/>
        </w:rPr>
      </w:pPr>
      <w:r>
        <w:rPr>
          <w:rFonts w:ascii="Arial" w:cs="Arial" w:eastAsia="Arial" w:hAnsi="Arial"/>
          <w:sz w:val="16"/>
          <w:szCs w:val="16"/>
          <w:color w:val="auto"/>
        </w:rPr>
        <w:t>of this subsection (B)) whose election by the Board of Directors or nomination for election by the Company’s stockholders was approved by a vote of at least two-thirds of the directors then still in office who were either directors at the beginning of the period or whose election or whose nomination for election was previously so approved, cease for any reason to constitute a majority of the Board of Directors; (iii)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more than 50% of the combined voting power of the voting securities of the Company or such surviving entity outstanding immediately after such</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76" w:name="page177"/>
    <w:bookmarkEnd w:id="176"/>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merger or consolidation; or (iv) the stockholders of the Company approve a plan of complete liquidation of the Company or there occurs the sale or disposition by the Company of all or substantially all of the Company assets.</w:t>
      </w:r>
    </w:p>
    <w:p>
      <w:pPr>
        <w:spacing w:after="0" w:line="132" w:lineRule="exact"/>
        <w:rPr>
          <w:sz w:val="20"/>
          <w:szCs w:val="20"/>
          <w:color w:val="auto"/>
        </w:rPr>
      </w:pPr>
    </w:p>
    <w:p>
      <w:pPr>
        <w:ind w:left="1220" w:hanging="299"/>
        <w:spacing w:after="0"/>
        <w:tabs>
          <w:tab w:leader="none" w:pos="1220" w:val="left"/>
        </w:tabs>
        <w:numPr>
          <w:ilvl w:val="1"/>
          <w:numId w:val="290"/>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Each option shall terminate, and may no longer be exercised, on the earlier of the (i) the date ten years after the date of grant or</w:t>
      </w:r>
    </w:p>
    <w:p>
      <w:pPr>
        <w:spacing w:after="0" w:line="38" w:lineRule="exact"/>
        <w:rPr>
          <w:rFonts w:ascii="Arial" w:cs="Arial" w:eastAsia="Arial" w:hAnsi="Arial"/>
          <w:sz w:val="16"/>
          <w:szCs w:val="16"/>
          <w:color w:val="auto"/>
        </w:rPr>
      </w:pPr>
    </w:p>
    <w:p>
      <w:pPr>
        <w:ind w:left="260" w:hanging="252"/>
        <w:spacing w:after="0"/>
        <w:tabs>
          <w:tab w:leader="none" w:pos="26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the date 60 days after the optionee ceases to serve as a director of the Company for any reason, whether by death, resignation, removal or otherwise.</w:t>
      </w:r>
    </w:p>
    <w:p>
      <w:pPr>
        <w:spacing w:after="0" w:line="187" w:lineRule="exact"/>
        <w:rPr>
          <w:rFonts w:ascii="Arial" w:cs="Arial" w:eastAsia="Arial" w:hAnsi="Arial"/>
          <w:sz w:val="16"/>
          <w:szCs w:val="16"/>
          <w:color w:val="auto"/>
        </w:rPr>
      </w:pPr>
    </w:p>
    <w:p>
      <w:pPr>
        <w:jc w:val="both"/>
        <w:ind w:firstLine="921"/>
        <w:spacing w:after="0" w:line="298" w:lineRule="auto"/>
        <w:tabs>
          <w:tab w:leader="none" w:pos="1161" w:val="left"/>
        </w:tabs>
        <w:numPr>
          <w:ilvl w:val="1"/>
          <w:numId w:val="291"/>
        </w:numPr>
        <w:rPr>
          <w:rFonts w:ascii="Arial" w:cs="Arial" w:eastAsia="Arial" w:hAnsi="Arial"/>
          <w:sz w:val="16"/>
          <w:szCs w:val="16"/>
          <w:color w:val="auto"/>
        </w:rPr>
      </w:pPr>
      <w:r>
        <w:rPr>
          <w:rFonts w:ascii="Arial" w:cs="Arial" w:eastAsia="Arial" w:hAnsi="Arial"/>
          <w:sz w:val="16"/>
          <w:szCs w:val="16"/>
          <w:u w:val="single" w:color="auto"/>
          <w:color w:val="auto"/>
        </w:rPr>
        <w:t>Exercise Procedure</w:t>
      </w:r>
      <w:r>
        <w:rPr>
          <w:rFonts w:ascii="Arial" w:cs="Arial" w:eastAsia="Arial" w:hAnsi="Arial"/>
          <w:sz w:val="16"/>
          <w:szCs w:val="16"/>
          <w:color w:val="auto"/>
        </w:rPr>
        <w:t>. Options may be exercised only by written notice to the Company at its principal office accompanied by (i) payment in cash or by certified or bank check of the full consideration for the shares as to which they are exercised or (ii) an irrevocable undertaking, in form and substance satisfactory to the Company, by a broker to deliver promptly to the Company sufficient funds to pay the exercise price or (iii) delivery of irrevocable instructions, in form and substance satisfactory to the Company, to a broker to deliver promptly to the Company cash or a check sufficient to pay the exercise price.</w:t>
      </w:r>
    </w:p>
    <w:p>
      <w:pPr>
        <w:spacing w:after="0" w:line="112" w:lineRule="exact"/>
        <w:rPr>
          <w:rFonts w:ascii="Arial" w:cs="Arial" w:eastAsia="Arial" w:hAnsi="Arial"/>
          <w:sz w:val="16"/>
          <w:szCs w:val="16"/>
          <w:color w:val="auto"/>
        </w:rPr>
      </w:pPr>
    </w:p>
    <w:p>
      <w:pPr>
        <w:jc w:val="both"/>
        <w:ind w:firstLine="921"/>
        <w:spacing w:after="0" w:line="298" w:lineRule="auto"/>
        <w:tabs>
          <w:tab w:leader="none" w:pos="1224" w:val="left"/>
        </w:tabs>
        <w:numPr>
          <w:ilvl w:val="1"/>
          <w:numId w:val="291"/>
        </w:numPr>
        <w:rPr>
          <w:rFonts w:ascii="Arial" w:cs="Arial" w:eastAsia="Arial" w:hAnsi="Arial"/>
          <w:sz w:val="16"/>
          <w:szCs w:val="16"/>
          <w:color w:val="auto"/>
        </w:rPr>
      </w:pPr>
      <w:r>
        <w:rPr>
          <w:rFonts w:ascii="Arial" w:cs="Arial" w:eastAsia="Arial" w:hAnsi="Arial"/>
          <w:sz w:val="16"/>
          <w:szCs w:val="16"/>
          <w:u w:val="single" w:color="auto"/>
          <w:color w:val="auto"/>
        </w:rPr>
        <w:t>Exercise by Representative Following Death of Director</w:t>
      </w:r>
      <w:r>
        <w:rPr>
          <w:rFonts w:ascii="Arial" w:cs="Arial" w:eastAsia="Arial" w:hAnsi="Arial"/>
          <w:sz w:val="16"/>
          <w:szCs w:val="16"/>
          <w:color w:val="auto"/>
        </w:rPr>
        <w:t>. An optionee, by written notice to the Company, may designate one or more persons (and from time to time change such designation), including his or her legal representative, who, by reason of the optionee’s death, shall acquire the right to exercise all or a portion of the option. If the person or persons so designated wish to exercise any portion of the option, they must do so within the term of the option as provided herein. Any exercise by a representative shall be subject to the provisions of the Plan.</w:t>
      </w:r>
    </w:p>
    <w:p>
      <w:pPr>
        <w:spacing w:after="0" w:line="228" w:lineRule="exact"/>
        <w:rPr>
          <w:sz w:val="20"/>
          <w:szCs w:val="20"/>
          <w:color w:val="auto"/>
        </w:rPr>
      </w:pPr>
    </w:p>
    <w:p>
      <w:pPr>
        <w:ind w:left="460" w:hanging="452"/>
        <w:spacing w:after="0"/>
        <w:tabs>
          <w:tab w:leader="none" w:pos="460"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of Rights.</w:t>
      </w:r>
    </w:p>
    <w:p>
      <w:pPr>
        <w:spacing w:after="0" w:line="96" w:lineRule="exact"/>
        <w:rPr>
          <w:rFonts w:ascii="Arial" w:cs="Arial" w:eastAsia="Arial" w:hAnsi="Arial"/>
          <w:sz w:val="18"/>
          <w:szCs w:val="18"/>
          <w:b w:val="1"/>
          <w:bCs w:val="1"/>
          <w:color w:val="auto"/>
        </w:rPr>
      </w:pPr>
    </w:p>
    <w:p>
      <w:pPr>
        <w:ind w:firstLine="464"/>
        <w:spacing w:after="0" w:line="332" w:lineRule="auto"/>
        <w:tabs>
          <w:tab w:leader="none" w:pos="695" w:val="left"/>
        </w:tabs>
        <w:numPr>
          <w:ilvl w:val="1"/>
          <w:numId w:val="292"/>
        </w:numPr>
        <w:rPr>
          <w:rFonts w:ascii="Arial" w:cs="Arial" w:eastAsia="Arial" w:hAnsi="Arial"/>
          <w:sz w:val="16"/>
          <w:szCs w:val="16"/>
          <w:color w:val="auto"/>
        </w:rPr>
      </w:pPr>
      <w:r>
        <w:rPr>
          <w:rFonts w:ascii="Arial" w:cs="Arial" w:eastAsia="Arial" w:hAnsi="Arial"/>
          <w:sz w:val="16"/>
          <w:szCs w:val="16"/>
          <w:u w:val="single" w:color="auto"/>
          <w:color w:val="auto"/>
        </w:rPr>
        <w:t>No Right to Continue as a Director</w:t>
      </w:r>
      <w:r>
        <w:rPr>
          <w:rFonts w:ascii="Arial" w:cs="Arial" w:eastAsia="Arial" w:hAnsi="Arial"/>
          <w:sz w:val="16"/>
          <w:szCs w:val="16"/>
          <w:color w:val="auto"/>
        </w:rPr>
        <w:t>. Neither the Plan, nor the granting of an option nor any other action taken pursuant to the Plan, shall constitute or be evidence of any agreement or understanding, express or implied, that the optionee shall be entitled to continue as a director for any period of time.</w:t>
      </w:r>
    </w:p>
    <w:p>
      <w:pPr>
        <w:spacing w:after="0" w:line="85" w:lineRule="exact"/>
        <w:rPr>
          <w:rFonts w:ascii="Arial" w:cs="Arial" w:eastAsia="Arial" w:hAnsi="Arial"/>
          <w:sz w:val="16"/>
          <w:szCs w:val="16"/>
          <w:color w:val="auto"/>
        </w:rPr>
      </w:pPr>
    </w:p>
    <w:p>
      <w:pPr>
        <w:jc w:val="both"/>
        <w:ind w:firstLine="464"/>
        <w:spacing w:after="0" w:line="312" w:lineRule="auto"/>
        <w:tabs>
          <w:tab w:leader="none" w:pos="705" w:val="left"/>
        </w:tabs>
        <w:numPr>
          <w:ilvl w:val="1"/>
          <w:numId w:val="292"/>
        </w:numPr>
        <w:rPr>
          <w:rFonts w:ascii="Arial" w:cs="Arial" w:eastAsia="Arial" w:hAnsi="Arial"/>
          <w:sz w:val="15"/>
          <w:szCs w:val="15"/>
          <w:color w:val="auto"/>
        </w:rPr>
      </w:pPr>
      <w:r>
        <w:rPr>
          <w:rFonts w:ascii="Arial" w:cs="Arial" w:eastAsia="Arial" w:hAnsi="Arial"/>
          <w:sz w:val="15"/>
          <w:szCs w:val="15"/>
          <w:u w:val="single" w:color="auto"/>
          <w:color w:val="auto"/>
        </w:rPr>
        <w:t>No Stockholder Rights for Options</w:t>
      </w:r>
      <w:r>
        <w:rPr>
          <w:rFonts w:ascii="Arial" w:cs="Arial" w:eastAsia="Arial" w:hAnsi="Arial"/>
          <w:sz w:val="15"/>
          <w:szCs w:val="15"/>
          <w:color w:val="auto"/>
        </w:rPr>
        <w:t>. An optionee shall have no rights as a stockholder with respect to the shares covered by his or her option until the date of the issuance to him or her of a stock certificate therefor, and no adjustment will be made for dividends or other rights (except as provided in Section 7) for which the record date is prior to the date such certificate is issued. Notwithstanding the foregoing, in the event the Company effects a split of the Common Stock by means of a stock dividend, and the distribution date (i.e., the date on which the closing market price of the Common Stock on a stock exchange or trading system is adjusted to reflect the split) is subsequent to the record date for such stock dividend, an optionee who exercises an option between the close of business on such record date and the close of business on such distribution date shall be entitled to receive the stock dividend with respect to the shares of Common Stock acquired upon such option exercise, notwithstanding the fact that such shares were not outstanding as of the close of business on such record date.</w:t>
      </w:r>
    </w:p>
    <w:p>
      <w:pPr>
        <w:spacing w:after="0" w:line="105" w:lineRule="exact"/>
        <w:rPr>
          <w:rFonts w:ascii="Arial" w:cs="Arial" w:eastAsia="Arial" w:hAnsi="Arial"/>
          <w:sz w:val="15"/>
          <w:szCs w:val="15"/>
          <w:color w:val="auto"/>
        </w:rPr>
      </w:pPr>
    </w:p>
    <w:p>
      <w:pPr>
        <w:ind w:firstLine="464"/>
        <w:spacing w:after="0" w:line="268" w:lineRule="auto"/>
        <w:tabs>
          <w:tab w:leader="none" w:pos="695" w:val="left"/>
        </w:tabs>
        <w:numPr>
          <w:ilvl w:val="1"/>
          <w:numId w:val="292"/>
        </w:numPr>
        <w:rPr>
          <w:rFonts w:ascii="Arial" w:cs="Arial" w:eastAsia="Arial" w:hAnsi="Arial"/>
          <w:sz w:val="18"/>
          <w:szCs w:val="18"/>
          <w:color w:val="auto"/>
        </w:rPr>
      </w:pPr>
      <w:r>
        <w:rPr>
          <w:rFonts w:ascii="Arial" w:cs="Arial" w:eastAsia="Arial" w:hAnsi="Arial"/>
          <w:sz w:val="18"/>
          <w:szCs w:val="18"/>
          <w:u w:val="single" w:color="auto"/>
          <w:color w:val="auto"/>
        </w:rPr>
        <w:t>Compliance with Securities Laws</w:t>
      </w:r>
      <w:r>
        <w:rPr>
          <w:rFonts w:ascii="Arial" w:cs="Arial" w:eastAsia="Arial" w:hAnsi="Arial"/>
          <w:sz w:val="18"/>
          <w:szCs w:val="18"/>
          <w:color w:val="auto"/>
        </w:rPr>
        <w:t>. Each option and stock award shall be subject to the requirement that if, at any time, counsel to the Company shall determine that the listing,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77" w:name="page178"/>
    <w:bookmarkEnd w:id="177"/>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registration or qualification of the shares subject to such option or stock award upon any securities exchange or under any state or federal law, or the consent or approval of any governmental or regulatory body, or the disclosure of non-public information or the satisfaction of any other condition is necessary as a condition to, or in connection with, the issuance or purchase of shares thereunder, such option may not be exercised, in whole or in part, and such stock award shall not be granted, unless such listing, registration, qualification, consent or approval, or satisfaction of such condition shall have been effected or obtained on conditions acceptable to the Board.</w:t>
      </w:r>
    </w:p>
    <w:p>
      <w:pPr>
        <w:spacing w:after="0" w:line="258" w:lineRule="exact"/>
        <w:rPr>
          <w:sz w:val="20"/>
          <w:szCs w:val="20"/>
          <w:color w:val="auto"/>
        </w:rPr>
      </w:pPr>
    </w:p>
    <w:p>
      <w:pPr>
        <w:ind w:left="460" w:hanging="452"/>
        <w:spacing w:after="0"/>
        <w:tabs>
          <w:tab w:leader="none" w:pos="460"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for Changes in Capitalization and Reorganization Events.</w:t>
      </w:r>
    </w:p>
    <w:p>
      <w:pPr>
        <w:spacing w:after="0" w:line="96" w:lineRule="exact"/>
        <w:rPr>
          <w:rFonts w:ascii="Arial" w:cs="Arial" w:eastAsia="Arial" w:hAnsi="Arial"/>
          <w:sz w:val="18"/>
          <w:szCs w:val="18"/>
          <w:b w:val="1"/>
          <w:bCs w:val="1"/>
          <w:color w:val="auto"/>
        </w:rPr>
      </w:pPr>
    </w:p>
    <w:p>
      <w:pPr>
        <w:jc w:val="both"/>
        <w:ind w:firstLine="464"/>
        <w:spacing w:after="0" w:line="288" w:lineRule="auto"/>
        <w:tabs>
          <w:tab w:leader="none" w:pos="695" w:val="left"/>
        </w:tabs>
        <w:numPr>
          <w:ilvl w:val="1"/>
          <w:numId w:val="293"/>
        </w:numPr>
        <w:rPr>
          <w:rFonts w:ascii="Arial" w:cs="Arial" w:eastAsia="Arial" w:hAnsi="Arial"/>
          <w:sz w:val="16"/>
          <w:szCs w:val="16"/>
          <w:color w:val="auto"/>
        </w:rPr>
      </w:pPr>
      <w:r>
        <w:rPr>
          <w:rFonts w:ascii="Arial" w:cs="Arial" w:eastAsia="Arial" w:hAnsi="Arial"/>
          <w:sz w:val="16"/>
          <w:szCs w:val="16"/>
          <w:u w:val="single" w:color="auto"/>
          <w:color w:val="auto"/>
        </w:rPr>
        <w:t>Changes in Capitalization</w:t>
      </w:r>
      <w:r>
        <w:rPr>
          <w:rFonts w:ascii="Arial" w:cs="Arial" w:eastAsia="Arial" w:hAnsi="Arial"/>
          <w:sz w:val="16"/>
          <w:szCs w:val="16"/>
          <w:color w:val="auto"/>
        </w:rPr>
        <w:t>.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(i) the number and class of securities available under the Plan, and (ii) the number and class of securities and exercise price per share of each outstanding option and each option issuable under Section 5(a) shall be equitably adjusted by the Company. Without limiting the generality of the foregoing, in the event the Company effects a split of the Common Stock by means of a stock dividend and the exercise price of and the number of shares subject to an outstanding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119" w:lineRule="exact"/>
        <w:rPr>
          <w:rFonts w:ascii="Arial" w:cs="Arial" w:eastAsia="Arial" w:hAnsi="Arial"/>
          <w:sz w:val="16"/>
          <w:szCs w:val="16"/>
          <w:color w:val="auto"/>
        </w:rPr>
      </w:pPr>
    </w:p>
    <w:p>
      <w:pPr>
        <w:ind w:left="720" w:hanging="256"/>
        <w:spacing w:after="0"/>
        <w:tabs>
          <w:tab w:leader="none" w:pos="720" w:val="left"/>
        </w:tabs>
        <w:numPr>
          <w:ilvl w:val="1"/>
          <w:numId w:val="293"/>
        </w:numPr>
        <w:rPr>
          <w:rFonts w:ascii="Arial" w:cs="Arial" w:eastAsia="Arial" w:hAnsi="Arial"/>
          <w:sz w:val="18"/>
          <w:szCs w:val="18"/>
          <w:color w:val="auto"/>
        </w:rPr>
      </w:pPr>
      <w:r>
        <w:rPr>
          <w:rFonts w:ascii="Arial" w:cs="Arial" w:eastAsia="Arial" w:hAnsi="Arial"/>
          <w:sz w:val="18"/>
          <w:szCs w:val="18"/>
          <w:u w:val="single" w:color="auto"/>
          <w:color w:val="auto"/>
        </w:rPr>
        <w:t>Reorganization Events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firstLine="921"/>
        <w:spacing w:after="0" w:line="256" w:lineRule="auto"/>
        <w:tabs>
          <w:tab w:leader="none" w:pos="1122" w:val="left"/>
        </w:tabs>
        <w:numPr>
          <w:ilvl w:val="2"/>
          <w:numId w:val="293"/>
        </w:numPr>
        <w:rPr>
          <w:rFonts w:ascii="Arial" w:cs="Arial" w:eastAsia="Arial" w:hAnsi="Arial"/>
          <w:sz w:val="18"/>
          <w:szCs w:val="18"/>
          <w:color w:val="auto"/>
        </w:rPr>
      </w:pPr>
      <w:r>
        <w:rPr>
          <w:rFonts w:ascii="Arial" w:cs="Arial" w:eastAsia="Arial" w:hAnsi="Arial"/>
          <w:sz w:val="18"/>
          <w:szCs w:val="18"/>
          <w:u w:val="single" w:color="auto"/>
          <w:color w:val="auto"/>
        </w:rPr>
        <w:t>Definition</w:t>
      </w:r>
      <w:r>
        <w:rPr>
          <w:rFonts w:ascii="Arial" w:cs="Arial" w:eastAsia="Arial" w:hAnsi="Arial"/>
          <w:sz w:val="18"/>
          <w:szCs w:val="18"/>
          <w:color w:val="auto"/>
        </w:rPr>
        <w:t>. A “Reorganization Event” shall mean: (a) any merger or consolidation of the Company with or into another entity as a result of which all of the Common Stock of the Company is converted into or exchanged for the right to receive cash, securities or other property or is cancelled, (b) any exchange of all of the Common Stock of the Company for cash, securities or other property pursuant to a share exchange transaction or (c) any liquidation or dissolution of the Company.</w:t>
      </w:r>
    </w:p>
    <w:p>
      <w:pPr>
        <w:spacing w:after="0" w:line="143" w:lineRule="exact"/>
        <w:rPr>
          <w:rFonts w:ascii="Arial" w:cs="Arial" w:eastAsia="Arial" w:hAnsi="Arial"/>
          <w:sz w:val="18"/>
          <w:szCs w:val="18"/>
          <w:color w:val="auto"/>
        </w:rPr>
      </w:pPr>
    </w:p>
    <w:p>
      <w:pPr>
        <w:jc w:val="both"/>
        <w:ind w:firstLine="921"/>
        <w:spacing w:after="0" w:line="290" w:lineRule="auto"/>
        <w:tabs>
          <w:tab w:leader="none" w:pos="1185" w:val="left"/>
        </w:tabs>
        <w:numPr>
          <w:ilvl w:val="2"/>
          <w:numId w:val="293"/>
        </w:numPr>
        <w:rPr>
          <w:rFonts w:ascii="Arial" w:cs="Arial" w:eastAsia="Arial" w:hAnsi="Arial"/>
          <w:sz w:val="16"/>
          <w:szCs w:val="16"/>
          <w:color w:val="auto"/>
        </w:rPr>
      </w:pPr>
      <w:r>
        <w:rPr>
          <w:rFonts w:ascii="Arial" w:cs="Arial" w:eastAsia="Arial" w:hAnsi="Arial"/>
          <w:sz w:val="16"/>
          <w:szCs w:val="16"/>
          <w:u w:val="single" w:color="auto"/>
          <w:color w:val="auto"/>
        </w:rPr>
        <w:t>Consequences of a Reorganization Event on Options</w:t>
      </w:r>
      <w:r>
        <w:rPr>
          <w:rFonts w:ascii="Arial" w:cs="Arial" w:eastAsia="Arial" w:hAnsi="Arial"/>
          <w:sz w:val="16"/>
          <w:szCs w:val="16"/>
          <w:color w:val="auto"/>
        </w:rPr>
        <w:t>. In connection with a Reorganization Event, the Board may take any one or more of the following actions as to all or any (or any portion of) outstanding options on such terms as the Board determines: (i) provide that the options shall be assumed, or substantially equivalent options shall be substituted, by the acquiring or succeeding corporation (or an affiliate thereof), (ii) upon written notice to an optionee, provide that the optionees’ unexercised options will terminate immediately prior to the consummation of such Reorganization Event unless exercised by the optionee within a specified period following the date of such notice, (iii) provide that outstanding options shall become exercisable, in whole or in part, prior to or upon such Reorganization Event, (iv) in the event of a Reorganization Event under the terms of which holders of Common Stock will receive upon consummation thereof a cash payment for each share surrendered in the Reorganization Event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78" w:name="page179"/>
    <w:bookmarkEnd w:id="178"/>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“Acquisition Price”), make or provide for a cash payment to a Participant equal to the excess, if any, of (A) the Acquisition Price times the number of shares of Common Stock subject to the optionees’ options (to the extent the exercise price does not exceed the Acquisition Price) over (B) the aggregate exercise price of such outstanding options and any applicable tax withholdings, in exchange for the termination of such options, (v) provide that, in connection with a liquidation or dissolution of the Company, Awards shall convert into the right to receive liquidation proceeds (if applicable, net of the exercise price thereof and any applicable tax withholdings) and (vi) any combination of the foregoing.</w:t>
      </w:r>
    </w:p>
    <w:p>
      <w:pPr>
        <w:spacing w:after="0" w:line="258" w:lineRule="exact"/>
        <w:rPr>
          <w:sz w:val="20"/>
          <w:szCs w:val="20"/>
          <w:color w:val="auto"/>
        </w:rPr>
      </w:pPr>
    </w:p>
    <w:p>
      <w:pPr>
        <w:ind w:left="460" w:hanging="452"/>
        <w:spacing w:after="0"/>
        <w:tabs>
          <w:tab w:leader="none" w:pos="460"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Modification or Termination of Options.</w:t>
      </w:r>
    </w:p>
    <w:p>
      <w:pPr>
        <w:spacing w:after="0" w:line="96" w:lineRule="exact"/>
        <w:rPr>
          <w:rFonts w:ascii="Arial" w:cs="Arial" w:eastAsia="Arial" w:hAnsi="Arial"/>
          <w:sz w:val="18"/>
          <w:szCs w:val="18"/>
          <w:b w:val="1"/>
          <w:bCs w:val="1"/>
          <w:color w:val="auto"/>
        </w:rPr>
      </w:pPr>
    </w:p>
    <w:p>
      <w:pPr>
        <w:jc w:val="both"/>
        <w:ind w:firstLine="464"/>
        <w:spacing w:after="0" w:line="256" w:lineRule="auto"/>
        <w:tabs>
          <w:tab w:leader="none" w:pos="695" w:val="left"/>
        </w:tabs>
        <w:numPr>
          <w:ilvl w:val="1"/>
          <w:numId w:val="294"/>
        </w:numPr>
        <w:rPr>
          <w:rFonts w:ascii="Arial" w:cs="Arial" w:eastAsia="Arial" w:hAnsi="Arial"/>
          <w:sz w:val="18"/>
          <w:szCs w:val="18"/>
          <w:color w:val="auto"/>
        </w:rPr>
      </w:pPr>
      <w:r>
        <w:rPr>
          <w:rFonts w:ascii="Arial" w:cs="Arial" w:eastAsia="Arial" w:hAnsi="Arial"/>
          <w:sz w:val="18"/>
          <w:szCs w:val="18"/>
          <w:u w:val="single" w:color="auto"/>
          <w:color w:val="auto"/>
        </w:rPr>
        <w:t>Amendment, Modification or Termination</w:t>
      </w:r>
      <w:r>
        <w:rPr>
          <w:rFonts w:ascii="Arial" w:cs="Arial" w:eastAsia="Arial" w:hAnsi="Arial"/>
          <w:sz w:val="18"/>
          <w:szCs w:val="18"/>
          <w:color w:val="auto"/>
        </w:rPr>
        <w:t>. The Board may amend, modify or terminate any outstanding option, including but not limited to, substituting therefor another option of the same or a different type and changing the date of exercise or realization. A Outside Director’s consent to such action shall be required unless (i) the Board determines that the action, taking into account any related action, would not materially and adversely affect the Outside Director’s rights under the Plan or (ii) the change is permitted under Section 7 hereof.</w:t>
      </w:r>
    </w:p>
    <w:p>
      <w:pPr>
        <w:spacing w:after="0" w:line="143" w:lineRule="exact"/>
        <w:rPr>
          <w:rFonts w:ascii="Arial" w:cs="Arial" w:eastAsia="Arial" w:hAnsi="Arial"/>
          <w:sz w:val="18"/>
          <w:szCs w:val="18"/>
          <w:color w:val="auto"/>
        </w:rPr>
      </w:pPr>
    </w:p>
    <w:p>
      <w:pPr>
        <w:jc w:val="both"/>
        <w:ind w:firstLine="464"/>
        <w:spacing w:after="0" w:line="255" w:lineRule="auto"/>
        <w:tabs>
          <w:tab w:leader="none" w:pos="705" w:val="left"/>
        </w:tabs>
        <w:numPr>
          <w:ilvl w:val="1"/>
          <w:numId w:val="294"/>
        </w:numPr>
        <w:rPr>
          <w:rFonts w:ascii="Arial" w:cs="Arial" w:eastAsia="Arial" w:hAnsi="Arial"/>
          <w:sz w:val="18"/>
          <w:szCs w:val="18"/>
          <w:color w:val="auto"/>
        </w:rPr>
      </w:pPr>
      <w:r>
        <w:rPr>
          <w:rFonts w:ascii="Arial" w:cs="Arial" w:eastAsia="Arial" w:hAnsi="Arial"/>
          <w:sz w:val="18"/>
          <w:szCs w:val="18"/>
          <w:u w:val="single" w:color="auto"/>
          <w:color w:val="auto"/>
        </w:rPr>
        <w:t>Required Stockholder Approval</w:t>
      </w:r>
      <w:r>
        <w:rPr>
          <w:rFonts w:ascii="Arial" w:cs="Arial" w:eastAsia="Arial" w:hAnsi="Arial"/>
          <w:sz w:val="18"/>
          <w:szCs w:val="18"/>
          <w:color w:val="auto"/>
        </w:rPr>
        <w:t>. Unless such action is approved by the Company’s stockholders: (1) no outstanding option granted under the Plan may be amended to provide an exercise price per share that is lower than the then-current exercise price per share of such outstanding option (other than adjustments pursuant to Section 7) and (2) the Board may not cancel any outstanding option (whether or not granted under the Plan) and grant in substitution therefor new options under the Plan covering the same or a different number of shares of Common Stock and having an exercise price per share lower than the then-current exercise price per share of the cancelled option.</w:t>
      </w:r>
    </w:p>
    <w:p>
      <w:pPr>
        <w:spacing w:after="0" w:line="258" w:lineRule="exact"/>
        <w:rPr>
          <w:rFonts w:ascii="Arial" w:cs="Arial" w:eastAsia="Arial" w:hAnsi="Arial"/>
          <w:sz w:val="18"/>
          <w:szCs w:val="18"/>
          <w:color w:val="auto"/>
        </w:rPr>
      </w:pPr>
    </w:p>
    <w:p>
      <w:pPr>
        <w:ind w:left="460" w:hanging="452"/>
        <w:spacing w:after="0"/>
        <w:tabs>
          <w:tab w:leader="none" w:pos="460"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and Amendment of the Plan.</w:t>
      </w:r>
    </w:p>
    <w:p>
      <w:pPr>
        <w:spacing w:after="0" w:line="96"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 xml:space="preserve">The Board may suspend, terminate or discontinue the Plan or amend it in any respect whatsoever;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without approval of the stockholders of the Company, no amendment may (i) increase the number of shares subject to the Plan (except as provided in Section 7), or (ii) effect any action which requires approval of the stockholders pursuant to the rules or requirements of the Nasdaq Stock Market (“Nasdaq”) or any other exchange on which the Common Stock of the Company is listed. No amendment that would require stockholder approval under Nasdaq rules may be made effective unless and until such amendment shall have been approved by the Company’s stockholders. If Nasdaq amends its corporate governance rules so that such rules no longer require stockholder approval of “material amendments” to equity compensation plans, then, from and after the effective date of such amendment to the Nasdaq rules, no amendment to the Plan (A) materially increasing the number of types of shares authorized under the Plan, (B) expanding the types of options or stock awards that may be granted under the Plan, or (C) materially expanding the class of participants eligible to participate in the Plan shall be effective unless stockholder approval is obtained. In addition, if at any time the approval of the Company’s stockholders is required as to any other modification or amendment under Section 422 of the Code or any successor provision with respect to Incentive Stock Options, the Board may not effect such modification or amendment without such approval. Unless otherwise specified in the amendment, any amendment to the Plan adopted in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79" w:name="page180"/>
    <w:bookmarkEnd w:id="179"/>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accordance with this Section 9 shall apply to, and be binding on the holders of, all options and awards outstanding under the Plan at the time the amendment is adopted, provided the Board determines that such amendment does not materially and adversely affect the rights of participants under the Plan.</w:t>
      </w:r>
    </w:p>
    <w:p>
      <w:pPr>
        <w:spacing w:after="0" w:line="201" w:lineRule="exact"/>
        <w:rPr>
          <w:sz w:val="20"/>
          <w:szCs w:val="20"/>
          <w:color w:val="auto"/>
        </w:rPr>
      </w:pPr>
    </w:p>
    <w:p>
      <w:pPr>
        <w:ind w:left="460" w:hanging="452"/>
        <w:spacing w:after="0"/>
        <w:tabs>
          <w:tab w:leader="none" w:pos="460"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color w:val="auto"/>
        </w:rPr>
        <w:t>Notice.</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Any written notice to the Company required by any of the provisions of the Plan shall be addressed to the Treasurer of the Company and shall become effective when it is received.</w:t>
      </w:r>
    </w:p>
    <w:p>
      <w:pPr>
        <w:spacing w:after="0" w:line="248" w:lineRule="exact"/>
        <w:rPr>
          <w:sz w:val="20"/>
          <w:szCs w:val="20"/>
          <w:color w:val="auto"/>
        </w:rPr>
      </w:pPr>
    </w:p>
    <w:p>
      <w:pPr>
        <w:ind w:left="460" w:hanging="452"/>
        <w:spacing w:after="0"/>
        <w:tabs>
          <w:tab w:leader="none" w:pos="460"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Plan and all determinations made and actions taken pursuant hereto shall be governed by the laws of the State of Delaware.</w:t>
      </w:r>
    </w:p>
    <w:p>
      <w:pPr>
        <w:spacing w:after="0" w:line="286" w:lineRule="exact"/>
        <w:rPr>
          <w:rFonts w:ascii="Arial" w:cs="Arial" w:eastAsia="Arial" w:hAnsi="Arial"/>
          <w:sz w:val="18"/>
          <w:szCs w:val="18"/>
          <w:b w:val="1"/>
          <w:bCs w:val="1"/>
          <w:color w:val="auto"/>
        </w:rPr>
      </w:pPr>
    </w:p>
    <w:p>
      <w:pPr>
        <w:ind w:left="460" w:hanging="452"/>
        <w:spacing w:after="0"/>
        <w:tabs>
          <w:tab w:leader="none" w:pos="460"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 Approval; Effective Date.</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Plan shall become effective on the date the Plan is approved by the Company’s stockholders (the “Effective Date”). No options or stock awards shall be granted under the Plan after the expiration of ten years from the Effective Date, but options previously granted may extend beyond that date.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Gregory J. Yurek, certify that:</w:t>
      </w:r>
    </w:p>
    <w:p>
      <w:pPr>
        <w:spacing w:after="0" w:line="90" w:lineRule="exact"/>
        <w:rPr>
          <w:sz w:val="20"/>
          <w:szCs w:val="20"/>
          <w:color w:val="auto"/>
        </w:rPr>
      </w:pPr>
    </w:p>
    <w:p>
      <w:pPr>
        <w:ind w:left="460" w:hanging="452"/>
        <w:spacing w:after="0"/>
        <w:tabs>
          <w:tab w:leader="none" w:pos="4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Superconductor Corporation;</w:t>
      </w:r>
    </w:p>
    <w:p>
      <w:pPr>
        <w:spacing w:after="0" w:line="90"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29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hanging="446"/>
        <w:spacing w:after="0" w:line="332" w:lineRule="auto"/>
        <w:tabs>
          <w:tab w:leader="none" w:pos="900" w:val="left"/>
        </w:tabs>
        <w:numPr>
          <w:ilvl w:val="1"/>
          <w:numId w:val="29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29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Date: February 5, 2009</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4"/>
                <w:szCs w:val="14"/>
                <w:b w:val="1"/>
                <w:bCs w:val="1"/>
                <w:color w:val="auto"/>
              </w:rPr>
              <w:t>S</w:t>
            </w:r>
            <w:r>
              <w:rPr>
                <w:rFonts w:ascii="Arial" w:cs="Arial" w:eastAsia="Arial" w:hAnsi="Arial"/>
                <w:sz w:val="18"/>
                <w:szCs w:val="18"/>
                <w:b w:val="1"/>
                <w:bCs w:val="1"/>
                <w:color w:val="auto"/>
              </w:rPr>
              <w:t>/ G</w:t>
            </w:r>
            <w:r>
              <w:rPr>
                <w:rFonts w:ascii="Arial" w:cs="Arial" w:eastAsia="Arial" w:hAnsi="Arial"/>
                <w:sz w:val="14"/>
                <w:szCs w:val="14"/>
                <w:b w:val="1"/>
                <w:bCs w:val="1"/>
                <w:color w:val="auto"/>
              </w:rPr>
              <w:t>REGORY</w:t>
            </w:r>
            <w:r>
              <w:rPr>
                <w:rFonts w:ascii="Arial" w:cs="Arial" w:eastAsia="Arial" w:hAnsi="Arial"/>
                <w:sz w:val="18"/>
                <w:szCs w:val="18"/>
                <w:b w:val="1"/>
                <w:bCs w:val="1"/>
                <w:color w:val="auto"/>
              </w:rPr>
              <w:t xml:space="preserve"> J. Y</w:t>
            </w:r>
            <w:r>
              <w:rPr>
                <w:rFonts w:ascii="Arial" w:cs="Arial" w:eastAsia="Arial" w:hAnsi="Arial"/>
                <w:sz w:val="14"/>
                <w:szCs w:val="14"/>
                <w:b w:val="1"/>
                <w:bCs w:val="1"/>
                <w:color w:val="auto"/>
              </w:rPr>
              <w:t>UREK</w:t>
            </w:r>
          </w:p>
        </w:tc>
      </w:tr>
      <w:tr>
        <w:trPr>
          <w:trHeight w:val="215"/>
        </w:trPr>
        <w:tc>
          <w:tcPr>
            <w:tcW w:w="6280" w:type="dxa"/>
            <w:vAlign w:val="bottom"/>
          </w:tcPr>
          <w:p>
            <w:pPr>
              <w:spacing w:after="0"/>
              <w:rPr>
                <w:sz w:val="18"/>
                <w:szCs w:val="18"/>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88"/>
              </w:rPr>
              <w:t>Gregory J. Yurek</w:t>
            </w:r>
          </w:p>
        </w:tc>
      </w:tr>
      <w:tr>
        <w:trPr>
          <w:trHeight w:val="222"/>
        </w:trPr>
        <w:tc>
          <w:tcPr>
            <w:tcW w:w="628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1"/>
              </w:rPr>
              <w:t>Chief Executive Officer</w:t>
            </w:r>
          </w:p>
        </w:tc>
      </w:tr>
    </w:tbl>
    <w:p>
      <w:pPr>
        <w:sectPr>
          <w:pgSz w:w="11900" w:h="16838" w:orient="portrait"/>
          <w:cols w:equalWidth="0" w:num="1">
            <w:col w:w="11420"/>
          </w:cols>
          <w:pgMar w:left="240" w:top="125"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David A. Henry, certify that:</w:t>
      </w:r>
    </w:p>
    <w:p>
      <w:pPr>
        <w:spacing w:after="0" w:line="90" w:lineRule="exact"/>
        <w:rPr>
          <w:sz w:val="20"/>
          <w:szCs w:val="20"/>
          <w:color w:val="auto"/>
        </w:rPr>
      </w:pPr>
    </w:p>
    <w:p>
      <w:pPr>
        <w:ind w:left="460" w:hanging="452"/>
        <w:spacing w:after="0"/>
        <w:tabs>
          <w:tab w:leader="none" w:pos="4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Superconductor Corporation;</w:t>
      </w:r>
    </w:p>
    <w:p>
      <w:pPr>
        <w:spacing w:after="0" w:line="90"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hanging="446"/>
        <w:spacing w:after="0" w:line="332" w:lineRule="auto"/>
        <w:tabs>
          <w:tab w:leader="none" w:pos="900" w:val="left"/>
        </w:tabs>
        <w:numPr>
          <w:ilvl w:val="1"/>
          <w:numId w:val="29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tabs>
          <w:tab w:leader="none" w:pos="8080" w:val="left"/>
        </w:tabs>
        <w:rPr>
          <w:sz w:val="20"/>
          <w:szCs w:val="20"/>
          <w:color w:val="auto"/>
        </w:rPr>
      </w:pPr>
      <w:r>
        <w:rPr>
          <w:rFonts w:ascii="Arial" w:cs="Arial" w:eastAsia="Arial" w:hAnsi="Arial"/>
          <w:sz w:val="18"/>
          <w:szCs w:val="18"/>
          <w:color w:val="auto"/>
        </w:rPr>
        <w:t>Date: February 5, 2009</w:t>
      </w:r>
      <w:r>
        <w:rPr>
          <w:sz w:val="20"/>
          <w:szCs w:val="20"/>
          <w:color w:val="auto"/>
        </w:rPr>
        <w:tab/>
      </w:r>
      <w:r>
        <w:rPr>
          <w:rFonts w:ascii="Arial" w:cs="Arial" w:eastAsia="Arial" w:hAnsi="Arial"/>
          <w:sz w:val="16"/>
          <w:szCs w:val="16"/>
          <w:b w:val="1"/>
          <w:bCs w:val="1"/>
          <w:color w:val="auto"/>
        </w:rPr>
        <w:t>/</w:t>
      </w:r>
      <w:r>
        <w:rPr>
          <w:rFonts w:ascii="Arial" w:cs="Arial" w:eastAsia="Arial" w:hAnsi="Arial"/>
          <w:sz w:val="13"/>
          <w:szCs w:val="13"/>
          <w:b w:val="1"/>
          <w:bCs w:val="1"/>
          <w:color w:val="auto"/>
        </w:rPr>
        <w:t>S</w:t>
      </w:r>
      <w:r>
        <w:rPr>
          <w:rFonts w:ascii="Arial" w:cs="Arial" w:eastAsia="Arial" w:hAnsi="Arial"/>
          <w:sz w:val="16"/>
          <w:szCs w:val="16"/>
          <w:b w:val="1"/>
          <w:bCs w:val="1"/>
          <w:color w:val="auto"/>
        </w:rPr>
        <w:t>/ D</w:t>
      </w:r>
      <w:r>
        <w:rPr>
          <w:rFonts w:ascii="Arial" w:cs="Arial" w:eastAsia="Arial" w:hAnsi="Arial"/>
          <w:sz w:val="13"/>
          <w:szCs w:val="13"/>
          <w:b w:val="1"/>
          <w:bCs w:val="1"/>
          <w:color w:val="auto"/>
        </w:rPr>
        <w:t>AVID</w:t>
      </w:r>
      <w:r>
        <w:rPr>
          <w:rFonts w:ascii="Arial" w:cs="Arial" w:eastAsia="Arial" w:hAnsi="Arial"/>
          <w:sz w:val="16"/>
          <w:szCs w:val="16"/>
          <w:b w:val="1"/>
          <w:bCs w:val="1"/>
          <w:color w:val="auto"/>
        </w:rPr>
        <w:t xml:space="preserve"> A. H</w:t>
      </w:r>
      <w:r>
        <w:rPr>
          <w:rFonts w:ascii="Arial" w:cs="Arial" w:eastAsia="Arial" w:hAnsi="Arial"/>
          <w:sz w:val="13"/>
          <w:szCs w:val="13"/>
          <w:b w:val="1"/>
          <w:bCs w:val="1"/>
          <w:color w:val="auto"/>
        </w:rPr>
        <w:t>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David A. Henry</w:t>
      </w:r>
    </w:p>
    <w:p>
      <w:pPr>
        <w:spacing w:after="0" w:line="15"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7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7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connection with the Quarterly Report on Form 10-Q of American Superconductor Corporation (the “Company”) for the period ended December 31, 2008 as filed with the Securities and Exchange Commission on the date hereof (the “Report”), the undersigned, Gregory J. Yurek, Chief Executive Officer of the Company, hereby certifies, pursuant to 18 U.S.C. Section 1350, as adopted pursuant to Section 906 of the Sarbanes-Oxley Act of 2002, that, to my knowledge:</w:t>
      </w:r>
    </w:p>
    <w:p>
      <w:pPr>
        <w:spacing w:after="0" w:line="26" w:lineRule="exact"/>
        <w:rPr>
          <w:sz w:val="20"/>
          <w:szCs w:val="20"/>
          <w:color w:val="auto"/>
        </w:rPr>
      </w:pPr>
    </w:p>
    <w:p>
      <w:pPr>
        <w:ind w:left="720" w:hanging="256"/>
        <w:spacing w:after="0"/>
        <w:tabs>
          <w:tab w:leader="none" w:pos="72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29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p>
      <w:pPr>
        <w:spacing w:after="0"/>
        <w:tabs>
          <w:tab w:leader="none" w:pos="7960" w:val="left"/>
        </w:tabs>
        <w:rPr>
          <w:sz w:val="20"/>
          <w:szCs w:val="20"/>
          <w:color w:val="auto"/>
        </w:rPr>
      </w:pPr>
      <w:r>
        <w:rPr>
          <w:rFonts w:ascii="Arial" w:cs="Arial" w:eastAsia="Arial" w:hAnsi="Arial"/>
          <w:sz w:val="18"/>
          <w:szCs w:val="18"/>
          <w:color w:val="auto"/>
        </w:rPr>
        <w:t>Date: February 5, 2009</w:t>
      </w:r>
      <w:r>
        <w:rPr>
          <w:sz w:val="20"/>
          <w:szCs w:val="20"/>
          <w:color w:val="auto"/>
        </w:rPr>
        <w:tab/>
      </w:r>
      <w:r>
        <w:rPr>
          <w:rFonts w:ascii="Arial" w:cs="Arial" w:eastAsia="Arial" w:hAnsi="Arial"/>
          <w:sz w:val="18"/>
          <w:szCs w:val="18"/>
          <w:b w:val="1"/>
          <w:bCs w:val="1"/>
          <w:color w:val="auto"/>
        </w:rPr>
        <w:t>/</w:t>
      </w:r>
      <w:r>
        <w:rPr>
          <w:rFonts w:ascii="Arial" w:cs="Arial" w:eastAsia="Arial" w:hAnsi="Arial"/>
          <w:sz w:val="14"/>
          <w:szCs w:val="14"/>
          <w:b w:val="1"/>
          <w:bCs w:val="1"/>
          <w:color w:val="auto"/>
        </w:rPr>
        <w:t>S</w:t>
      </w:r>
      <w:r>
        <w:rPr>
          <w:rFonts w:ascii="Arial" w:cs="Arial" w:eastAsia="Arial" w:hAnsi="Arial"/>
          <w:sz w:val="18"/>
          <w:szCs w:val="18"/>
          <w:b w:val="1"/>
          <w:bCs w:val="1"/>
          <w:color w:val="auto"/>
        </w:rPr>
        <w:t>/ G</w:t>
      </w:r>
      <w:r>
        <w:rPr>
          <w:rFonts w:ascii="Arial" w:cs="Arial" w:eastAsia="Arial" w:hAnsi="Arial"/>
          <w:sz w:val="14"/>
          <w:szCs w:val="14"/>
          <w:b w:val="1"/>
          <w:bCs w:val="1"/>
          <w:color w:val="auto"/>
        </w:rPr>
        <w:t>REGORY</w:t>
      </w:r>
      <w:r>
        <w:rPr>
          <w:rFonts w:ascii="Arial" w:cs="Arial" w:eastAsia="Arial" w:hAnsi="Arial"/>
          <w:sz w:val="18"/>
          <w:szCs w:val="18"/>
          <w:b w:val="1"/>
          <w:bCs w:val="1"/>
          <w:color w:val="auto"/>
        </w:rPr>
        <w:t xml:space="preserve"> J. Y</w:t>
      </w:r>
      <w:r>
        <w:rPr>
          <w:rFonts w:ascii="Arial" w:cs="Arial" w:eastAsia="Arial" w:hAnsi="Arial"/>
          <w:sz w:val="14"/>
          <w:szCs w:val="14"/>
          <w:b w:val="1"/>
          <w:bCs w:val="1"/>
          <w:color w:val="auto"/>
        </w:rPr>
        <w:t>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Gregory J. Yurek</w:t>
      </w:r>
    </w:p>
    <w:p>
      <w:pPr>
        <w:spacing w:after="0" w:line="15"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17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7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connection with the Quarterly Report on Form 10-Q of American Superconductor Corporation (the “Company”) for the period ended December 31, 2008 as filed with the Securities and Exchange Commission on the date hereof (the “Report”), the undersigned, David A. Henry, Chief Financial Officer of the Company, hereby certifies, pursuant to 18 U.S.C. Section 1350, as adopted pursuant to Section 906 of the Sarbanes-Oxley Act of 2002, that, to my knowledge:</w:t>
      </w:r>
    </w:p>
    <w:p>
      <w:pPr>
        <w:spacing w:after="0" w:line="26" w:lineRule="exact"/>
        <w:rPr>
          <w:sz w:val="20"/>
          <w:szCs w:val="20"/>
          <w:color w:val="auto"/>
        </w:rPr>
      </w:pPr>
    </w:p>
    <w:p>
      <w:pPr>
        <w:ind w:left="720" w:hanging="256"/>
        <w:spacing w:after="0"/>
        <w:tabs>
          <w:tab w:leader="none" w:pos="72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30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p>
      <w:pPr>
        <w:spacing w:after="0"/>
        <w:tabs>
          <w:tab w:leader="none" w:pos="8080" w:val="left"/>
        </w:tabs>
        <w:rPr>
          <w:sz w:val="20"/>
          <w:szCs w:val="20"/>
          <w:color w:val="auto"/>
        </w:rPr>
      </w:pPr>
      <w:r>
        <w:rPr>
          <w:rFonts w:ascii="Arial" w:cs="Arial" w:eastAsia="Arial" w:hAnsi="Arial"/>
          <w:sz w:val="18"/>
          <w:szCs w:val="18"/>
          <w:color w:val="auto"/>
        </w:rPr>
        <w:t>Date: February 5, 2009</w:t>
      </w:r>
      <w:r>
        <w:rPr>
          <w:sz w:val="20"/>
          <w:szCs w:val="20"/>
          <w:color w:val="auto"/>
        </w:rPr>
        <w:tab/>
      </w:r>
      <w:r>
        <w:rPr>
          <w:rFonts w:ascii="Arial" w:cs="Arial" w:eastAsia="Arial" w:hAnsi="Arial"/>
          <w:sz w:val="16"/>
          <w:szCs w:val="16"/>
          <w:b w:val="1"/>
          <w:bCs w:val="1"/>
          <w:color w:val="auto"/>
        </w:rPr>
        <w:t>/</w:t>
      </w:r>
      <w:r>
        <w:rPr>
          <w:rFonts w:ascii="Arial" w:cs="Arial" w:eastAsia="Arial" w:hAnsi="Arial"/>
          <w:sz w:val="13"/>
          <w:szCs w:val="13"/>
          <w:b w:val="1"/>
          <w:bCs w:val="1"/>
          <w:color w:val="auto"/>
        </w:rPr>
        <w:t>S</w:t>
      </w:r>
      <w:r>
        <w:rPr>
          <w:rFonts w:ascii="Arial" w:cs="Arial" w:eastAsia="Arial" w:hAnsi="Arial"/>
          <w:sz w:val="16"/>
          <w:szCs w:val="16"/>
          <w:b w:val="1"/>
          <w:bCs w:val="1"/>
          <w:color w:val="auto"/>
        </w:rPr>
        <w:t>/ D</w:t>
      </w:r>
      <w:r>
        <w:rPr>
          <w:rFonts w:ascii="Arial" w:cs="Arial" w:eastAsia="Arial" w:hAnsi="Arial"/>
          <w:sz w:val="13"/>
          <w:szCs w:val="13"/>
          <w:b w:val="1"/>
          <w:bCs w:val="1"/>
          <w:color w:val="auto"/>
        </w:rPr>
        <w:t>AVID</w:t>
      </w:r>
      <w:r>
        <w:rPr>
          <w:rFonts w:ascii="Arial" w:cs="Arial" w:eastAsia="Arial" w:hAnsi="Arial"/>
          <w:sz w:val="16"/>
          <w:szCs w:val="16"/>
          <w:b w:val="1"/>
          <w:bCs w:val="1"/>
          <w:color w:val="auto"/>
        </w:rPr>
        <w:t xml:space="preserve"> A. H</w:t>
      </w:r>
      <w:r>
        <w:rPr>
          <w:rFonts w:ascii="Arial" w:cs="Arial" w:eastAsia="Arial" w:hAnsi="Arial"/>
          <w:sz w:val="13"/>
          <w:szCs w:val="13"/>
          <w:b w:val="1"/>
          <w:bCs w:val="1"/>
          <w:color w:val="auto"/>
        </w:rPr>
        <w:t>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David A. Henry</w:t>
      </w:r>
    </w:p>
    <w:p>
      <w:pPr>
        <w:spacing w:after="0" w:line="15"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60D8C4A"/>
    <w:multiLevelType w:val="hybridMultilevel"/>
    <w:lvl w:ilvl="0">
      <w:lvlJc w:val="left"/>
      <w:lvlText w:val="☒"/>
      <w:numFmt w:val="bullet"/>
      <w:start w:val="1"/>
    </w:lvl>
  </w:abstractNum>
  <w:abstractNum w:abstractNumId="1">
    <w:nsid w:val="73D4D3C4"/>
    <w:multiLevelType w:val="hybridMultilevel"/>
    <w:lvl w:ilvl="0">
      <w:lvlJc w:val="left"/>
      <w:lvlText w:val="☐"/>
      <w:numFmt w:val="bullet"/>
      <w:start w:val="1"/>
    </w:lvl>
  </w:abstractNum>
  <w:abstractNum w:abstractNumId="2">
    <w:nsid w:val="746F2E30"/>
    <w:multiLevelType w:val="hybridMultilevel"/>
    <w:lvl w:ilvl="0">
      <w:lvlJc w:val="left"/>
      <w:lvlText w:val="%1."/>
      <w:numFmt w:val="decimal"/>
      <w:start w:val="1"/>
    </w:lvl>
  </w:abstractNum>
  <w:abstractNum w:abstractNumId="3">
    <w:nsid w:val="6FDE8AF6"/>
    <w:multiLevelType w:val="hybridMultilevel"/>
    <w:lvl w:ilvl="0">
      <w:lvlJc w:val="left"/>
      <w:lvlText w:val="%1."/>
      <w:numFmt w:val="decimal"/>
      <w:start w:val="2"/>
    </w:lvl>
  </w:abstractNum>
  <w:abstractNum w:abstractNumId="4">
    <w:nsid w:val="3FC32E20"/>
    <w:multiLevelType w:val="hybridMultilevel"/>
    <w:lvl w:ilvl="0">
      <w:lvlJc w:val="left"/>
      <w:lvlText w:val="%1."/>
      <w:numFmt w:val="decimal"/>
      <w:start w:val="3"/>
    </w:lvl>
  </w:abstractNum>
  <w:abstractNum w:abstractNumId="5">
    <w:nsid w:val="49C0E823"/>
    <w:multiLevelType w:val="hybridMultilevel"/>
    <w:lvl w:ilvl="0">
      <w:lvlJc w:val="left"/>
      <w:lvlText w:val="%1."/>
      <w:numFmt w:val="decimal"/>
      <w:start w:val="4"/>
    </w:lvl>
  </w:abstractNum>
  <w:abstractNum w:abstractNumId="6">
    <w:nsid w:val="14D53685"/>
    <w:multiLevelType w:val="hybridMultilevel"/>
    <w:lvl w:ilvl="0">
      <w:lvlJc w:val="left"/>
      <w:lvlText w:val="%1."/>
      <w:numFmt w:val="decimal"/>
      <w:start w:val="5"/>
    </w:lvl>
  </w:abstractNum>
  <w:abstractNum w:abstractNumId="7">
    <w:nsid w:val="230F856C"/>
    <w:multiLevelType w:val="hybridMultilevel"/>
    <w:lvl w:ilvl="0">
      <w:lvlJc w:val="left"/>
      <w:lvlText w:val="%1."/>
      <w:numFmt w:val="decimal"/>
      <w:start w:val="6"/>
    </w:lvl>
  </w:abstractNum>
  <w:abstractNum w:abstractNumId="8">
    <w:nsid w:val="6EAA85FB"/>
    <w:multiLevelType w:val="hybridMultilevel"/>
    <w:lvl w:ilvl="0">
      <w:lvlJc w:val="left"/>
      <w:lvlText w:val="%1."/>
      <w:numFmt w:val="decimal"/>
      <w:start w:val="7"/>
    </w:lvl>
  </w:abstractNum>
  <w:abstractNum w:abstractNumId="9">
    <w:nsid w:val="3F06ECB2"/>
    <w:multiLevelType w:val="hybridMultilevel"/>
    <w:lvl w:ilvl="0">
      <w:lvlJc w:val="left"/>
      <w:lvlText w:val="%1."/>
      <w:numFmt w:val="decimal"/>
      <w:start w:val="8"/>
    </w:lvl>
  </w:abstractNum>
  <w:abstractNum w:abstractNumId="10">
    <w:nsid w:val="3B594807"/>
    <w:multiLevelType w:val="hybridMultilevel"/>
    <w:lvl w:ilvl="0">
      <w:lvlJc w:val="left"/>
      <w:lvlText w:val="%1."/>
      <w:numFmt w:val="decimal"/>
      <w:start w:val="9"/>
    </w:lvl>
  </w:abstractNum>
  <w:abstractNum w:abstractNumId="11">
    <w:nsid w:val="6CAA2304"/>
    <w:multiLevelType w:val="hybridMultilevel"/>
    <w:lvl w:ilvl="0">
      <w:lvlJc w:val="left"/>
      <w:lvlText w:val="%1."/>
      <w:numFmt w:val="decimal"/>
      <w:start w:val="10"/>
    </w:lvl>
  </w:abstractNum>
  <w:abstractNum w:abstractNumId="12">
    <w:nsid w:val="3F7C2FF4"/>
    <w:multiLevelType w:val="hybridMultilevel"/>
    <w:lvl w:ilvl="0">
      <w:lvlJc w:val="left"/>
      <w:lvlText w:val="%1."/>
      <w:numFmt w:val="decimal"/>
      <w:start w:val="11"/>
    </w:lvl>
  </w:abstractNum>
  <w:abstractNum w:abstractNumId="13">
    <w:nsid w:val="25413BEC"/>
    <w:multiLevelType w:val="hybridMultilevel"/>
    <w:lvl w:ilvl="0">
      <w:lvlJc w:val="left"/>
      <w:lvlText w:val="%1."/>
      <w:numFmt w:val="decimal"/>
      <w:start w:val="12"/>
    </w:lvl>
  </w:abstractNum>
  <w:abstractNum w:abstractNumId="14">
    <w:nsid w:val="17180B0B"/>
    <w:multiLevelType w:val="hybridMultilevel"/>
    <w:lvl w:ilvl="0">
      <w:lvlJc w:val="left"/>
      <w:lvlText w:val="•"/>
      <w:numFmt w:val="bullet"/>
      <w:start w:val="1"/>
    </w:lvl>
  </w:abstractNum>
  <w:abstractNum w:abstractNumId="15">
    <w:nsid w:val="579328B9"/>
    <w:multiLevelType w:val="hybridMultilevel"/>
    <w:lvl w:ilvl="0">
      <w:lvlJc w:val="left"/>
      <w:lvlText w:val="•"/>
      <w:numFmt w:val="bullet"/>
      <w:start w:val="1"/>
    </w:lvl>
  </w:abstractNum>
  <w:abstractNum w:abstractNumId="16">
    <w:nsid w:val="5D205E20"/>
    <w:multiLevelType w:val="hybridMultilevel"/>
    <w:lvl w:ilvl="0">
      <w:lvlJc w:val="left"/>
      <w:lvlText w:val="•"/>
      <w:numFmt w:val="bullet"/>
      <w:start w:val="1"/>
    </w:lvl>
  </w:abstractNum>
  <w:abstractNum w:abstractNumId="17">
    <w:nsid w:val="11CCA8BA"/>
    <w:multiLevelType w:val="hybridMultilevel"/>
    <w:lvl w:ilvl="0">
      <w:lvlJc w:val="left"/>
      <w:lvlText w:val="•"/>
      <w:numFmt w:val="bullet"/>
      <w:start w:val="1"/>
    </w:lvl>
  </w:abstractNum>
  <w:abstractNum w:abstractNumId="18">
    <w:nsid w:val="4D32AB86"/>
    <w:multiLevelType w:val="hybridMultilevel"/>
    <w:lvl w:ilvl="0">
      <w:lvlJc w:val="left"/>
      <w:lvlText w:val="%1."/>
      <w:numFmt w:val="decimal"/>
      <w:start w:val="1"/>
    </w:lvl>
  </w:abstractNum>
  <w:abstractNum w:abstractNumId="19">
    <w:nsid w:val="3F07ACC3"/>
    <w:multiLevelType w:val="hybridMultilevel"/>
    <w:lvl w:ilvl="0">
      <w:lvlJc w:val="left"/>
      <w:lvlText w:val="(%1)"/>
      <w:numFmt w:val="lowerLetter"/>
      <w:start w:val="1"/>
    </w:lvl>
  </w:abstractNum>
  <w:abstractNum w:abstractNumId="20">
    <w:nsid w:val="6B47F63E"/>
    <w:multiLevelType w:val="hybridMultilevel"/>
    <w:lvl w:ilvl="0">
      <w:lvlJc w:val="left"/>
      <w:lvlText w:val="(%1)"/>
      <w:numFmt w:val="lowerLetter"/>
      <w:start w:val="2"/>
    </w:lvl>
  </w:abstractNum>
  <w:abstractNum w:abstractNumId="21">
    <w:nsid w:val="5CB44A05"/>
    <w:multiLevelType w:val="hybridMultilevel"/>
    <w:lvl w:ilvl="0">
      <w:lvlJc w:val="left"/>
      <w:lvlText w:val="(%1)"/>
      <w:numFmt w:val="lowerLetter"/>
      <w:start w:val="1"/>
    </w:lvl>
  </w:abstractNum>
  <w:abstractNum w:abstractNumId="22">
    <w:nsid w:val="16CF80F1"/>
    <w:multiLevelType w:val="hybridMultilevel"/>
    <w:lvl w:ilvl="0">
      <w:lvlJc w:val="left"/>
      <w:lvlText w:val="(%1)"/>
      <w:numFmt w:val="lowerLetter"/>
      <w:start w:val="1"/>
    </w:lvl>
  </w:abstractNum>
  <w:abstractNum w:abstractNumId="23">
    <w:nsid w:val="1C695DEC"/>
    <w:multiLevelType w:val="hybridMultilevel"/>
    <w:lvl w:ilvl="0">
      <w:lvlJc w:val="left"/>
      <w:lvlText w:val="%1."/>
      <w:numFmt w:val="decimal"/>
      <w:start w:val="2"/>
    </w:lvl>
  </w:abstractNum>
  <w:abstractNum w:abstractNumId="24">
    <w:nsid w:val="3FCFAED9"/>
    <w:multiLevelType w:val="hybridMultilevel"/>
    <w:lvl w:ilvl="0">
      <w:lvlJc w:val="left"/>
      <w:lvlText w:val="%1."/>
      <w:numFmt w:val="decimal"/>
      <w:start w:val="3"/>
    </w:lvl>
  </w:abstractNum>
  <w:abstractNum w:abstractNumId="25">
    <w:nsid w:val="F856867"/>
    <w:multiLevelType w:val="hybridMultilevel"/>
    <w:lvl w:ilvl="0">
      <w:lvlJc w:val="left"/>
      <w:lvlText w:val="%1"/>
      <w:numFmt w:val="decimal"/>
      <w:start w:val="1"/>
    </w:lvl>
    <w:lvl w:ilvl="1">
      <w:lvlJc w:val="left"/>
      <w:lvlText w:val="(%2)"/>
      <w:numFmt w:val="lowerLetter"/>
      <w:start w:val="1"/>
    </w:lvl>
  </w:abstractNum>
  <w:abstractNum w:abstractNumId="26">
    <w:nsid w:val="11B1CC33"/>
    <w:multiLevelType w:val="hybridMultilevel"/>
    <w:lvl w:ilvl="0">
      <w:lvlJc w:val="left"/>
      <w:lvlText w:val="%1."/>
      <w:numFmt w:val="decimal"/>
      <w:start w:val="4"/>
    </w:lvl>
    <w:lvl w:ilvl="1">
      <w:lvlJc w:val="left"/>
      <w:lvlText w:val="%2"/>
      <w:numFmt w:val="lowerLetter"/>
      <w:start w:val="1"/>
    </w:lvl>
  </w:abstractNum>
  <w:abstractNum w:abstractNumId="27">
    <w:nsid w:val="2E22FBB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8">
    <w:nsid w:val="2993469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9">
    <w:nsid w:val="77485850"/>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30">
    <w:nsid w:val="744939A3"/>
    <w:multiLevelType w:val="hybridMultilevel"/>
    <w:lvl w:ilvl="0">
      <w:lvlJc w:val="left"/>
      <w:lvlText w:val="%1"/>
      <w:numFmt w:val="lowerLetter"/>
      <w:start w:val="1"/>
    </w:lvl>
    <w:lvl w:ilvl="1">
      <w:lvlJc w:val="left"/>
      <w:lvlText w:val="(%2)"/>
      <w:numFmt w:val="lowerRoman"/>
      <w:start w:val="2"/>
    </w:lvl>
  </w:abstractNum>
  <w:abstractNum w:abstractNumId="31">
    <w:nsid w:val="4FA0D2E3"/>
    <w:multiLevelType w:val="hybridMultilevel"/>
    <w:lvl w:ilvl="0">
      <w:lvlJc w:val="left"/>
      <w:lvlText w:val="(%1)"/>
      <w:numFmt w:val="lowerLetter"/>
      <w:start w:val="2"/>
    </w:lvl>
    <w:lvl w:ilvl="1">
      <w:lvlJc w:val="left"/>
      <w:lvlText w:val="%2"/>
      <w:numFmt w:val="lowerRoman"/>
      <w:start w:val="1"/>
    </w:lvl>
  </w:abstractNum>
  <w:abstractNum w:abstractNumId="32">
    <w:nsid w:val="6B1D2C14"/>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33">
    <w:nsid w:val="68B867D3"/>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34">
    <w:nsid w:val="3F7F5DD9"/>
    <w:multiLevelType w:val="hybridMultilevel"/>
    <w:lvl w:ilvl="0">
      <w:lvlJc w:val="left"/>
      <w:lvlText w:val="%1"/>
      <w:numFmt w:val="lowerLetter"/>
      <w:start w:val="1"/>
    </w:lvl>
    <w:lvl w:ilvl="1">
      <w:lvlJc w:val="left"/>
      <w:lvlText w:val="(%2)"/>
      <w:numFmt w:val="lowerRoman"/>
      <w:start w:val="2"/>
    </w:lvl>
  </w:abstractNum>
  <w:abstractNum w:abstractNumId="35">
    <w:nsid w:val="2AE05A34"/>
    <w:multiLevelType w:val="hybridMultilevel"/>
    <w:lvl w:ilvl="0">
      <w:lvlJc w:val="left"/>
      <w:lvlText w:val="(%1)"/>
      <w:numFmt w:val="lowerLetter"/>
      <w:start w:val="2"/>
    </w:lvl>
    <w:lvl w:ilvl="1">
      <w:lvlJc w:val="left"/>
      <w:lvlText w:val="(%2)"/>
      <w:numFmt w:val="lowerRoman"/>
      <w:start w:val="1"/>
    </w:lvl>
  </w:abstractNum>
  <w:abstractNum w:abstractNumId="36">
    <w:nsid w:val="32794FF7"/>
    <w:multiLevelType w:val="hybridMultilevel"/>
    <w:lvl w:ilvl="0">
      <w:lvlJc w:val="left"/>
      <w:lvlText w:val="(%1)"/>
      <w:numFmt w:val="lowerLetter"/>
      <w:start w:val="3"/>
    </w:lvl>
  </w:abstractNum>
  <w:abstractNum w:abstractNumId="37">
    <w:nsid w:val="5454945E"/>
    <w:multiLevelType w:val="hybridMultilevel"/>
    <w:lvl w:ilvl="0">
      <w:lvlJc w:val="left"/>
      <w:lvlText w:val="(%1)"/>
      <w:numFmt w:val="lowerLetter"/>
      <w:start w:val="1"/>
    </w:lvl>
  </w:abstractNum>
  <w:abstractNum w:abstractNumId="38">
    <w:nsid w:val="4DEFDFA0"/>
    <w:multiLevelType w:val="hybridMultilevel"/>
    <w:lvl w:ilvl="0">
      <w:lvlJc w:val="left"/>
      <w:lvlText w:val="(%1)"/>
      <w:numFmt w:val="lowerLetter"/>
      <w:start w:val="3"/>
    </w:lvl>
    <w:lvl w:ilvl="1">
      <w:lvlJc w:val="left"/>
      <w:lvlText w:val="(%2)"/>
      <w:numFmt w:val="lowerRoman"/>
      <w:start w:val="1"/>
    </w:lvl>
  </w:abstractNum>
  <w:abstractNum w:abstractNumId="39">
    <w:nsid w:val="2123D5F2"/>
    <w:multiLevelType w:val="hybridMultilevel"/>
    <w:lvl w:ilvl="0">
      <w:lvlJc w:val="left"/>
      <w:lvlText w:val="(%1)"/>
      <w:numFmt w:val="upperLetter"/>
      <w:start w:val="1"/>
    </w:lvl>
    <w:lvl w:ilvl="1">
      <w:lvlJc w:val="left"/>
      <w:lvlText w:val="(%2)"/>
      <w:numFmt w:val="lowerRoman"/>
      <w:start w:val="4"/>
    </w:lvl>
  </w:abstractNum>
  <w:abstractNum w:abstractNumId="40">
    <w:nsid w:val="135B8110"/>
    <w:multiLevelType w:val="hybridMultilevel"/>
    <w:lvl w:ilvl="0">
      <w:lvlJc w:val="left"/>
      <w:lvlText w:val="(%1)"/>
      <w:numFmt w:val="lowerLetter"/>
      <w:start w:val="5"/>
    </w:lvl>
  </w:abstractNum>
  <w:abstractNum w:abstractNumId="41">
    <w:nsid w:val="94927A8"/>
    <w:multiLevelType w:val="hybridMultilevel"/>
    <w:lvl w:ilvl="0">
      <w:lvlJc w:val="left"/>
      <w:lvlText w:val="(%1)"/>
      <w:numFmt w:val="lowerLetter"/>
      <w:start w:val="1"/>
    </w:lvl>
  </w:abstractNum>
  <w:abstractNum w:abstractNumId="42">
    <w:nsid w:val="DCDF8F6"/>
    <w:multiLevelType w:val="hybridMultilevel"/>
    <w:lvl w:ilvl="0">
      <w:lvlJc w:val="left"/>
      <w:lvlText w:val="(%1)"/>
      <w:numFmt w:val="lowerLetter"/>
      <w:start w:val="2"/>
    </w:lvl>
    <w:lvl w:ilvl="1">
      <w:lvlJc w:val="left"/>
      <w:lvlText w:val="(%2)"/>
      <w:numFmt w:val="lowerRoman"/>
      <w:start w:val="1"/>
    </w:lvl>
  </w:abstractNum>
  <w:abstractNum w:abstractNumId="43">
    <w:nsid w:val="52D7B105"/>
    <w:multiLevelType w:val="hybridMultilevel"/>
    <w:lvl w:ilvl="0">
      <w:lvlJc w:val="left"/>
      <w:lvlText w:val="%1"/>
      <w:numFmt w:val="decimal"/>
      <w:start w:val="1"/>
    </w:lvl>
    <w:lvl w:ilvl="1">
      <w:lvlJc w:val="left"/>
      <w:lvlText w:val="(%2)"/>
      <w:numFmt w:val="lowerLetter"/>
      <w:start w:val="6"/>
    </w:lvl>
  </w:abstractNum>
  <w:abstractNum w:abstractNumId="44">
    <w:nsid w:val="2E8A6394"/>
    <w:multiLevelType w:val="hybridMultilevel"/>
    <w:lvl w:ilvl="0">
      <w:lvlJc w:val="left"/>
      <w:lvlText w:val="%1."/>
      <w:numFmt w:val="decimal"/>
      <w:start w:val="5"/>
    </w:lvl>
    <w:lvl w:ilvl="1">
      <w:lvlJc w:val="left"/>
      <w:lvlText w:val="%2"/>
      <w:numFmt w:val="lowerLetter"/>
      <w:start w:val="1"/>
    </w:lvl>
  </w:abstractNum>
  <w:abstractNum w:abstractNumId="45">
    <w:nsid w:val="24E60401"/>
    <w:multiLevelType w:val="hybridMultilevel"/>
    <w:lvl w:ilvl="0">
      <w:lvlJc w:val="left"/>
      <w:lvlText w:val="%1."/>
      <w:numFmt w:val="decimal"/>
      <w:start w:val="1"/>
    </w:lvl>
  </w:abstractNum>
  <w:abstractNum w:abstractNumId="46">
    <w:nsid w:val="2A6AD9BE"/>
    <w:multiLevelType w:val="hybridMultilevel"/>
    <w:lvl w:ilvl="0">
      <w:lvlJc w:val="left"/>
      <w:lvlText w:val="%1."/>
      <w:numFmt w:val="decimal"/>
      <w:start w:val="5"/>
    </w:lvl>
  </w:abstractNum>
  <w:abstractNum w:abstractNumId="47">
    <w:nsid w:val="BAAC1B4"/>
    <w:multiLevelType w:val="hybridMultilevel"/>
    <w:lvl w:ilvl="0">
      <w:lvlJc w:val="left"/>
      <w:lvlText w:val="%1."/>
      <w:numFmt w:val="decimal"/>
      <w:start w:val="1"/>
    </w:lvl>
  </w:abstractNum>
  <w:abstractNum w:abstractNumId="48">
    <w:nsid w:val="36B2ACBC"/>
    <w:multiLevelType w:val="hybridMultilevel"/>
    <w:lvl w:ilvl="0">
      <w:lvlJc w:val="left"/>
      <w:lvlText w:val="(%1)"/>
      <w:numFmt w:val="lowerLetter"/>
      <w:start w:val="1"/>
    </w:lvl>
  </w:abstractNum>
  <w:abstractNum w:abstractNumId="49">
    <w:nsid w:val="779D8544"/>
    <w:multiLevelType w:val="hybridMultilevel"/>
    <w:lvl w:ilvl="0">
      <w:lvlJc w:val="left"/>
      <w:lvlText w:val="(%1)"/>
      <w:numFmt w:val="lowerLetter"/>
      <w:start w:val="2"/>
    </w:lvl>
  </w:abstractNum>
  <w:abstractNum w:abstractNumId="50">
    <w:nsid w:val="4AB26E78"/>
    <w:multiLevelType w:val="hybridMultilevel"/>
    <w:lvl w:ilvl="0">
      <w:lvlJc w:val="left"/>
      <w:lvlText w:val="(%1)"/>
      <w:numFmt w:val="lowerLetter"/>
      <w:start w:val="1"/>
    </w:lvl>
  </w:abstractNum>
  <w:abstractNum w:abstractNumId="51">
    <w:nsid w:val="21FAA2FA"/>
    <w:multiLevelType w:val="hybridMultilevel"/>
    <w:lvl w:ilvl="0">
      <w:lvlJc w:val="left"/>
      <w:lvlText w:val="(%1)"/>
      <w:numFmt w:val="lowerLetter"/>
      <w:start w:val="1"/>
    </w:lvl>
  </w:abstractNum>
  <w:abstractNum w:abstractNumId="52">
    <w:nsid w:val="5451CF49"/>
    <w:multiLevelType w:val="hybridMultilevel"/>
    <w:lvl w:ilvl="0">
      <w:lvlJc w:val="left"/>
      <w:lvlText w:val="%1."/>
      <w:numFmt w:val="decimal"/>
      <w:start w:val="2"/>
    </w:lvl>
  </w:abstractNum>
  <w:abstractNum w:abstractNumId="53">
    <w:nsid w:val="6181EF69"/>
    <w:multiLevelType w:val="hybridMultilevel"/>
    <w:lvl w:ilvl="0">
      <w:lvlJc w:val="left"/>
      <w:lvlText w:val="%1."/>
      <w:numFmt w:val="decimal"/>
      <w:start w:val="3"/>
    </w:lvl>
  </w:abstractNum>
  <w:abstractNum w:abstractNumId="54">
    <w:nsid w:val="3E6400E6"/>
    <w:multiLevelType w:val="hybridMultilevel"/>
    <w:lvl w:ilvl="0">
      <w:lvlJc w:val="left"/>
      <w:lvlText w:val="%1"/>
      <w:numFmt w:val="decimal"/>
      <w:start w:val="1"/>
    </w:lvl>
    <w:lvl w:ilvl="1">
      <w:lvlJc w:val="left"/>
      <w:lvlText w:val="(%2)"/>
      <w:numFmt w:val="lowerLetter"/>
      <w:start w:val="1"/>
    </w:lvl>
  </w:abstractNum>
  <w:abstractNum w:abstractNumId="55">
    <w:nsid w:val="14217E23"/>
    <w:multiLevelType w:val="hybridMultilevel"/>
    <w:lvl w:ilvl="0">
      <w:lvlJc w:val="left"/>
      <w:lvlText w:val="%1."/>
      <w:numFmt w:val="decimal"/>
      <w:start w:val="4"/>
    </w:lvl>
    <w:lvl w:ilvl="1">
      <w:lvlJc w:val="left"/>
      <w:lvlText w:val="%2"/>
      <w:numFmt w:val="lowerLetter"/>
      <w:start w:val="1"/>
    </w:lvl>
  </w:abstractNum>
  <w:abstractNum w:abstractNumId="56">
    <w:nsid w:val="710757D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57">
    <w:nsid w:val="5015CD1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8">
    <w:nsid w:val="424479DA"/>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59">
    <w:nsid w:val="1A9A9E69"/>
    <w:multiLevelType w:val="hybridMultilevel"/>
    <w:lvl w:ilvl="0">
      <w:lvlJc w:val="left"/>
      <w:lvlText w:val="%1"/>
      <w:numFmt w:val="lowerLetter"/>
      <w:start w:val="1"/>
    </w:lvl>
    <w:lvl w:ilvl="1">
      <w:lvlJc w:val="left"/>
      <w:lvlText w:val="(%2)"/>
      <w:numFmt w:val="lowerRoman"/>
      <w:start w:val="2"/>
    </w:lvl>
  </w:abstractNum>
  <w:abstractNum w:abstractNumId="60">
    <w:nsid w:val="475E256A"/>
    <w:multiLevelType w:val="hybridMultilevel"/>
    <w:lvl w:ilvl="0">
      <w:lvlJc w:val="left"/>
      <w:lvlText w:val="(%1)"/>
      <w:numFmt w:val="lowerLetter"/>
      <w:start w:val="2"/>
    </w:lvl>
    <w:lvl w:ilvl="1">
      <w:lvlJc w:val="left"/>
      <w:lvlText w:val="%2"/>
      <w:numFmt w:val="lowerRoman"/>
      <w:start w:val="1"/>
    </w:lvl>
  </w:abstractNum>
  <w:abstractNum w:abstractNumId="61">
    <w:nsid w:val="368DB37E"/>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62">
    <w:nsid w:val="6A3B714C"/>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63">
    <w:nsid w:val="327B517E"/>
    <w:multiLevelType w:val="hybridMultilevel"/>
    <w:lvl w:ilvl="0">
      <w:lvlJc w:val="left"/>
      <w:lvlText w:val="%1"/>
      <w:numFmt w:val="lowerLetter"/>
      <w:start w:val="1"/>
    </w:lvl>
    <w:lvl w:ilvl="1">
      <w:lvlJc w:val="left"/>
      <w:lvlText w:val="(%2)"/>
      <w:numFmt w:val="lowerRoman"/>
      <w:start w:val="2"/>
    </w:lvl>
  </w:abstractNum>
  <w:abstractNum w:abstractNumId="64">
    <w:nsid w:val="1F461B51"/>
    <w:multiLevelType w:val="hybridMultilevel"/>
    <w:lvl w:ilvl="0">
      <w:lvlJc w:val="left"/>
      <w:lvlText w:val="(%1)"/>
      <w:numFmt w:val="lowerLetter"/>
      <w:start w:val="2"/>
    </w:lvl>
    <w:lvl w:ilvl="1">
      <w:lvlJc w:val="left"/>
      <w:lvlText w:val="(%2)"/>
      <w:numFmt w:val="lowerRoman"/>
      <w:start w:val="1"/>
    </w:lvl>
  </w:abstractNum>
  <w:abstractNum w:abstractNumId="65">
    <w:nsid w:val="29BACF25"/>
    <w:multiLevelType w:val="hybridMultilevel"/>
    <w:lvl w:ilvl="0">
      <w:lvlJc w:val="left"/>
      <w:lvlText w:val="(%1)"/>
      <w:numFmt w:val="lowerLetter"/>
      <w:start w:val="3"/>
    </w:lvl>
  </w:abstractNum>
  <w:abstractNum w:abstractNumId="66">
    <w:nsid w:val="5D5BABB3"/>
    <w:multiLevelType w:val="hybridMultilevel"/>
    <w:lvl w:ilvl="0">
      <w:lvlJc w:val="left"/>
      <w:lvlText w:val="(%1)"/>
      <w:numFmt w:val="lowerLetter"/>
      <w:start w:val="1"/>
    </w:lvl>
  </w:abstractNum>
  <w:abstractNum w:abstractNumId="67">
    <w:nsid w:val="51BF6B48"/>
    <w:multiLevelType w:val="hybridMultilevel"/>
    <w:lvl w:ilvl="0">
      <w:lvlJc w:val="left"/>
      <w:lvlText w:val="(%1)"/>
      <w:numFmt w:val="lowerLetter"/>
      <w:start w:val="3"/>
    </w:lvl>
    <w:lvl w:ilvl="1">
      <w:lvlJc w:val="left"/>
      <w:lvlText w:val="(%2)"/>
      <w:numFmt w:val="lowerRoman"/>
      <w:start w:val="1"/>
    </w:lvl>
  </w:abstractNum>
  <w:abstractNum w:abstractNumId="68">
    <w:nsid w:val="7E0F6384"/>
    <w:multiLevelType w:val="hybridMultilevel"/>
    <w:lvl w:ilvl="0">
      <w:lvlJc w:val="left"/>
      <w:lvlText w:val="(%1)"/>
      <w:numFmt w:val="upperLetter"/>
      <w:start w:val="1"/>
    </w:lvl>
    <w:lvl w:ilvl="1">
      <w:lvlJc w:val="left"/>
      <w:lvlText w:val="(%2)"/>
      <w:numFmt w:val="lowerRoman"/>
      <w:start w:val="4"/>
    </w:lvl>
  </w:abstractNum>
  <w:abstractNum w:abstractNumId="69">
    <w:nsid w:val="2B4B8B53"/>
    <w:multiLevelType w:val="hybridMultilevel"/>
    <w:lvl w:ilvl="0">
      <w:lvlJc w:val="left"/>
      <w:lvlText w:val="(%1)"/>
      <w:numFmt w:val="lowerLetter"/>
      <w:start w:val="5"/>
    </w:lvl>
  </w:abstractNum>
  <w:abstractNum w:abstractNumId="70">
    <w:nsid w:val="72E3413A"/>
    <w:multiLevelType w:val="hybridMultilevel"/>
    <w:lvl w:ilvl="0">
      <w:lvlJc w:val="left"/>
      <w:lvlText w:val="(%1)"/>
      <w:numFmt w:val="lowerLetter"/>
      <w:start w:val="1"/>
    </w:lvl>
  </w:abstractNum>
  <w:abstractNum w:abstractNumId="71">
    <w:nsid w:val="116AE494"/>
    <w:multiLevelType w:val="hybridMultilevel"/>
    <w:lvl w:ilvl="0">
      <w:lvlJc w:val="left"/>
      <w:lvlText w:val="(%1)"/>
      <w:numFmt w:val="lowerLetter"/>
      <w:start w:val="2"/>
    </w:lvl>
    <w:lvl w:ilvl="1">
      <w:lvlJc w:val="left"/>
      <w:lvlText w:val="(%2)"/>
      <w:numFmt w:val="lowerRoman"/>
      <w:start w:val="1"/>
    </w:lvl>
  </w:abstractNum>
  <w:abstractNum w:abstractNumId="72">
    <w:nsid w:val="3494B2FB"/>
    <w:multiLevelType w:val="hybridMultilevel"/>
    <w:lvl w:ilvl="0">
      <w:lvlJc w:val="left"/>
      <w:lvlText w:val="%1"/>
      <w:numFmt w:val="decimal"/>
      <w:start w:val="1"/>
    </w:lvl>
    <w:lvl w:ilvl="1">
      <w:lvlJc w:val="left"/>
      <w:lvlText w:val="(%2)"/>
      <w:numFmt w:val="lowerLetter"/>
      <w:start w:val="6"/>
    </w:lvl>
  </w:abstractNum>
  <w:abstractNum w:abstractNumId="73">
    <w:nsid w:val="B13A31"/>
    <w:multiLevelType w:val="hybridMultilevel"/>
    <w:lvl w:ilvl="0">
      <w:lvlJc w:val="left"/>
      <w:lvlText w:val="%1."/>
      <w:numFmt w:val="decimal"/>
      <w:start w:val="5"/>
    </w:lvl>
    <w:lvl w:ilvl="1">
      <w:lvlJc w:val="left"/>
      <w:lvlText w:val="%2"/>
      <w:numFmt w:val="lowerLetter"/>
      <w:start w:val="1"/>
    </w:lvl>
  </w:abstractNum>
  <w:abstractNum w:abstractNumId="74">
    <w:nsid w:val="64429599"/>
    <w:multiLevelType w:val="hybridMultilevel"/>
    <w:lvl w:ilvl="0">
      <w:lvlJc w:val="left"/>
      <w:lvlText w:val="%1."/>
      <w:numFmt w:val="decimal"/>
      <w:start w:val="1"/>
    </w:lvl>
  </w:abstractNum>
  <w:abstractNum w:abstractNumId="75">
    <w:nsid w:val="631F1690"/>
    <w:multiLevelType w:val="hybridMultilevel"/>
    <w:lvl w:ilvl="0">
      <w:lvlJc w:val="left"/>
      <w:lvlText w:val="%1."/>
      <w:numFmt w:val="decimal"/>
      <w:start w:val="5"/>
    </w:lvl>
  </w:abstractNum>
  <w:abstractNum w:abstractNumId="76">
    <w:nsid w:val="25973E32"/>
    <w:multiLevelType w:val="hybridMultilevel"/>
    <w:lvl w:ilvl="0">
      <w:lvlJc w:val="left"/>
      <w:lvlText w:val="%1."/>
      <w:numFmt w:val="decimal"/>
      <w:start w:val="1"/>
    </w:lvl>
  </w:abstractNum>
  <w:abstractNum w:abstractNumId="77">
    <w:nsid w:val="EAD6F57"/>
    <w:multiLevelType w:val="hybridMultilevel"/>
    <w:lvl w:ilvl="0">
      <w:lvlJc w:val="left"/>
      <w:lvlText w:val="(%1)"/>
      <w:numFmt w:val="lowerLetter"/>
      <w:start w:val="1"/>
    </w:lvl>
  </w:abstractNum>
  <w:abstractNum w:abstractNumId="78">
    <w:nsid w:val="6EC9D844"/>
    <w:multiLevelType w:val="hybridMultilevel"/>
    <w:lvl w:ilvl="0">
      <w:lvlJc w:val="left"/>
      <w:lvlText w:val="(%1)"/>
      <w:numFmt w:val="lowerLetter"/>
      <w:start w:val="2"/>
    </w:lvl>
  </w:abstractNum>
  <w:abstractNum w:abstractNumId="79">
    <w:nsid w:val="5C49EAEE"/>
    <w:multiLevelType w:val="hybridMultilevel"/>
    <w:lvl w:ilvl="0">
      <w:lvlJc w:val="left"/>
      <w:lvlText w:val="(%1)"/>
      <w:numFmt w:val="lowerLetter"/>
      <w:start w:val="1"/>
    </w:lvl>
  </w:abstractNum>
  <w:abstractNum w:abstractNumId="80">
    <w:nsid w:val="64AF49B"/>
    <w:multiLevelType w:val="hybridMultilevel"/>
    <w:lvl w:ilvl="0">
      <w:lvlJc w:val="left"/>
      <w:lvlText w:val="(%1)"/>
      <w:numFmt w:val="lowerLetter"/>
      <w:start w:val="1"/>
    </w:lvl>
  </w:abstractNum>
  <w:abstractNum w:abstractNumId="81">
    <w:nsid w:val="397C46BC"/>
    <w:multiLevelType w:val="hybridMultilevel"/>
    <w:lvl w:ilvl="0">
      <w:lvlJc w:val="left"/>
      <w:lvlText w:val="%1."/>
      <w:numFmt w:val="decimal"/>
      <w:start w:val="2"/>
    </w:lvl>
  </w:abstractNum>
  <w:abstractNum w:abstractNumId="82">
    <w:nsid w:val="7E448DE9"/>
    <w:multiLevelType w:val="hybridMultilevel"/>
    <w:lvl w:ilvl="0">
      <w:lvlJc w:val="left"/>
      <w:lvlText w:val="%1."/>
      <w:numFmt w:val="decimal"/>
      <w:start w:val="3"/>
    </w:lvl>
  </w:abstractNum>
  <w:abstractNum w:abstractNumId="83">
    <w:nsid w:val="5A9CC3E5"/>
    <w:multiLevelType w:val="hybridMultilevel"/>
    <w:lvl w:ilvl="0">
      <w:lvlJc w:val="left"/>
      <w:lvlText w:val="%1"/>
      <w:numFmt w:val="decimal"/>
      <w:start w:val="1"/>
    </w:lvl>
    <w:lvl w:ilvl="1">
      <w:lvlJc w:val="left"/>
      <w:lvlText w:val="(%2)"/>
      <w:numFmt w:val="lowerLetter"/>
      <w:start w:val="1"/>
    </w:lvl>
  </w:abstractNum>
  <w:abstractNum w:abstractNumId="84">
    <w:nsid w:val="1AFE3625"/>
    <w:multiLevelType w:val="hybridMultilevel"/>
    <w:lvl w:ilvl="0">
      <w:lvlJc w:val="left"/>
      <w:lvlText w:val="%1."/>
      <w:numFmt w:val="decimal"/>
      <w:start w:val="4"/>
    </w:lvl>
    <w:lvl w:ilvl="1">
      <w:lvlJc w:val="left"/>
      <w:lvlText w:val="%2"/>
      <w:numFmt w:val="lowerLetter"/>
      <w:start w:val="1"/>
    </w:lvl>
  </w:abstractNum>
  <w:abstractNum w:abstractNumId="85">
    <w:nsid w:val="3CA88EC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86">
    <w:nsid w:val="6EBE420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87">
    <w:nsid w:val="C058DF5"/>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88">
    <w:nsid w:val="CBE5BE9"/>
    <w:multiLevelType w:val="hybridMultilevel"/>
    <w:lvl w:ilvl="0">
      <w:lvlJc w:val="left"/>
      <w:lvlText w:val="%1"/>
      <w:numFmt w:val="lowerLetter"/>
      <w:start w:val="1"/>
    </w:lvl>
    <w:lvl w:ilvl="1">
      <w:lvlJc w:val="left"/>
      <w:lvlText w:val="(%2)"/>
      <w:numFmt w:val="lowerRoman"/>
      <w:start w:val="2"/>
    </w:lvl>
  </w:abstractNum>
  <w:abstractNum w:abstractNumId="89">
    <w:nsid w:val="3102BBE2"/>
    <w:multiLevelType w:val="hybridMultilevel"/>
    <w:lvl w:ilvl="0">
      <w:lvlJc w:val="left"/>
      <w:lvlText w:val="(%1)"/>
      <w:numFmt w:val="lowerLetter"/>
      <w:start w:val="2"/>
    </w:lvl>
    <w:lvl w:ilvl="1">
      <w:lvlJc w:val="left"/>
      <w:lvlText w:val="%2"/>
      <w:numFmt w:val="lowerRoman"/>
      <w:start w:val="1"/>
    </w:lvl>
  </w:abstractNum>
  <w:abstractNum w:abstractNumId="90">
    <w:nsid w:val="26A02C5E"/>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91">
    <w:nsid w:val="541C8153"/>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92">
    <w:nsid w:val="67906F60"/>
    <w:multiLevelType w:val="hybridMultilevel"/>
    <w:lvl w:ilvl="0">
      <w:lvlJc w:val="left"/>
      <w:lvlText w:val="%1"/>
      <w:numFmt w:val="lowerLetter"/>
      <w:start w:val="1"/>
    </w:lvl>
    <w:lvl w:ilvl="1">
      <w:lvlJc w:val="left"/>
      <w:lvlText w:val="(%2)"/>
      <w:numFmt w:val="lowerRoman"/>
      <w:start w:val="2"/>
    </w:lvl>
  </w:abstractNum>
  <w:abstractNum w:abstractNumId="93">
    <w:nsid w:val="10DB9DAA"/>
    <w:multiLevelType w:val="hybridMultilevel"/>
    <w:lvl w:ilvl="0">
      <w:lvlJc w:val="left"/>
      <w:lvlText w:val="(%1)"/>
      <w:numFmt w:val="lowerLetter"/>
      <w:start w:val="2"/>
    </w:lvl>
    <w:lvl w:ilvl="1">
      <w:lvlJc w:val="left"/>
      <w:lvlText w:val="(%2)"/>
      <w:numFmt w:val="lowerRoman"/>
      <w:start w:val="1"/>
    </w:lvl>
  </w:abstractNum>
  <w:abstractNum w:abstractNumId="94">
    <w:nsid w:val="697D2D2"/>
    <w:multiLevelType w:val="hybridMultilevel"/>
    <w:lvl w:ilvl="0">
      <w:lvlJc w:val="left"/>
      <w:lvlText w:val="(%1)"/>
      <w:numFmt w:val="lowerLetter"/>
      <w:start w:val="3"/>
    </w:lvl>
  </w:abstractNum>
  <w:abstractNum w:abstractNumId="95">
    <w:nsid w:val="6D68AB2"/>
    <w:multiLevelType w:val="hybridMultilevel"/>
    <w:lvl w:ilvl="0">
      <w:lvlJc w:val="left"/>
      <w:lvlText w:val="(%1)"/>
      <w:numFmt w:val="lowerLetter"/>
      <w:start w:val="1"/>
    </w:lvl>
  </w:abstractNum>
  <w:abstractNum w:abstractNumId="96">
    <w:nsid w:val="3A966CD0"/>
    <w:multiLevelType w:val="hybridMultilevel"/>
    <w:lvl w:ilvl="0">
      <w:lvlJc w:val="left"/>
      <w:lvlText w:val="(%1)"/>
      <w:numFmt w:val="lowerLetter"/>
      <w:start w:val="3"/>
    </w:lvl>
    <w:lvl w:ilvl="1">
      <w:lvlJc w:val="left"/>
      <w:lvlText w:val="(%2)"/>
      <w:numFmt w:val="lowerRoman"/>
      <w:start w:val="1"/>
    </w:lvl>
  </w:abstractNum>
  <w:abstractNum w:abstractNumId="97">
    <w:nsid w:val="63F37E85"/>
    <w:multiLevelType w:val="hybridMultilevel"/>
    <w:lvl w:ilvl="0">
      <w:lvlJc w:val="left"/>
      <w:lvlText w:val="(%1)"/>
      <w:numFmt w:val="upperLetter"/>
      <w:start w:val="1"/>
    </w:lvl>
    <w:lvl w:ilvl="1">
      <w:lvlJc w:val="left"/>
      <w:lvlText w:val="(%2)"/>
      <w:numFmt w:val="lowerRoman"/>
      <w:start w:val="4"/>
    </w:lvl>
  </w:abstractNum>
  <w:abstractNum w:abstractNumId="98">
    <w:nsid w:val="5895F5FA"/>
    <w:multiLevelType w:val="hybridMultilevel"/>
    <w:lvl w:ilvl="0">
      <w:lvlJc w:val="left"/>
      <w:lvlText w:val="(%1)"/>
      <w:numFmt w:val="lowerLetter"/>
      <w:start w:val="5"/>
    </w:lvl>
  </w:abstractNum>
  <w:abstractNum w:abstractNumId="99">
    <w:nsid w:val="38A5D054"/>
    <w:multiLevelType w:val="hybridMultilevel"/>
    <w:lvl w:ilvl="0">
      <w:lvlJc w:val="left"/>
      <w:lvlText w:val="(%1)"/>
      <w:numFmt w:val="lowerLetter"/>
      <w:start w:val="1"/>
    </w:lvl>
  </w:abstractNum>
  <w:abstractNum w:abstractNumId="100">
    <w:nsid w:val="F3F09D8"/>
    <w:multiLevelType w:val="hybridMultilevel"/>
    <w:lvl w:ilvl="0">
      <w:lvlJc w:val="left"/>
      <w:lvlText w:val="(%1)"/>
      <w:numFmt w:val="lowerLetter"/>
      <w:start w:val="2"/>
    </w:lvl>
    <w:lvl w:ilvl="1">
      <w:lvlJc w:val="left"/>
      <w:lvlText w:val="(%2)"/>
      <w:numFmt w:val="lowerRoman"/>
      <w:start w:val="1"/>
    </w:lvl>
  </w:abstractNum>
  <w:abstractNum w:abstractNumId="101">
    <w:nsid w:val="4B793735"/>
    <w:multiLevelType w:val="hybridMultilevel"/>
    <w:lvl w:ilvl="0">
      <w:lvlJc w:val="left"/>
      <w:lvlText w:val="%1"/>
      <w:numFmt w:val="decimal"/>
      <w:start w:val="1"/>
    </w:lvl>
    <w:lvl w:ilvl="1">
      <w:lvlJc w:val="left"/>
      <w:lvlText w:val="(%2)"/>
      <w:numFmt w:val="lowerLetter"/>
      <w:start w:val="6"/>
    </w:lvl>
  </w:abstractNum>
  <w:abstractNum w:abstractNumId="102">
    <w:nsid w:val="4A10B4E8"/>
    <w:multiLevelType w:val="hybridMultilevel"/>
    <w:lvl w:ilvl="0">
      <w:lvlJc w:val="left"/>
      <w:lvlText w:val="%1."/>
      <w:numFmt w:val="decimal"/>
      <w:start w:val="5"/>
    </w:lvl>
    <w:lvl w:ilvl="1">
      <w:lvlJc w:val="left"/>
      <w:lvlText w:val="%2"/>
      <w:numFmt w:val="lowerLetter"/>
      <w:start w:val="1"/>
    </w:lvl>
  </w:abstractNum>
  <w:abstractNum w:abstractNumId="103">
    <w:nsid w:val="43D3BCD4"/>
    <w:multiLevelType w:val="hybridMultilevel"/>
    <w:lvl w:ilvl="0">
      <w:lvlJc w:val="left"/>
      <w:lvlText w:val="%1."/>
      <w:numFmt w:val="decimal"/>
      <w:start w:val="1"/>
    </w:lvl>
  </w:abstractNum>
  <w:abstractNum w:abstractNumId="104">
    <w:nsid w:val="4C2A7166"/>
    <w:multiLevelType w:val="hybridMultilevel"/>
    <w:lvl w:ilvl="0">
      <w:lvlJc w:val="left"/>
      <w:lvlText w:val="%1."/>
      <w:numFmt w:val="decimal"/>
      <w:start w:val="5"/>
    </w:lvl>
  </w:abstractNum>
  <w:abstractNum w:abstractNumId="105">
    <w:nsid w:val="2E534A82"/>
    <w:multiLevelType w:val="hybridMultilevel"/>
    <w:lvl w:ilvl="0">
      <w:lvlJc w:val="left"/>
      <w:lvlText w:val="%1."/>
      <w:numFmt w:val="decimal"/>
      <w:start w:val="1"/>
    </w:lvl>
  </w:abstractNum>
  <w:abstractNum w:abstractNumId="106">
    <w:nsid w:val="26F2D364"/>
    <w:multiLevelType w:val="hybridMultilevel"/>
    <w:lvl w:ilvl="0">
      <w:lvlJc w:val="left"/>
      <w:lvlText w:val="(%1)"/>
      <w:numFmt w:val="lowerLetter"/>
      <w:start w:val="1"/>
    </w:lvl>
  </w:abstractNum>
  <w:abstractNum w:abstractNumId="107">
    <w:nsid w:val="71C1AF98"/>
    <w:multiLevelType w:val="hybridMultilevel"/>
    <w:lvl w:ilvl="0">
      <w:lvlJc w:val="left"/>
      <w:lvlText w:val="(%1)"/>
      <w:numFmt w:val="lowerLetter"/>
      <w:start w:val="2"/>
    </w:lvl>
  </w:abstractNum>
  <w:abstractNum w:abstractNumId="108">
    <w:nsid w:val="3D00B9D9"/>
    <w:multiLevelType w:val="hybridMultilevel"/>
    <w:lvl w:ilvl="0">
      <w:lvlJc w:val="left"/>
      <w:lvlText w:val="(%1)"/>
      <w:numFmt w:val="lowerLetter"/>
      <w:start w:val="1"/>
    </w:lvl>
  </w:abstractNum>
  <w:abstractNum w:abstractNumId="109">
    <w:nsid w:val="15BCABA8"/>
    <w:multiLevelType w:val="hybridMultilevel"/>
    <w:lvl w:ilvl="0">
      <w:lvlJc w:val="left"/>
      <w:lvlText w:val="(%1)"/>
      <w:numFmt w:val="lowerLetter"/>
      <w:start w:val="1"/>
    </w:lvl>
  </w:abstractNum>
  <w:abstractNum w:abstractNumId="110">
    <w:nsid w:val="4E0B9A87"/>
    <w:multiLevelType w:val="hybridMultilevel"/>
    <w:lvl w:ilvl="0">
      <w:lvlJc w:val="left"/>
      <w:lvlText w:val="%1."/>
      <w:numFmt w:val="decimal"/>
      <w:start w:val="2"/>
    </w:lvl>
  </w:abstractNum>
  <w:abstractNum w:abstractNumId="111">
    <w:nsid w:val="434BAE75"/>
    <w:multiLevelType w:val="hybridMultilevel"/>
    <w:lvl w:ilvl="0">
      <w:lvlJc w:val="left"/>
      <w:lvlText w:val="%1."/>
      <w:numFmt w:val="decimal"/>
      <w:start w:val="3"/>
    </w:lvl>
  </w:abstractNum>
  <w:abstractNum w:abstractNumId="112">
    <w:nsid w:val="4F38F265"/>
    <w:multiLevelType w:val="hybridMultilevel"/>
    <w:lvl w:ilvl="0">
      <w:lvlJc w:val="left"/>
      <w:lvlText w:val="%1"/>
      <w:numFmt w:val="decimal"/>
      <w:start w:val="1"/>
    </w:lvl>
    <w:lvl w:ilvl="1">
      <w:lvlJc w:val="left"/>
      <w:lvlText w:val="(%2)"/>
      <w:numFmt w:val="lowerLetter"/>
      <w:start w:val="1"/>
    </w:lvl>
  </w:abstractNum>
  <w:abstractNum w:abstractNumId="113">
    <w:nsid w:val="4C502870"/>
    <w:multiLevelType w:val="hybridMultilevel"/>
    <w:lvl w:ilvl="0">
      <w:lvlJc w:val="left"/>
      <w:lvlText w:val="%1."/>
      <w:numFmt w:val="decimal"/>
      <w:start w:val="4"/>
    </w:lvl>
    <w:lvl w:ilvl="1">
      <w:lvlJc w:val="left"/>
      <w:lvlText w:val="%2"/>
      <w:numFmt w:val="lowerLetter"/>
      <w:start w:val="1"/>
    </w:lvl>
  </w:abstractNum>
  <w:abstractNum w:abstractNumId="114">
    <w:nsid w:val="1DE8725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15">
    <w:nsid w:val="6A37288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16">
    <w:nsid w:val="8F8B73F"/>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17">
    <w:nsid w:val="CA6B462"/>
    <w:multiLevelType w:val="hybridMultilevel"/>
    <w:lvl w:ilvl="0">
      <w:lvlJc w:val="left"/>
      <w:lvlText w:val="%1"/>
      <w:numFmt w:val="lowerLetter"/>
      <w:start w:val="1"/>
    </w:lvl>
    <w:lvl w:ilvl="1">
      <w:lvlJc w:val="left"/>
      <w:lvlText w:val="(%2)"/>
      <w:numFmt w:val="lowerRoman"/>
      <w:start w:val="2"/>
    </w:lvl>
  </w:abstractNum>
  <w:abstractNum w:abstractNumId="118">
    <w:nsid w:val="763CB680"/>
    <w:multiLevelType w:val="hybridMultilevel"/>
    <w:lvl w:ilvl="0">
      <w:lvlJc w:val="left"/>
      <w:lvlText w:val="(%1)"/>
      <w:numFmt w:val="lowerLetter"/>
      <w:start w:val="2"/>
    </w:lvl>
    <w:lvl w:ilvl="1">
      <w:lvlJc w:val="left"/>
      <w:lvlText w:val="%2"/>
      <w:numFmt w:val="lowerRoman"/>
      <w:start w:val="1"/>
    </w:lvl>
  </w:abstractNum>
  <w:abstractNum w:abstractNumId="119">
    <w:nsid w:val="15B71329"/>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120">
    <w:nsid w:val="3DA97044"/>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121">
    <w:nsid w:val="1CDCE2DE"/>
    <w:multiLevelType w:val="hybridMultilevel"/>
    <w:lvl w:ilvl="0">
      <w:lvlJc w:val="left"/>
      <w:lvlText w:val="%1"/>
      <w:numFmt w:val="lowerLetter"/>
      <w:start w:val="1"/>
    </w:lvl>
    <w:lvl w:ilvl="1">
      <w:lvlJc w:val="left"/>
      <w:lvlText w:val="(%2)"/>
      <w:numFmt w:val="lowerRoman"/>
      <w:start w:val="2"/>
    </w:lvl>
  </w:abstractNum>
  <w:abstractNum w:abstractNumId="122">
    <w:nsid w:val="69D3947C"/>
    <w:multiLevelType w:val="hybridMultilevel"/>
    <w:lvl w:ilvl="0">
      <w:lvlJc w:val="left"/>
      <w:lvlText w:val="(%1)"/>
      <w:numFmt w:val="lowerLetter"/>
      <w:start w:val="2"/>
    </w:lvl>
    <w:lvl w:ilvl="1">
      <w:lvlJc w:val="left"/>
      <w:lvlText w:val="(%2)"/>
      <w:numFmt w:val="lowerRoman"/>
      <w:start w:val="1"/>
    </w:lvl>
  </w:abstractNum>
  <w:abstractNum w:abstractNumId="123">
    <w:nsid w:val="2539DFA5"/>
    <w:multiLevelType w:val="hybridMultilevel"/>
    <w:lvl w:ilvl="0">
      <w:lvlJc w:val="left"/>
      <w:lvlText w:val="(%1)"/>
      <w:numFmt w:val="lowerLetter"/>
      <w:start w:val="3"/>
    </w:lvl>
  </w:abstractNum>
  <w:abstractNum w:abstractNumId="124">
    <w:nsid w:val="2DB88089"/>
    <w:multiLevelType w:val="hybridMultilevel"/>
    <w:lvl w:ilvl="0">
      <w:lvlJc w:val="left"/>
      <w:lvlText w:val="(%1)"/>
      <w:numFmt w:val="lowerLetter"/>
      <w:start w:val="1"/>
    </w:lvl>
  </w:abstractNum>
  <w:abstractNum w:abstractNumId="125">
    <w:nsid w:val="706B674E"/>
    <w:multiLevelType w:val="hybridMultilevel"/>
    <w:lvl w:ilvl="0">
      <w:lvlJc w:val="left"/>
      <w:lvlText w:val="(%1)"/>
      <w:numFmt w:val="lowerLetter"/>
      <w:start w:val="3"/>
    </w:lvl>
    <w:lvl w:ilvl="1">
      <w:lvlJc w:val="left"/>
      <w:lvlText w:val="(%2)"/>
      <w:numFmt w:val="lowerRoman"/>
      <w:start w:val="1"/>
    </w:lvl>
  </w:abstractNum>
  <w:abstractNum w:abstractNumId="126">
    <w:nsid w:val="2C106A57"/>
    <w:multiLevelType w:val="hybridMultilevel"/>
    <w:lvl w:ilvl="0">
      <w:lvlJc w:val="left"/>
      <w:lvlText w:val="(%1)"/>
      <w:numFmt w:val="upperLetter"/>
      <w:start w:val="1"/>
    </w:lvl>
    <w:lvl w:ilvl="1">
      <w:lvlJc w:val="left"/>
      <w:lvlText w:val="(%2)"/>
      <w:numFmt w:val="lowerRoman"/>
      <w:start w:val="4"/>
    </w:lvl>
  </w:abstractNum>
  <w:abstractNum w:abstractNumId="127">
    <w:nsid w:val="684EED59"/>
    <w:multiLevelType w:val="hybridMultilevel"/>
    <w:lvl w:ilvl="0">
      <w:lvlJc w:val="left"/>
      <w:lvlText w:val="(%1)"/>
      <w:numFmt w:val="lowerLetter"/>
      <w:start w:val="5"/>
    </w:lvl>
  </w:abstractNum>
  <w:abstractNum w:abstractNumId="128">
    <w:nsid w:val="545EE5D3"/>
    <w:multiLevelType w:val="hybridMultilevel"/>
    <w:lvl w:ilvl="0">
      <w:lvlJc w:val="left"/>
      <w:lvlText w:val="(%1)"/>
      <w:numFmt w:val="lowerLetter"/>
      <w:start w:val="1"/>
    </w:lvl>
  </w:abstractNum>
  <w:abstractNum w:abstractNumId="129">
    <w:nsid w:val="4A66051"/>
    <w:multiLevelType w:val="hybridMultilevel"/>
    <w:lvl w:ilvl="0">
      <w:lvlJc w:val="left"/>
      <w:lvlText w:val="(%1)"/>
      <w:numFmt w:val="lowerLetter"/>
      <w:start w:val="2"/>
    </w:lvl>
    <w:lvl w:ilvl="1">
      <w:lvlJc w:val="left"/>
      <w:lvlText w:val="(%2)"/>
      <w:numFmt w:val="lowerRoman"/>
      <w:start w:val="1"/>
    </w:lvl>
  </w:abstractNum>
  <w:abstractNum w:abstractNumId="130">
    <w:nsid w:val="20F4BDAD"/>
    <w:multiLevelType w:val="hybridMultilevel"/>
    <w:lvl w:ilvl="0">
      <w:lvlJc w:val="left"/>
      <w:lvlText w:val="%1"/>
      <w:numFmt w:val="decimal"/>
      <w:start w:val="1"/>
    </w:lvl>
    <w:lvl w:ilvl="1">
      <w:lvlJc w:val="left"/>
      <w:lvlText w:val="(%2)"/>
      <w:numFmt w:val="lowerLetter"/>
      <w:start w:val="6"/>
    </w:lvl>
  </w:abstractNum>
  <w:abstractNum w:abstractNumId="131">
    <w:nsid w:val="639DEFAC"/>
    <w:multiLevelType w:val="hybridMultilevel"/>
    <w:lvl w:ilvl="0">
      <w:lvlJc w:val="left"/>
      <w:lvlText w:val="%1."/>
      <w:numFmt w:val="decimal"/>
      <w:start w:val="5"/>
    </w:lvl>
    <w:lvl w:ilvl="1">
      <w:lvlJc w:val="left"/>
      <w:lvlText w:val="%2"/>
      <w:numFmt w:val="lowerLetter"/>
      <w:start w:val="1"/>
    </w:lvl>
  </w:abstractNum>
  <w:abstractNum w:abstractNumId="132">
    <w:nsid w:val="501F9786"/>
    <w:multiLevelType w:val="hybridMultilevel"/>
    <w:lvl w:ilvl="0">
      <w:lvlJc w:val="left"/>
      <w:lvlText w:val="%1."/>
      <w:numFmt w:val="decimal"/>
      <w:start w:val="1"/>
    </w:lvl>
  </w:abstractNum>
  <w:abstractNum w:abstractNumId="133">
    <w:nsid w:val="6B057295"/>
    <w:multiLevelType w:val="hybridMultilevel"/>
    <w:lvl w:ilvl="0">
      <w:lvlJc w:val="left"/>
      <w:lvlText w:val="%1."/>
      <w:numFmt w:val="decimal"/>
      <w:start w:val="5"/>
    </w:lvl>
  </w:abstractNum>
  <w:abstractNum w:abstractNumId="134">
    <w:nsid w:val="2771AC80"/>
    <w:multiLevelType w:val="hybridMultilevel"/>
    <w:lvl w:ilvl="0">
      <w:lvlJc w:val="left"/>
      <w:lvlText w:val="%1."/>
      <w:numFmt w:val="decimal"/>
      <w:start w:val="1"/>
    </w:lvl>
  </w:abstractNum>
  <w:abstractNum w:abstractNumId="135">
    <w:nsid w:val="1C4A08EC"/>
    <w:multiLevelType w:val="hybridMultilevel"/>
    <w:lvl w:ilvl="0">
      <w:lvlJc w:val="left"/>
      <w:lvlText w:val="(%1)"/>
      <w:numFmt w:val="lowerLetter"/>
      <w:start w:val="1"/>
    </w:lvl>
  </w:abstractNum>
  <w:abstractNum w:abstractNumId="136">
    <w:nsid w:val="1958BD17"/>
    <w:multiLevelType w:val="hybridMultilevel"/>
    <w:lvl w:ilvl="0">
      <w:lvlJc w:val="left"/>
      <w:lvlText w:val="(%1)"/>
      <w:numFmt w:val="lowerLetter"/>
      <w:start w:val="2"/>
    </w:lvl>
  </w:abstractNum>
  <w:abstractNum w:abstractNumId="137">
    <w:nsid w:val="4E647FE4"/>
    <w:multiLevelType w:val="hybridMultilevel"/>
    <w:lvl w:ilvl="0">
      <w:lvlJc w:val="left"/>
      <w:lvlText w:val="(%1)"/>
      <w:numFmt w:val="lowerLetter"/>
      <w:start w:val="1"/>
    </w:lvl>
  </w:abstractNum>
  <w:abstractNum w:abstractNumId="138">
    <w:nsid w:val="E0BB885"/>
    <w:multiLevelType w:val="hybridMultilevel"/>
    <w:lvl w:ilvl="0">
      <w:lvlJc w:val="left"/>
      <w:lvlText w:val="(%1)"/>
      <w:numFmt w:val="lowerLetter"/>
      <w:start w:val="1"/>
    </w:lvl>
  </w:abstractNum>
  <w:abstractNum w:abstractNumId="139">
    <w:nsid w:val="565976F1"/>
    <w:multiLevelType w:val="hybridMultilevel"/>
    <w:lvl w:ilvl="0">
      <w:lvlJc w:val="left"/>
      <w:lvlText w:val="%1."/>
      <w:numFmt w:val="decimal"/>
      <w:start w:val="2"/>
    </w:lvl>
  </w:abstractNum>
  <w:abstractNum w:abstractNumId="140">
    <w:nsid w:val="64212B8C"/>
    <w:multiLevelType w:val="hybridMultilevel"/>
    <w:lvl w:ilvl="0">
      <w:lvlJc w:val="left"/>
      <w:lvlText w:val="%1."/>
      <w:numFmt w:val="decimal"/>
      <w:start w:val="3"/>
    </w:lvl>
  </w:abstractNum>
  <w:abstractNum w:abstractNumId="141">
    <w:nsid w:val="5C17530C"/>
    <w:multiLevelType w:val="hybridMultilevel"/>
    <w:lvl w:ilvl="0">
      <w:lvlJc w:val="left"/>
      <w:lvlText w:val="%1"/>
      <w:numFmt w:val="decimal"/>
      <w:start w:val="1"/>
    </w:lvl>
    <w:lvl w:ilvl="1">
      <w:lvlJc w:val="left"/>
      <w:lvlText w:val="(%2)"/>
      <w:numFmt w:val="lowerLetter"/>
      <w:start w:val="1"/>
    </w:lvl>
  </w:abstractNum>
  <w:abstractNum w:abstractNumId="142">
    <w:nsid w:val="19A52566"/>
    <w:multiLevelType w:val="hybridMultilevel"/>
    <w:lvl w:ilvl="0">
      <w:lvlJc w:val="left"/>
      <w:lvlText w:val="%1."/>
      <w:numFmt w:val="decimal"/>
      <w:start w:val="4"/>
    </w:lvl>
    <w:lvl w:ilvl="1">
      <w:lvlJc w:val="left"/>
      <w:lvlText w:val="%2"/>
      <w:numFmt w:val="lowerLetter"/>
      <w:start w:val="1"/>
    </w:lvl>
  </w:abstractNum>
  <w:abstractNum w:abstractNumId="143">
    <w:nsid w:val="335A1DF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44">
    <w:nsid w:val="28677B7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45">
    <w:nsid w:val="378D97C0"/>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46">
    <w:nsid w:val="1D91467C"/>
    <w:multiLevelType w:val="hybridMultilevel"/>
    <w:lvl w:ilvl="0">
      <w:lvlJc w:val="left"/>
      <w:lvlText w:val="%1"/>
      <w:numFmt w:val="lowerLetter"/>
      <w:start w:val="1"/>
    </w:lvl>
    <w:lvl w:ilvl="1">
      <w:lvlJc w:val="left"/>
      <w:lvlText w:val="(%2)"/>
      <w:numFmt w:val="lowerRoman"/>
      <w:start w:val="2"/>
    </w:lvl>
  </w:abstractNum>
  <w:abstractNum w:abstractNumId="147">
    <w:nsid w:val="316032BB"/>
    <w:multiLevelType w:val="hybridMultilevel"/>
    <w:lvl w:ilvl="0">
      <w:lvlJc w:val="left"/>
      <w:lvlText w:val="(%1)"/>
      <w:numFmt w:val="lowerLetter"/>
      <w:start w:val="2"/>
    </w:lvl>
    <w:lvl w:ilvl="1">
      <w:lvlJc w:val="left"/>
      <w:lvlText w:val="%2"/>
      <w:numFmt w:val="lowerRoman"/>
      <w:start w:val="1"/>
    </w:lvl>
  </w:abstractNum>
  <w:abstractNum w:abstractNumId="148">
    <w:nsid w:val="44344C22"/>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149">
    <w:nsid w:val="13CDFCFC"/>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150">
    <w:nsid w:val="471745E4"/>
    <w:multiLevelType w:val="hybridMultilevel"/>
    <w:lvl w:ilvl="0">
      <w:lvlJc w:val="left"/>
      <w:lvlText w:val="%1"/>
      <w:numFmt w:val="lowerLetter"/>
      <w:start w:val="1"/>
    </w:lvl>
    <w:lvl w:ilvl="1">
      <w:lvlJc w:val="left"/>
      <w:lvlText w:val="(%2)"/>
      <w:numFmt w:val="lowerRoman"/>
      <w:start w:val="2"/>
    </w:lvl>
  </w:abstractNum>
  <w:abstractNum w:abstractNumId="151">
    <w:nsid w:val="1DDBC66"/>
    <w:multiLevelType w:val="hybridMultilevel"/>
    <w:lvl w:ilvl="0">
      <w:lvlJc w:val="left"/>
      <w:lvlText w:val="(%1)"/>
      <w:numFmt w:val="lowerLetter"/>
      <w:start w:val="2"/>
    </w:lvl>
    <w:lvl w:ilvl="1">
      <w:lvlJc w:val="left"/>
      <w:lvlText w:val="(%2)"/>
      <w:numFmt w:val="lowerRoman"/>
      <w:start w:val="1"/>
    </w:lvl>
  </w:abstractNum>
  <w:abstractNum w:abstractNumId="152">
    <w:nsid w:val="30AADFDA"/>
    <w:multiLevelType w:val="hybridMultilevel"/>
    <w:lvl w:ilvl="0">
      <w:lvlJc w:val="left"/>
      <w:lvlText w:val="(%1)"/>
      <w:numFmt w:val="lowerLetter"/>
      <w:start w:val="3"/>
    </w:lvl>
  </w:abstractNum>
  <w:abstractNum w:abstractNumId="153">
    <w:nsid w:val="30EADA61"/>
    <w:multiLevelType w:val="hybridMultilevel"/>
    <w:lvl w:ilvl="0">
      <w:lvlJc w:val="left"/>
      <w:lvlText w:val="(%1)"/>
      <w:numFmt w:val="lowerLetter"/>
      <w:start w:val="1"/>
    </w:lvl>
  </w:abstractNum>
  <w:abstractNum w:abstractNumId="154">
    <w:nsid w:val="27179C0B"/>
    <w:multiLevelType w:val="hybridMultilevel"/>
    <w:lvl w:ilvl="0">
      <w:lvlJc w:val="left"/>
      <w:lvlText w:val="(%1)"/>
      <w:numFmt w:val="lowerLetter"/>
      <w:start w:val="3"/>
    </w:lvl>
    <w:lvl w:ilvl="1">
      <w:lvlJc w:val="left"/>
      <w:lvlText w:val="(%2)"/>
      <w:numFmt w:val="lowerRoman"/>
      <w:start w:val="1"/>
    </w:lvl>
  </w:abstractNum>
  <w:abstractNum w:abstractNumId="155">
    <w:nsid w:val="5E636063"/>
    <w:multiLevelType w:val="hybridMultilevel"/>
    <w:lvl w:ilvl="0">
      <w:lvlJc w:val="left"/>
      <w:lvlText w:val="(%1)"/>
      <w:numFmt w:val="upperLetter"/>
      <w:start w:val="1"/>
    </w:lvl>
    <w:lvl w:ilvl="1">
      <w:lvlJc w:val="left"/>
      <w:lvlText w:val="(%2)"/>
      <w:numFmt w:val="lowerRoman"/>
      <w:start w:val="4"/>
    </w:lvl>
  </w:abstractNum>
  <w:abstractNum w:abstractNumId="156">
    <w:nsid w:val="215641AF"/>
    <w:multiLevelType w:val="hybridMultilevel"/>
    <w:lvl w:ilvl="0">
      <w:lvlJc w:val="left"/>
      <w:lvlText w:val="(%1)"/>
      <w:numFmt w:val="lowerLetter"/>
      <w:start w:val="5"/>
    </w:lvl>
  </w:abstractNum>
  <w:abstractNum w:abstractNumId="157">
    <w:nsid w:val="53280662"/>
    <w:multiLevelType w:val="hybridMultilevel"/>
    <w:lvl w:ilvl="0">
      <w:lvlJc w:val="left"/>
      <w:lvlText w:val="(%1)"/>
      <w:numFmt w:val="lowerLetter"/>
      <w:start w:val="1"/>
    </w:lvl>
  </w:abstractNum>
  <w:abstractNum w:abstractNumId="158">
    <w:nsid w:val="46B24DBC"/>
    <w:multiLevelType w:val="hybridMultilevel"/>
    <w:lvl w:ilvl="0">
      <w:lvlJc w:val="left"/>
      <w:lvlText w:val="(%1)"/>
      <w:numFmt w:val="lowerLetter"/>
      <w:start w:val="2"/>
    </w:lvl>
    <w:lvl w:ilvl="1">
      <w:lvlJc w:val="left"/>
      <w:lvlText w:val="(%2)"/>
      <w:numFmt w:val="lowerRoman"/>
      <w:start w:val="1"/>
    </w:lvl>
  </w:abstractNum>
  <w:abstractNum w:abstractNumId="159">
    <w:nsid w:val="75B52783"/>
    <w:multiLevelType w:val="hybridMultilevel"/>
    <w:lvl w:ilvl="0">
      <w:lvlJc w:val="left"/>
      <w:lvlText w:val="%1"/>
      <w:numFmt w:val="decimal"/>
      <w:start w:val="1"/>
    </w:lvl>
    <w:lvl w:ilvl="1">
      <w:lvlJc w:val="left"/>
      <w:lvlText w:val="(%2)"/>
      <w:numFmt w:val="lowerLetter"/>
      <w:start w:val="6"/>
    </w:lvl>
  </w:abstractNum>
  <w:abstractNum w:abstractNumId="160">
    <w:nsid w:val="57CE66B4"/>
    <w:multiLevelType w:val="hybridMultilevel"/>
    <w:lvl w:ilvl="0">
      <w:lvlJc w:val="left"/>
      <w:lvlText w:val="%1."/>
      <w:numFmt w:val="decimal"/>
      <w:start w:val="5"/>
    </w:lvl>
    <w:lvl w:ilvl="1">
      <w:lvlJc w:val="left"/>
      <w:lvlText w:val="%2"/>
      <w:numFmt w:val="lowerLetter"/>
      <w:start w:val="1"/>
    </w:lvl>
  </w:abstractNum>
  <w:abstractNum w:abstractNumId="161">
    <w:nsid w:val="67A70B69"/>
    <w:multiLevelType w:val="hybridMultilevel"/>
    <w:lvl w:ilvl="0">
      <w:lvlJc w:val="left"/>
      <w:lvlText w:val="%1."/>
      <w:numFmt w:val="decimal"/>
      <w:start w:val="1"/>
    </w:lvl>
  </w:abstractNum>
  <w:abstractNum w:abstractNumId="162">
    <w:nsid w:val="5953172F"/>
    <w:multiLevelType w:val="hybridMultilevel"/>
    <w:lvl w:ilvl="0">
      <w:lvlJc w:val="left"/>
      <w:lvlText w:val="%1."/>
      <w:numFmt w:val="decimal"/>
      <w:start w:val="5"/>
    </w:lvl>
  </w:abstractNum>
  <w:abstractNum w:abstractNumId="163">
    <w:nsid w:val="27EDFE3A"/>
    <w:multiLevelType w:val="hybridMultilevel"/>
    <w:lvl w:ilvl="0">
      <w:lvlJc w:val="left"/>
      <w:lvlText w:val="%1."/>
      <w:numFmt w:val="decimal"/>
      <w:start w:val="1"/>
    </w:lvl>
  </w:abstractNum>
  <w:abstractNum w:abstractNumId="164">
    <w:nsid w:val="52AC7DFF"/>
    <w:multiLevelType w:val="hybridMultilevel"/>
    <w:lvl w:ilvl="0">
      <w:lvlJc w:val="left"/>
      <w:lvlText w:val="(%1)"/>
      <w:numFmt w:val="lowerLetter"/>
      <w:start w:val="1"/>
    </w:lvl>
  </w:abstractNum>
  <w:abstractNum w:abstractNumId="165">
    <w:nsid w:val="C4C3AF"/>
    <w:multiLevelType w:val="hybridMultilevel"/>
    <w:lvl w:ilvl="0">
      <w:lvlJc w:val="left"/>
      <w:lvlText w:val="(%1)"/>
      <w:numFmt w:val="lowerLetter"/>
      <w:start w:val="2"/>
    </w:lvl>
  </w:abstractNum>
  <w:abstractNum w:abstractNumId="166">
    <w:nsid w:val="44380727"/>
    <w:multiLevelType w:val="hybridMultilevel"/>
    <w:lvl w:ilvl="0">
      <w:lvlJc w:val="left"/>
      <w:lvlText w:val="(%1)"/>
      <w:numFmt w:val="lowerLetter"/>
      <w:start w:val="1"/>
    </w:lvl>
  </w:abstractNum>
  <w:abstractNum w:abstractNumId="167">
    <w:nsid w:val="6C053B16"/>
    <w:multiLevelType w:val="hybridMultilevel"/>
    <w:lvl w:ilvl="0">
      <w:lvlJc w:val="left"/>
      <w:lvlText w:val="(%1)"/>
      <w:numFmt w:val="lowerLetter"/>
      <w:start w:val="1"/>
    </w:lvl>
  </w:abstractNum>
  <w:abstractNum w:abstractNumId="168">
    <w:nsid w:val="4F294393"/>
    <w:multiLevelType w:val="hybridMultilevel"/>
    <w:lvl w:ilvl="0">
      <w:lvlJc w:val="left"/>
      <w:lvlText w:val="%1."/>
      <w:numFmt w:val="decimal"/>
      <w:start w:val="2"/>
    </w:lvl>
  </w:abstractNum>
  <w:abstractNum w:abstractNumId="169">
    <w:nsid w:val="5243BFAC"/>
    <w:multiLevelType w:val="hybridMultilevel"/>
    <w:lvl w:ilvl="0">
      <w:lvlJc w:val="left"/>
      <w:lvlText w:val="%1."/>
      <w:numFmt w:val="decimal"/>
      <w:start w:val="3"/>
    </w:lvl>
  </w:abstractNum>
  <w:abstractNum w:abstractNumId="170">
    <w:nsid w:val="425EB207"/>
    <w:multiLevelType w:val="hybridMultilevel"/>
    <w:lvl w:ilvl="0">
      <w:lvlJc w:val="left"/>
      <w:lvlText w:val="%1"/>
      <w:numFmt w:val="decimal"/>
      <w:start w:val="1"/>
    </w:lvl>
    <w:lvl w:ilvl="1">
      <w:lvlJc w:val="left"/>
      <w:lvlText w:val="(%2)"/>
      <w:numFmt w:val="lowerLetter"/>
      <w:start w:val="1"/>
    </w:lvl>
  </w:abstractNum>
  <w:abstractNum w:abstractNumId="171">
    <w:nsid w:val="334A6F1F"/>
    <w:multiLevelType w:val="hybridMultilevel"/>
    <w:lvl w:ilvl="0">
      <w:lvlJc w:val="left"/>
      <w:lvlText w:val="%1."/>
      <w:numFmt w:val="decimal"/>
      <w:start w:val="4"/>
    </w:lvl>
    <w:lvl w:ilvl="1">
      <w:lvlJc w:val="left"/>
      <w:lvlText w:val="%2"/>
      <w:numFmt w:val="lowerLetter"/>
      <w:start w:val="1"/>
    </w:lvl>
  </w:abstractNum>
  <w:abstractNum w:abstractNumId="172">
    <w:nsid w:val="2E5B12B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73">
    <w:nsid w:val="5C03D76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74">
    <w:nsid w:val="66A48D11"/>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75">
    <w:nsid w:val="56C28E34"/>
    <w:multiLevelType w:val="hybridMultilevel"/>
    <w:lvl w:ilvl="0">
      <w:lvlJc w:val="left"/>
      <w:lvlText w:val="%1"/>
      <w:numFmt w:val="lowerLetter"/>
      <w:start w:val="1"/>
    </w:lvl>
    <w:lvl w:ilvl="1">
      <w:lvlJc w:val="left"/>
      <w:lvlText w:val="(%2)"/>
      <w:numFmt w:val="lowerRoman"/>
      <w:start w:val="2"/>
    </w:lvl>
  </w:abstractNum>
  <w:abstractNum w:abstractNumId="176">
    <w:nsid w:val="13916F2D"/>
    <w:multiLevelType w:val="hybridMultilevel"/>
    <w:lvl w:ilvl="0">
      <w:lvlJc w:val="left"/>
      <w:lvlText w:val="(%1)"/>
      <w:numFmt w:val="lowerLetter"/>
      <w:start w:val="2"/>
    </w:lvl>
    <w:lvl w:ilvl="1">
      <w:lvlJc w:val="left"/>
      <w:lvlText w:val="%2"/>
      <w:numFmt w:val="lowerRoman"/>
      <w:start w:val="1"/>
    </w:lvl>
  </w:abstractNum>
  <w:abstractNum w:abstractNumId="177">
    <w:nsid w:val="435D38D"/>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178">
    <w:nsid w:val="822C0EF"/>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179">
    <w:nsid w:val="57C5BB4F"/>
    <w:multiLevelType w:val="hybridMultilevel"/>
    <w:lvl w:ilvl="0">
      <w:lvlJc w:val="left"/>
      <w:lvlText w:val="%1"/>
      <w:numFmt w:val="lowerLetter"/>
      <w:start w:val="1"/>
    </w:lvl>
    <w:lvl w:ilvl="1">
      <w:lvlJc w:val="left"/>
      <w:lvlText w:val="(%2)"/>
      <w:numFmt w:val="lowerRoman"/>
      <w:start w:val="2"/>
    </w:lvl>
  </w:abstractNum>
  <w:abstractNum w:abstractNumId="180">
    <w:nsid w:val="1803D089"/>
    <w:multiLevelType w:val="hybridMultilevel"/>
    <w:lvl w:ilvl="0">
      <w:lvlJc w:val="left"/>
      <w:lvlText w:val="(%1)"/>
      <w:numFmt w:val="lowerLetter"/>
      <w:start w:val="2"/>
    </w:lvl>
    <w:lvl w:ilvl="1">
      <w:lvlJc w:val="left"/>
      <w:lvlText w:val="(%2)"/>
      <w:numFmt w:val="lowerRoman"/>
      <w:start w:val="1"/>
    </w:lvl>
  </w:abstractNum>
  <w:abstractNum w:abstractNumId="181">
    <w:nsid w:val="4F3A06D4"/>
    <w:multiLevelType w:val="hybridMultilevel"/>
    <w:lvl w:ilvl="0">
      <w:lvlJc w:val="left"/>
      <w:lvlText w:val="(%1)"/>
      <w:numFmt w:val="lowerLetter"/>
      <w:start w:val="3"/>
    </w:lvl>
  </w:abstractNum>
  <w:abstractNum w:abstractNumId="182">
    <w:nsid w:val="59A377B6"/>
    <w:multiLevelType w:val="hybridMultilevel"/>
    <w:lvl w:ilvl="0">
      <w:lvlJc w:val="left"/>
      <w:lvlText w:val="(%1)"/>
      <w:numFmt w:val="lowerLetter"/>
      <w:start w:val="1"/>
    </w:lvl>
  </w:abstractNum>
  <w:abstractNum w:abstractNumId="183">
    <w:nsid w:val="48AEB063"/>
    <w:multiLevelType w:val="hybridMultilevel"/>
    <w:lvl w:ilvl="0">
      <w:lvlJc w:val="left"/>
      <w:lvlText w:val="(%1)"/>
      <w:numFmt w:val="lowerLetter"/>
      <w:start w:val="3"/>
    </w:lvl>
    <w:lvl w:ilvl="1">
      <w:lvlJc w:val="left"/>
      <w:lvlText w:val="(%2)"/>
      <w:numFmt w:val="lowerRoman"/>
      <w:start w:val="1"/>
    </w:lvl>
  </w:abstractNum>
  <w:abstractNum w:abstractNumId="184">
    <w:nsid w:val="24E135"/>
    <w:multiLevelType w:val="hybridMultilevel"/>
    <w:lvl w:ilvl="0">
      <w:lvlJc w:val="left"/>
      <w:lvlText w:val="(%1)"/>
      <w:numFmt w:val="upperLetter"/>
      <w:start w:val="1"/>
    </w:lvl>
    <w:lvl w:ilvl="1">
      <w:lvlJc w:val="left"/>
      <w:lvlText w:val="(%2)"/>
      <w:numFmt w:val="lowerRoman"/>
      <w:start w:val="4"/>
    </w:lvl>
  </w:abstractNum>
  <w:abstractNum w:abstractNumId="185">
    <w:nsid w:val="BB13C1"/>
    <w:multiLevelType w:val="hybridMultilevel"/>
    <w:lvl w:ilvl="0">
      <w:lvlJc w:val="left"/>
      <w:lvlText w:val="(%1)"/>
      <w:numFmt w:val="lowerLetter"/>
      <w:start w:val="5"/>
    </w:lvl>
  </w:abstractNum>
  <w:abstractNum w:abstractNumId="186">
    <w:nsid w:val="271210C7"/>
    <w:multiLevelType w:val="hybridMultilevel"/>
    <w:lvl w:ilvl="0">
      <w:lvlJc w:val="left"/>
      <w:lvlText w:val="(%1)"/>
      <w:numFmt w:val="lowerLetter"/>
      <w:start w:val="1"/>
    </w:lvl>
  </w:abstractNum>
  <w:abstractNum w:abstractNumId="187">
    <w:nsid w:val="217B22E4"/>
    <w:multiLevelType w:val="hybridMultilevel"/>
    <w:lvl w:ilvl="0">
      <w:lvlJc w:val="left"/>
      <w:lvlText w:val="(%1)"/>
      <w:numFmt w:val="lowerLetter"/>
      <w:start w:val="2"/>
    </w:lvl>
    <w:lvl w:ilvl="1">
      <w:lvlJc w:val="left"/>
      <w:lvlText w:val="(%2)"/>
      <w:numFmt w:val="lowerRoman"/>
      <w:start w:val="1"/>
    </w:lvl>
  </w:abstractNum>
  <w:abstractNum w:abstractNumId="188">
    <w:nsid w:val="53E31A24"/>
    <w:multiLevelType w:val="hybridMultilevel"/>
    <w:lvl w:ilvl="0">
      <w:lvlJc w:val="left"/>
      <w:lvlText w:val="%1"/>
      <w:numFmt w:val="decimal"/>
      <w:start w:val="1"/>
    </w:lvl>
    <w:lvl w:ilvl="1">
      <w:lvlJc w:val="left"/>
      <w:lvlText w:val="(%2)"/>
      <w:numFmt w:val="lowerLetter"/>
      <w:start w:val="6"/>
    </w:lvl>
  </w:abstractNum>
  <w:abstractNum w:abstractNumId="189">
    <w:nsid w:val="6DC45E83"/>
    <w:multiLevelType w:val="hybridMultilevel"/>
    <w:lvl w:ilvl="0">
      <w:lvlJc w:val="left"/>
      <w:lvlText w:val="%1."/>
      <w:numFmt w:val="decimal"/>
      <w:start w:val="5"/>
    </w:lvl>
    <w:lvl w:ilvl="1">
      <w:lvlJc w:val="left"/>
      <w:lvlText w:val="%2"/>
      <w:numFmt w:val="lowerLetter"/>
      <w:start w:val="1"/>
    </w:lvl>
  </w:abstractNum>
  <w:abstractNum w:abstractNumId="190">
    <w:nsid w:val="17304A67"/>
    <w:multiLevelType w:val="hybridMultilevel"/>
    <w:lvl w:ilvl="0">
      <w:lvlJc w:val="left"/>
      <w:lvlText w:val="%1."/>
      <w:numFmt w:val="decimal"/>
      <w:start w:val="1"/>
    </w:lvl>
  </w:abstractNum>
  <w:abstractNum w:abstractNumId="191">
    <w:nsid w:val="2BB180D8"/>
    <w:multiLevelType w:val="hybridMultilevel"/>
    <w:lvl w:ilvl="0">
      <w:lvlJc w:val="left"/>
      <w:lvlText w:val="%1."/>
      <w:numFmt w:val="decimal"/>
      <w:start w:val="5"/>
    </w:lvl>
  </w:abstractNum>
  <w:abstractNum w:abstractNumId="192">
    <w:nsid w:val="556B69ED"/>
    <w:multiLevelType w:val="hybridMultilevel"/>
    <w:lvl w:ilvl="0">
      <w:lvlJc w:val="left"/>
      <w:lvlText w:val="%1."/>
      <w:numFmt w:val="decimal"/>
      <w:start w:val="1"/>
    </w:lvl>
  </w:abstractNum>
  <w:abstractNum w:abstractNumId="193">
    <w:nsid w:val="70836196"/>
    <w:multiLevelType w:val="hybridMultilevel"/>
    <w:lvl w:ilvl="0">
      <w:lvlJc w:val="left"/>
      <w:lvlText w:val="(%1)"/>
      <w:numFmt w:val="lowerLetter"/>
      <w:start w:val="1"/>
    </w:lvl>
  </w:abstractNum>
  <w:abstractNum w:abstractNumId="194">
    <w:nsid w:val="539F7F12"/>
    <w:multiLevelType w:val="hybridMultilevel"/>
    <w:lvl w:ilvl="0">
      <w:lvlJc w:val="left"/>
      <w:lvlText w:val="(%1)"/>
      <w:numFmt w:val="lowerLetter"/>
      <w:start w:val="2"/>
    </w:lvl>
  </w:abstractNum>
  <w:abstractNum w:abstractNumId="195">
    <w:nsid w:val="2817E7EC"/>
    <w:multiLevelType w:val="hybridMultilevel"/>
    <w:lvl w:ilvl="0">
      <w:lvlJc w:val="left"/>
      <w:lvlText w:val="(%1)"/>
      <w:numFmt w:val="lowerLetter"/>
      <w:start w:val="1"/>
    </w:lvl>
  </w:abstractNum>
  <w:abstractNum w:abstractNumId="196">
    <w:nsid w:val="71482545"/>
    <w:multiLevelType w:val="hybridMultilevel"/>
    <w:lvl w:ilvl="0">
      <w:lvlJc w:val="left"/>
      <w:lvlText w:val="(%1)"/>
      <w:numFmt w:val="lowerLetter"/>
      <w:start w:val="1"/>
    </w:lvl>
  </w:abstractNum>
  <w:abstractNum w:abstractNumId="197">
    <w:nsid w:val="17D78639"/>
    <w:multiLevelType w:val="hybridMultilevel"/>
    <w:lvl w:ilvl="0">
      <w:lvlJc w:val="left"/>
      <w:lvlText w:val="%1."/>
      <w:numFmt w:val="decimal"/>
      <w:start w:val="2"/>
    </w:lvl>
  </w:abstractNum>
  <w:abstractNum w:abstractNumId="198">
    <w:nsid w:val="141D2302"/>
    <w:multiLevelType w:val="hybridMultilevel"/>
    <w:lvl w:ilvl="0">
      <w:lvlJc w:val="left"/>
      <w:lvlText w:val="%1."/>
      <w:numFmt w:val="decimal"/>
      <w:start w:val="3"/>
    </w:lvl>
  </w:abstractNum>
  <w:abstractNum w:abstractNumId="199">
    <w:nsid w:val="407168D8"/>
    <w:multiLevelType w:val="hybridMultilevel"/>
    <w:lvl w:ilvl="0">
      <w:lvlJc w:val="left"/>
      <w:lvlText w:val="%1"/>
      <w:numFmt w:val="decimal"/>
      <w:start w:val="1"/>
    </w:lvl>
    <w:lvl w:ilvl="1">
      <w:lvlJc w:val="left"/>
      <w:lvlText w:val="(%2)"/>
      <w:numFmt w:val="lowerLetter"/>
      <w:start w:val="1"/>
    </w:lvl>
  </w:abstractNum>
  <w:abstractNum w:abstractNumId="200">
    <w:nsid w:val="6A1B45E5"/>
    <w:multiLevelType w:val="hybridMultilevel"/>
    <w:lvl w:ilvl="0">
      <w:lvlJc w:val="left"/>
      <w:lvlText w:val="%1."/>
      <w:numFmt w:val="decimal"/>
      <w:start w:val="4"/>
    </w:lvl>
    <w:lvl w:ilvl="1">
      <w:lvlJc w:val="left"/>
      <w:lvlText w:val="%2"/>
      <w:numFmt w:val="lowerLetter"/>
      <w:start w:val="1"/>
    </w:lvl>
  </w:abstractNum>
  <w:abstractNum w:abstractNumId="201">
    <w:nsid w:val="567BD50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02">
    <w:nsid w:val="73BBD7F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03">
    <w:nsid w:val="1876589D"/>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204">
    <w:nsid w:val="327FAC77"/>
    <w:multiLevelType w:val="hybridMultilevel"/>
    <w:lvl w:ilvl="0">
      <w:lvlJc w:val="left"/>
      <w:lvlText w:val="%1"/>
      <w:numFmt w:val="lowerLetter"/>
      <w:start w:val="1"/>
    </w:lvl>
    <w:lvl w:ilvl="1">
      <w:lvlJc w:val="left"/>
      <w:lvlText w:val="(%2)"/>
      <w:numFmt w:val="lowerRoman"/>
      <w:start w:val="2"/>
    </w:lvl>
  </w:abstractNum>
  <w:abstractNum w:abstractNumId="205">
    <w:nsid w:val="5A606509"/>
    <w:multiLevelType w:val="hybridMultilevel"/>
    <w:lvl w:ilvl="0">
      <w:lvlJc w:val="left"/>
      <w:lvlText w:val="(%1)"/>
      <w:numFmt w:val="lowerLetter"/>
      <w:start w:val="2"/>
    </w:lvl>
    <w:lvl w:ilvl="1">
      <w:lvlJc w:val="left"/>
      <w:lvlText w:val="%2"/>
      <w:numFmt w:val="lowerRoman"/>
      <w:start w:val="1"/>
    </w:lvl>
  </w:abstractNum>
  <w:abstractNum w:abstractNumId="206">
    <w:nsid w:val="6F38E6D1"/>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207">
    <w:nsid w:val="46111BA5"/>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208">
    <w:nsid w:val="5E963896"/>
    <w:multiLevelType w:val="hybridMultilevel"/>
    <w:lvl w:ilvl="0">
      <w:lvlJc w:val="left"/>
      <w:lvlText w:val="%1"/>
      <w:numFmt w:val="lowerLetter"/>
      <w:start w:val="1"/>
    </w:lvl>
    <w:lvl w:ilvl="1">
      <w:lvlJc w:val="left"/>
      <w:lvlText w:val="(%2)"/>
      <w:numFmt w:val="lowerRoman"/>
      <w:start w:val="2"/>
    </w:lvl>
  </w:abstractNum>
  <w:abstractNum w:abstractNumId="209">
    <w:nsid w:val="775BA7C1"/>
    <w:multiLevelType w:val="hybridMultilevel"/>
    <w:lvl w:ilvl="0">
      <w:lvlJc w:val="left"/>
      <w:lvlText w:val="(%1)"/>
      <w:numFmt w:val="lowerLetter"/>
      <w:start w:val="2"/>
    </w:lvl>
    <w:lvl w:ilvl="1">
      <w:lvlJc w:val="left"/>
      <w:lvlText w:val="(%2)"/>
      <w:numFmt w:val="lowerRoman"/>
      <w:start w:val="1"/>
    </w:lvl>
  </w:abstractNum>
  <w:abstractNum w:abstractNumId="210">
    <w:nsid w:val="1DD6D6F4"/>
    <w:multiLevelType w:val="hybridMultilevel"/>
    <w:lvl w:ilvl="0">
      <w:lvlJc w:val="left"/>
      <w:lvlText w:val="(%1)"/>
      <w:numFmt w:val="lowerLetter"/>
      <w:start w:val="3"/>
    </w:lvl>
  </w:abstractNum>
  <w:abstractNum w:abstractNumId="211">
    <w:nsid w:val="769A091F"/>
    <w:multiLevelType w:val="hybridMultilevel"/>
    <w:lvl w:ilvl="0">
      <w:lvlJc w:val="left"/>
      <w:lvlText w:val="(%1)"/>
      <w:numFmt w:val="lowerLetter"/>
      <w:start w:val="1"/>
    </w:lvl>
  </w:abstractNum>
  <w:abstractNum w:abstractNumId="212">
    <w:nsid w:val="4695AE95"/>
    <w:multiLevelType w:val="hybridMultilevel"/>
    <w:lvl w:ilvl="0">
      <w:lvlJc w:val="left"/>
      <w:lvlText w:val="(%1)"/>
      <w:numFmt w:val="lowerLetter"/>
      <w:start w:val="3"/>
    </w:lvl>
    <w:lvl w:ilvl="1">
      <w:lvlJc w:val="left"/>
      <w:lvlText w:val="(%2)"/>
      <w:numFmt w:val="lowerRoman"/>
      <w:start w:val="1"/>
    </w:lvl>
  </w:abstractNum>
  <w:abstractNum w:abstractNumId="213">
    <w:nsid w:val="777A4EAA"/>
    <w:multiLevelType w:val="hybridMultilevel"/>
    <w:lvl w:ilvl="0">
      <w:lvlJc w:val="left"/>
      <w:lvlText w:val="(%1)"/>
      <w:numFmt w:val="upperLetter"/>
      <w:start w:val="1"/>
    </w:lvl>
    <w:lvl w:ilvl="1">
      <w:lvlJc w:val="left"/>
      <w:lvlText w:val="(%2)"/>
      <w:numFmt w:val="lowerRoman"/>
      <w:start w:val="4"/>
    </w:lvl>
  </w:abstractNum>
  <w:abstractNum w:abstractNumId="214">
    <w:nsid w:val="3F48B982"/>
    <w:multiLevelType w:val="hybridMultilevel"/>
    <w:lvl w:ilvl="0">
      <w:lvlJc w:val="left"/>
      <w:lvlText w:val="(%1)"/>
      <w:numFmt w:val="lowerLetter"/>
      <w:start w:val="5"/>
    </w:lvl>
  </w:abstractNum>
  <w:abstractNum w:abstractNumId="215">
    <w:nsid w:val="46BA8FCA"/>
    <w:multiLevelType w:val="hybridMultilevel"/>
    <w:lvl w:ilvl="0">
      <w:lvlJc w:val="left"/>
      <w:lvlText w:val="(%1)"/>
      <w:numFmt w:val="lowerLetter"/>
      <w:start w:val="1"/>
    </w:lvl>
  </w:abstractNum>
  <w:abstractNum w:abstractNumId="216">
    <w:nsid w:val="7835626C"/>
    <w:multiLevelType w:val="hybridMultilevel"/>
    <w:lvl w:ilvl="0">
      <w:lvlJc w:val="left"/>
      <w:lvlText w:val="(%1)"/>
      <w:numFmt w:val="lowerLetter"/>
      <w:start w:val="2"/>
    </w:lvl>
    <w:lvl w:ilvl="1">
      <w:lvlJc w:val="left"/>
      <w:lvlText w:val="(%2)"/>
      <w:numFmt w:val="lowerRoman"/>
      <w:start w:val="1"/>
    </w:lvl>
  </w:abstractNum>
  <w:abstractNum w:abstractNumId="217">
    <w:nsid w:val="665ACA49"/>
    <w:multiLevelType w:val="hybridMultilevel"/>
    <w:lvl w:ilvl="0">
      <w:lvlJc w:val="left"/>
      <w:lvlText w:val="%1"/>
      <w:numFmt w:val="decimal"/>
      <w:start w:val="1"/>
    </w:lvl>
    <w:lvl w:ilvl="1">
      <w:lvlJc w:val="left"/>
      <w:lvlText w:val="(%2)"/>
      <w:numFmt w:val="lowerLetter"/>
      <w:start w:val="6"/>
    </w:lvl>
  </w:abstractNum>
  <w:abstractNum w:abstractNumId="218">
    <w:nsid w:val="6835B2AE"/>
    <w:multiLevelType w:val="hybridMultilevel"/>
    <w:lvl w:ilvl="0">
      <w:lvlJc w:val="left"/>
      <w:lvlText w:val="%1."/>
      <w:numFmt w:val="decimal"/>
      <w:start w:val="5"/>
    </w:lvl>
    <w:lvl w:ilvl="1">
      <w:lvlJc w:val="left"/>
      <w:lvlText w:val="%2"/>
      <w:numFmt w:val="lowerLetter"/>
      <w:start w:val="1"/>
    </w:lvl>
  </w:abstractNum>
  <w:abstractNum w:abstractNumId="219">
    <w:nsid w:val="4C187C90"/>
    <w:multiLevelType w:val="hybridMultilevel"/>
    <w:lvl w:ilvl="0">
      <w:lvlJc w:val="left"/>
      <w:lvlText w:val="%1."/>
      <w:numFmt w:val="decimal"/>
      <w:start w:val="1"/>
    </w:lvl>
  </w:abstractNum>
  <w:abstractNum w:abstractNumId="220">
    <w:nsid w:val="541F28CD"/>
    <w:multiLevelType w:val="hybridMultilevel"/>
    <w:lvl w:ilvl="0">
      <w:lvlJc w:val="left"/>
      <w:lvlText w:val="%1."/>
      <w:numFmt w:val="decimal"/>
      <w:start w:val="5"/>
    </w:lvl>
  </w:abstractNum>
  <w:abstractNum w:abstractNumId="221">
    <w:nsid w:val="7F65FD16"/>
    <w:multiLevelType w:val="hybridMultilevel"/>
    <w:lvl w:ilvl="0">
      <w:lvlJc w:val="left"/>
      <w:lvlText w:val="%1."/>
      <w:numFmt w:val="decimal"/>
      <w:start w:val="1"/>
    </w:lvl>
  </w:abstractNum>
  <w:abstractNum w:abstractNumId="222">
    <w:nsid w:val="77C9FD68"/>
    <w:multiLevelType w:val="hybridMultilevel"/>
    <w:lvl w:ilvl="0">
      <w:lvlJc w:val="left"/>
      <w:lvlText w:val="%1."/>
      <w:numFmt w:val="decimal"/>
      <w:start w:val="2"/>
    </w:lvl>
  </w:abstractNum>
  <w:abstractNum w:abstractNumId="223">
    <w:nsid w:val="298A92BA"/>
    <w:multiLevelType w:val="hybridMultilevel"/>
    <w:lvl w:ilvl="0">
      <w:lvlJc w:val="left"/>
      <w:lvlText w:val="%1."/>
      <w:numFmt w:val="decimal"/>
      <w:start w:val="3"/>
    </w:lvl>
  </w:abstractNum>
  <w:abstractNum w:abstractNumId="224">
    <w:nsid w:val="6FE95EAC"/>
    <w:multiLevelType w:val="hybridMultilevel"/>
    <w:lvl w:ilvl="0">
      <w:lvlJc w:val="left"/>
      <w:lvlText w:val="%1."/>
      <w:numFmt w:val="decimal"/>
      <w:start w:val="4"/>
    </w:lvl>
    <w:lvl w:ilvl="1">
      <w:lvlJc w:val="left"/>
      <w:lvlText w:val="(%2)"/>
      <w:numFmt w:val="decimal"/>
      <w:start w:val="1"/>
    </w:lvl>
  </w:abstractNum>
  <w:abstractNum w:abstractNumId="225">
    <w:nsid w:val="4B697C7A"/>
    <w:multiLevelType w:val="hybridMultilevel"/>
    <w:lvl w:ilvl="0">
      <w:lvlJc w:val="left"/>
      <w:lvlText w:val="(%1)"/>
      <w:numFmt w:val="lowerLetter"/>
      <w:start w:val="1"/>
    </w:lvl>
    <w:lvl w:ilvl="1">
      <w:lvlJc w:val="left"/>
      <w:lvlText w:val="(%2)"/>
      <w:numFmt w:val="lowerRoman"/>
      <w:start w:val="1"/>
    </w:lvl>
  </w:abstractNum>
  <w:abstractNum w:abstractNumId="226">
    <w:nsid w:val="51A27AA6"/>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27">
    <w:nsid w:val="613183F2"/>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28">
    <w:nsid w:val="634102B4"/>
    <w:multiLevelType w:val="hybridMultilevel"/>
    <w:lvl w:ilvl="0">
      <w:lvlJc w:val="left"/>
      <w:lvlText w:val="%1"/>
      <w:numFmt w:val="decimal"/>
      <w:start w:val="1"/>
    </w:lvl>
    <w:lvl w:ilvl="1">
      <w:lvlJc w:val="left"/>
      <w:lvlText w:val="(%2)"/>
      <w:numFmt w:val="lowerLetter"/>
      <w:start w:val="3"/>
    </w:lvl>
  </w:abstractNum>
  <w:abstractNum w:abstractNumId="229">
    <w:nsid w:val="65BF9DA8"/>
    <w:multiLevelType w:val="hybridMultilevel"/>
    <w:lvl w:ilvl="0">
      <w:lvlJc w:val="left"/>
      <w:lvlText w:val="%1."/>
      <w:numFmt w:val="decimal"/>
      <w:start w:val="7"/>
    </w:lvl>
    <w:lvl w:ilvl="1">
      <w:lvlJc w:val="left"/>
      <w:lvlText w:val="%2"/>
      <w:numFmt w:val="lowerLetter"/>
      <w:start w:val="1"/>
    </w:lvl>
  </w:abstractNum>
  <w:abstractNum w:abstractNumId="230">
    <w:nsid w:val="21A2ECCA"/>
    <w:multiLevelType w:val="hybridMultilevel"/>
    <w:lvl w:ilvl="0">
      <w:lvlJc w:val="left"/>
      <w:lvlText w:val="%1."/>
      <w:numFmt w:val="decimal"/>
      <w:start w:val="8"/>
    </w:lvl>
  </w:abstractNum>
  <w:abstractNum w:abstractNumId="231">
    <w:nsid w:val="4D5C4899"/>
    <w:multiLevelType w:val="hybridMultilevel"/>
    <w:lvl w:ilvl="0">
      <w:lvlJc w:val="left"/>
      <w:lvlText w:val="%1."/>
      <w:numFmt w:val="decimal"/>
      <w:start w:val="9"/>
    </w:lvl>
  </w:abstractNum>
  <w:abstractNum w:abstractNumId="232">
    <w:nsid w:val="3C3B72B2"/>
    <w:multiLevelType w:val="hybridMultilevel"/>
    <w:lvl w:ilvl="0">
      <w:lvlJc w:val="left"/>
      <w:lvlText w:val="%1."/>
      <w:numFmt w:val="decimal"/>
      <w:start w:val="10"/>
    </w:lvl>
  </w:abstractNum>
  <w:abstractNum w:abstractNumId="233">
    <w:nsid w:val="155EC4C2"/>
    <w:multiLevelType w:val="hybridMultilevel"/>
    <w:lvl w:ilvl="0">
      <w:lvlJc w:val="left"/>
      <w:lvlText w:val="%1."/>
      <w:numFmt w:val="decimal"/>
      <w:start w:val="11"/>
    </w:lvl>
  </w:abstractNum>
  <w:abstractNum w:abstractNumId="234">
    <w:nsid w:val="65D2A137"/>
    <w:multiLevelType w:val="hybridMultilevel"/>
    <w:lvl w:ilvl="0">
      <w:lvlJc w:val="left"/>
      <w:lvlText w:val="%1."/>
      <w:numFmt w:val="decimal"/>
      <w:start w:val="12"/>
    </w:lvl>
  </w:abstractNum>
  <w:abstractNum w:abstractNumId="235">
    <w:nsid w:val="6EBB1F2A"/>
    <w:multiLevelType w:val="hybridMultilevel"/>
    <w:lvl w:ilvl="0">
      <w:lvlJc w:val="left"/>
      <w:lvlText w:val="%1."/>
      <w:numFmt w:val="decimal"/>
      <w:start w:val="13"/>
    </w:lvl>
  </w:abstractNum>
  <w:abstractNum w:abstractNumId="236">
    <w:nsid w:val="6FBF29CB"/>
    <w:multiLevelType w:val="hybridMultilevel"/>
    <w:lvl w:ilvl="0">
      <w:lvlJc w:val="left"/>
      <w:lvlText w:val="%1."/>
      <w:numFmt w:val="decimal"/>
      <w:start w:val="1"/>
    </w:lvl>
  </w:abstractNum>
  <w:abstractNum w:abstractNumId="237">
    <w:nsid w:val="550B8808"/>
    <w:multiLevelType w:val="hybridMultilevel"/>
    <w:lvl w:ilvl="0">
      <w:lvlJc w:val="left"/>
      <w:lvlText w:val="%1."/>
      <w:numFmt w:val="decimal"/>
      <w:start w:val="2"/>
    </w:lvl>
  </w:abstractNum>
  <w:abstractNum w:abstractNumId="238">
    <w:nsid w:val="34CC3ACF"/>
    <w:multiLevelType w:val="hybridMultilevel"/>
    <w:lvl w:ilvl="0">
      <w:lvlJc w:val="left"/>
      <w:lvlText w:val="%1."/>
      <w:numFmt w:val="decimal"/>
      <w:start w:val="3"/>
    </w:lvl>
    <w:lvl w:ilvl="1">
      <w:lvlJc w:val="left"/>
      <w:lvlText w:val="(%2)"/>
      <w:numFmt w:val="lowerLetter"/>
      <w:start w:val="1"/>
    </w:lvl>
  </w:abstractNum>
  <w:abstractNum w:abstractNumId="239">
    <w:nsid w:val="4E556261"/>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240">
    <w:nsid w:val="4C672FC9"/>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241">
    <w:nsid w:val="52A311C3"/>
    <w:multiLevelType w:val="hybridMultilevel"/>
    <w:lvl w:ilvl="0">
      <w:lvlJc w:val="left"/>
      <w:lvlText w:val="(%1)"/>
      <w:numFmt w:val="lowerLetter"/>
      <w:start w:val="2"/>
    </w:lvl>
    <w:lvl w:ilvl="1">
      <w:lvlJc w:val="left"/>
      <w:lvlText w:val="(%2)"/>
      <w:numFmt w:val="decimal"/>
      <w:start w:val="1"/>
    </w:lvl>
  </w:abstractNum>
  <w:abstractNum w:abstractNumId="242">
    <w:nsid w:val="44EF6B80"/>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abstractNum>
  <w:abstractNum w:abstractNumId="243">
    <w:nsid w:val="12FCDE5E"/>
    <w:multiLevelType w:val="hybridMultilevel"/>
    <w:lvl w:ilvl="0">
      <w:lvlJc w:val="left"/>
      <w:lvlText w:val="%1"/>
      <w:numFmt w:val="decimal"/>
      <w:start w:val="1"/>
    </w:lvl>
    <w:lvl w:ilvl="1">
      <w:lvlJc w:val="left"/>
      <w:lvlText w:val="(%2)"/>
      <w:numFmt w:val="lowerLetter"/>
      <w:start w:val="7"/>
    </w:lvl>
    <w:lvl w:ilvl="2">
      <w:lvlJc w:val="left"/>
      <w:lvlText w:val="%3"/>
      <w:numFmt w:val="decimal"/>
      <w:start w:val="1"/>
    </w:lvl>
  </w:abstractNum>
  <w:abstractNum w:abstractNumId="244">
    <w:nsid w:val="4A1D606E"/>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245">
    <w:nsid w:val="4382503"/>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246">
    <w:nsid w:val="59B76E28"/>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247">
    <w:nsid w:val="4252C2DA"/>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248">
    <w:nsid w:val="6A92EF4C"/>
    <w:multiLevelType w:val="hybridMultilevel"/>
    <w:lvl w:ilvl="0">
      <w:lvlJc w:val="left"/>
      <w:lvlText w:val="%1."/>
      <w:numFmt w:val="decimal"/>
      <w:start w:val="9"/>
    </w:lvl>
    <w:lvl w:ilvl="1">
      <w:lvlJc w:val="left"/>
      <w:lvlText w:val="(%2)"/>
      <w:numFmt w:val="lowerLetter"/>
      <w:start w:val="1"/>
    </w:lvl>
    <w:lvl w:ilvl="2">
      <w:lvlJc w:val="left"/>
      <w:lvlText w:val="(%3)"/>
      <w:numFmt w:val="decimal"/>
      <w:start w:val="1"/>
    </w:lvl>
  </w:abstractNum>
  <w:abstractNum w:abstractNumId="249">
    <w:nsid w:val="41ED20D7"/>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250">
    <w:nsid w:val="E6B3F6A"/>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251">
    <w:nsid w:val="3EB21819"/>
    <w:multiLevelType w:val="hybridMultilevel"/>
    <w:lvl w:ilvl="0">
      <w:lvlJc w:val="left"/>
      <w:lvlText w:val="%1"/>
      <w:numFmt w:val="lowerLetter"/>
      <w:start w:val="1"/>
    </w:lvl>
    <w:lvl w:ilvl="1">
      <w:lvlJc w:val="left"/>
      <w:lvlText w:val="(%2)"/>
      <w:numFmt w:val="lowerLetter"/>
      <w:start w:val="2"/>
    </w:lvl>
  </w:abstractNum>
  <w:abstractNum w:abstractNumId="252">
    <w:nsid w:val="41531DED"/>
    <w:multiLevelType w:val="hybridMultilevel"/>
    <w:lvl w:ilvl="0">
      <w:lvlJc w:val="left"/>
      <w:lvlText w:val="(%1)"/>
      <w:numFmt w:val="lowerLetter"/>
      <w:start w:val="35"/>
    </w:lvl>
    <w:lvl w:ilvl="1">
      <w:lvlJc w:val="left"/>
      <w:lvlText w:val="%2"/>
      <w:numFmt w:val="lowerLetter"/>
      <w:start w:val="1"/>
    </w:lvl>
  </w:abstractNum>
  <w:abstractNum w:abstractNumId="253">
    <w:nsid w:val="6353CD2"/>
    <w:multiLevelType w:val="hybridMultilevel"/>
    <w:lvl w:ilvl="0">
      <w:lvlJc w:val="left"/>
      <w:lvlText w:val="%1"/>
      <w:numFmt w:val="lowerLetter"/>
      <w:start w:val="1"/>
    </w:lvl>
    <w:lvl w:ilvl="1">
      <w:lvlJc w:val="left"/>
      <w:lvlText w:val="(%2)"/>
      <w:numFmt w:val="lowerLetter"/>
      <w:start w:val="8"/>
    </w:lvl>
    <w:lvl w:ilvl="2">
      <w:lvlJc w:val="left"/>
      <w:lvlText w:val="(%3)"/>
      <w:numFmt w:val="decimal"/>
      <w:start w:val="1"/>
    </w:lvl>
  </w:abstractNum>
  <w:abstractNum w:abstractNumId="254">
    <w:nsid w:val="683CAAD3"/>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4"/>
    </w:lvl>
  </w:abstractNum>
  <w:abstractNum w:abstractNumId="255">
    <w:nsid w:val="313C7C99"/>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256">
    <w:nsid w:val="519EB94C"/>
    <w:multiLevelType w:val="hybridMultilevel"/>
    <w:lvl w:ilvl="0">
      <w:lvlJc w:val="left"/>
      <w:lvlText w:val="%1."/>
      <w:numFmt w:val="decimal"/>
      <w:start w:val="11"/>
    </w:lvl>
    <w:lvl w:ilvl="1">
      <w:lvlJc w:val="left"/>
      <w:lvlText w:val="(%2)"/>
      <w:numFmt w:val="lowerLetter"/>
      <w:start w:val="1"/>
    </w:lvl>
    <w:lvl w:ilvl="2">
      <w:lvlJc w:val="left"/>
      <w:lvlText w:val="%3"/>
      <w:numFmt w:val="decimal"/>
      <w:start w:val="1"/>
    </w:lvl>
  </w:abstractNum>
  <w:abstractNum w:abstractNumId="257">
    <w:nsid w:val="39DF2579"/>
    <w:multiLevelType w:val="hybridMultilevel"/>
    <w:lvl w:ilvl="0">
      <w:lvlJc w:val="left"/>
      <w:lvlText w:val="(%1)"/>
      <w:numFmt w:val="lowerLetter"/>
      <w:start w:val="6"/>
    </w:lvl>
  </w:abstractNum>
  <w:abstractNum w:abstractNumId="258">
    <w:nsid w:val="126E008B"/>
    <w:multiLevelType w:val="hybridMultilevel"/>
    <w:lvl w:ilvl="0">
      <w:lvlJc w:val="left"/>
      <w:lvlText w:val="%1."/>
      <w:numFmt w:val="decimal"/>
      <w:start w:val="1"/>
    </w:lvl>
  </w:abstractNum>
  <w:abstractNum w:abstractNumId="259">
    <w:nsid w:val="34DFBC00"/>
    <w:multiLevelType w:val="hybridMultilevel"/>
    <w:lvl w:ilvl="0">
      <w:lvlJc w:val="left"/>
      <w:lvlText w:val="%1."/>
      <w:numFmt w:val="decimal"/>
      <w:start w:val="2"/>
    </w:lvl>
  </w:abstractNum>
  <w:abstractNum w:abstractNumId="260">
    <w:nsid w:val="1F9EC322"/>
    <w:multiLevelType w:val="hybridMultilevel"/>
    <w:lvl w:ilvl="0">
      <w:lvlJc w:val="left"/>
      <w:lvlText w:val="%1."/>
      <w:numFmt w:val="decimal"/>
      <w:start w:val="3"/>
    </w:lvl>
    <w:lvl w:ilvl="1">
      <w:lvlJc w:val="left"/>
      <w:lvlText w:val="(%2)"/>
      <w:numFmt w:val="lowerLetter"/>
      <w:start w:val="1"/>
    </w:lvl>
  </w:abstractNum>
  <w:abstractNum w:abstractNumId="261">
    <w:nsid w:val="3410ED56"/>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262">
    <w:nsid w:val="23C049A"/>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263">
    <w:nsid w:val="5BDA35D4"/>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264">
    <w:nsid w:val="496FB218"/>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265">
    <w:nsid w:val="680EA5D1"/>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266">
    <w:nsid w:val="4A9554FE"/>
    <w:multiLevelType w:val="hybridMultilevel"/>
    <w:lvl w:ilvl="0">
      <w:lvlJc w:val="left"/>
      <w:lvlText w:val="(%1)"/>
      <w:numFmt w:val="lowerLetter"/>
      <w:start w:val="4"/>
    </w:lvl>
    <w:lvl w:ilvl="1">
      <w:lvlJc w:val="left"/>
      <w:lvlText w:val="(%2)"/>
      <w:numFmt w:val="decimal"/>
      <w:start w:val="1"/>
    </w:lvl>
  </w:abstractNum>
  <w:abstractNum w:abstractNumId="267">
    <w:nsid w:val="392EDBE4"/>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268">
    <w:nsid w:val="3D1A2DD9"/>
    <w:multiLevelType w:val="hybridMultilevel"/>
    <w:lvl w:ilvl="0">
      <w:lvlJc w:val="left"/>
      <w:lvlText w:val="(%1)"/>
      <w:numFmt w:val="decimal"/>
      <w:start w:val="2"/>
    </w:lvl>
  </w:abstractNum>
  <w:abstractNum w:abstractNumId="269">
    <w:nsid w:val="7F618FCD"/>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270">
    <w:nsid w:val="7843E45"/>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271">
    <w:nsid w:val="9815DA3"/>
    <w:multiLevelType w:val="hybridMultilevel"/>
    <w:lvl w:ilvl="0">
      <w:lvlJc w:val="left"/>
      <w:lvlText w:val="%1."/>
      <w:numFmt w:val="decimal"/>
      <w:start w:val="8"/>
    </w:lvl>
    <w:lvl w:ilvl="1">
      <w:lvlJc w:val="left"/>
      <w:lvlText w:val="%2"/>
      <w:numFmt w:val="decimal"/>
      <w:start w:val="1"/>
    </w:lvl>
    <w:lvl w:ilvl="2">
      <w:lvlJc w:val="left"/>
      <w:lvlText w:val="%3"/>
      <w:numFmt w:val="lowerLetter"/>
      <w:start w:val="1"/>
    </w:lvl>
  </w:abstractNum>
  <w:abstractNum w:abstractNumId="272">
    <w:nsid w:val="5204A191"/>
    <w:multiLevelType w:val="hybridMultilevel"/>
    <w:lvl w:ilvl="0">
      <w:lvlJc w:val="left"/>
      <w:lvlText w:val="%1."/>
      <w:numFmt w:val="decimal"/>
      <w:start w:val="9"/>
    </w:lvl>
    <w:lvl w:ilvl="1">
      <w:lvlJc w:val="left"/>
      <w:lvlText w:val="(%2)"/>
      <w:numFmt w:val="lowerLetter"/>
      <w:start w:val="1"/>
    </w:lvl>
  </w:abstractNum>
  <w:abstractNum w:abstractNumId="273">
    <w:nsid w:val="4C73A9C6"/>
    <w:multiLevelType w:val="hybridMultilevel"/>
    <w:lvl w:ilvl="0">
      <w:lvlJc w:val="left"/>
      <w:lvlText w:val="(%1)"/>
      <w:numFmt w:val="lowerLetter"/>
      <w:start w:val="2"/>
    </w:lvl>
    <w:lvl w:ilvl="1">
      <w:lvlJc w:val="left"/>
      <w:lvlText w:val="(%2)"/>
      <w:numFmt w:val="decimal"/>
      <w:start w:val="1"/>
    </w:lvl>
  </w:abstractNum>
  <w:abstractNum w:abstractNumId="274">
    <w:nsid w:val="1C7E3C01"/>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275">
    <w:nsid w:val="1C2201FF"/>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276">
    <w:nsid w:val="50ABCEC9"/>
    <w:multiLevelType w:val="hybridMultilevel"/>
    <w:lvl w:ilvl="0">
      <w:lvlJc w:val="left"/>
      <w:lvlText w:val="%1"/>
      <w:numFmt w:val="lowerLetter"/>
      <w:start w:val="1"/>
    </w:lvl>
    <w:lvl w:ilvl="1">
      <w:lvlJc w:val="left"/>
      <w:lvlText w:val="(%2)"/>
      <w:numFmt w:val="lowerLetter"/>
      <w:start w:val="3"/>
    </w:lvl>
  </w:abstractNum>
  <w:abstractNum w:abstractNumId="277">
    <w:nsid w:val="7635AA2A"/>
    <w:multiLevelType w:val="hybridMultilevel"/>
    <w:lvl w:ilvl="0">
      <w:lvlJc w:val="left"/>
      <w:lvlText w:val="(%1)"/>
      <w:numFmt w:val="lowerLetter"/>
      <w:start w:val="35"/>
    </w:lvl>
    <w:lvl w:ilvl="1">
      <w:lvlJc w:val="left"/>
      <w:lvlText w:val="%2"/>
      <w:numFmt w:val="lowerLetter"/>
      <w:start w:val="1"/>
    </w:lvl>
  </w:abstractNum>
  <w:abstractNum w:abstractNumId="278">
    <w:nsid w:val="5E74C4D9"/>
    <w:multiLevelType w:val="hybridMultilevel"/>
    <w:lvl w:ilvl="0">
      <w:lvlJc w:val="left"/>
      <w:lvlText w:val="(%1)"/>
      <w:numFmt w:val="lowerLetter"/>
      <w:start w:val="8"/>
    </w:lvl>
    <w:lvl w:ilvl="1">
      <w:lvlJc w:val="left"/>
      <w:lvlText w:val="(%2)"/>
      <w:numFmt w:val="decimal"/>
      <w:start w:val="1"/>
    </w:lvl>
  </w:abstractNum>
  <w:abstractNum w:abstractNumId="279">
    <w:nsid w:val="3B3EBE15"/>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280">
    <w:nsid w:val="3822CB01"/>
    <w:multiLevelType w:val="hybridMultilevel"/>
    <w:lvl w:ilvl="0">
      <w:lvlJc w:val="left"/>
      <w:lvlText w:val="%1."/>
      <w:numFmt w:val="decimal"/>
      <w:start w:val="11"/>
    </w:lvl>
    <w:lvl w:ilvl="1">
      <w:lvlJc w:val="left"/>
      <w:lvlText w:val="(%2)"/>
      <w:numFmt w:val="lowerLetter"/>
      <w:start w:val="1"/>
    </w:lvl>
    <w:lvl w:ilvl="2">
      <w:lvlJc w:val="left"/>
      <w:lvlText w:val="%3"/>
      <w:numFmt w:val="decimal"/>
      <w:start w:val="1"/>
    </w:lvl>
  </w:abstractNum>
  <w:abstractNum w:abstractNumId="281">
    <w:nsid w:val="6CE00443"/>
    <w:multiLevelType w:val="hybridMultilevel"/>
    <w:lvl w:ilvl="0">
      <w:lvlJc w:val="left"/>
      <w:lvlText w:val="(%1)"/>
      <w:numFmt w:val="lowerLetter"/>
      <w:start w:val="5"/>
    </w:lvl>
  </w:abstractNum>
  <w:abstractNum w:abstractNumId="282">
    <w:nsid w:val="79F0D62F"/>
    <w:multiLevelType w:val="hybridMultilevel"/>
    <w:lvl w:ilvl="0">
      <w:lvlJc w:val="left"/>
      <w:lvlText w:val="%1."/>
      <w:numFmt w:val="decimal"/>
      <w:start w:val="1"/>
    </w:lvl>
  </w:abstractNum>
  <w:abstractNum w:abstractNumId="283">
    <w:nsid w:val="7975E8EE"/>
    <w:multiLevelType w:val="hybridMultilevel"/>
    <w:lvl w:ilvl="0">
      <w:lvlJc w:val="left"/>
      <w:lvlText w:val="%1."/>
      <w:numFmt w:val="decimal"/>
      <w:start w:val="2"/>
    </w:lvl>
    <w:lvl w:ilvl="1">
      <w:lvlJc w:val="left"/>
      <w:lvlText w:val="(%2)"/>
      <w:numFmt w:val="lowerLetter"/>
      <w:start w:val="1"/>
    </w:lvl>
  </w:abstractNum>
  <w:abstractNum w:abstractNumId="284">
    <w:nsid w:val="73154115"/>
    <w:multiLevelType w:val="hybridMultilevel"/>
    <w:lvl w:ilvl="0">
      <w:lvlJc w:val="left"/>
      <w:lvlText w:val="%1."/>
      <w:numFmt w:val="decimal"/>
      <w:start w:val="4"/>
    </w:lvl>
    <w:lvl w:ilvl="1">
      <w:lvlJc w:val="left"/>
      <w:lvlText w:val="(%2)"/>
      <w:numFmt w:val="lowerLetter"/>
      <w:start w:val="1"/>
    </w:lvl>
  </w:abstractNum>
  <w:abstractNum w:abstractNumId="285">
    <w:nsid w:val="622D810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86">
    <w:nsid w:val="2AB2658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87">
    <w:nsid w:val="44B3FA61"/>
    <w:multiLevelType w:val="hybridMultilevel"/>
    <w:lvl w:ilvl="0">
      <w:lvlJc w:val="left"/>
      <w:lvlText w:val="%1"/>
      <w:numFmt w:val="lowerRoman"/>
      <w:start w:val="1"/>
    </w:lvl>
    <w:lvl w:ilvl="1">
      <w:lvlJc w:val="left"/>
      <w:lvlText w:val="(%2)"/>
      <w:numFmt w:val="lowerRoman"/>
      <w:start w:val="2"/>
    </w:lvl>
    <w:lvl w:ilvl="2">
      <w:lvlJc w:val="left"/>
      <w:lvlText w:val="(%3)"/>
      <w:numFmt w:val="upperLetter"/>
      <w:start w:val="1"/>
    </w:lvl>
  </w:abstractNum>
  <w:abstractNum w:abstractNumId="288">
    <w:nsid w:val="1C0CA67C"/>
    <w:multiLevelType w:val="hybridMultilevel"/>
    <w:lvl w:ilvl="0">
      <w:lvlJc w:val="left"/>
      <w:lvlText w:val="(%1)"/>
      <w:numFmt w:val="lowerRoman"/>
      <w:start w:val="4"/>
    </w:lvl>
    <w:lvl w:ilvl="1">
      <w:lvlJc w:val="left"/>
      <w:lvlText w:val="%2"/>
      <w:numFmt w:val="lowerRoman"/>
      <w:start w:val="1"/>
    </w:lvl>
    <w:lvl w:ilvl="2">
      <w:lvlJc w:val="left"/>
      <w:lvlText w:val="%3"/>
      <w:numFmt w:val="upperLetter"/>
      <w:start w:val="1"/>
    </w:lvl>
  </w:abstractNum>
  <w:abstractNum w:abstractNumId="289">
    <w:nsid w:val="3D206613"/>
    <w:multiLevelType w:val="hybridMultilevel"/>
    <w:lvl w:ilvl="0">
      <w:lvlJc w:val="left"/>
      <w:lvlText w:val="%1"/>
      <w:numFmt w:val="lowerRoman"/>
      <w:start w:val="1"/>
    </w:lvl>
    <w:lvl w:ilvl="1">
      <w:lvlJc w:val="left"/>
      <w:lvlText w:val="(%2)"/>
      <w:numFmt w:val="lowerRoman"/>
      <w:start w:val="4"/>
    </w:lvl>
  </w:abstractNum>
  <w:abstractNum w:abstractNumId="290">
    <w:nsid w:val="7993B662"/>
    <w:multiLevelType w:val="hybridMultilevel"/>
    <w:lvl w:ilvl="0">
      <w:lvlJc w:val="left"/>
      <w:lvlText w:val="(%1)"/>
      <w:numFmt w:val="lowerRoman"/>
      <w:start w:val="2"/>
    </w:lvl>
    <w:lvl w:ilvl="1">
      <w:lvlJc w:val="left"/>
      <w:lvlText w:val="(%2)"/>
      <w:numFmt w:val="lowerRoman"/>
      <w:start w:val="5"/>
    </w:lvl>
  </w:abstractNum>
  <w:abstractNum w:abstractNumId="291">
    <w:nsid w:val="3BAB699E"/>
    <w:multiLevelType w:val="hybridMultilevel"/>
    <w:lvl w:ilvl="0">
      <w:lvlJc w:val="left"/>
      <w:lvlText w:val="%1."/>
      <w:numFmt w:val="decimal"/>
      <w:start w:val="6"/>
    </w:lvl>
    <w:lvl w:ilvl="1">
      <w:lvlJc w:val="left"/>
      <w:lvlText w:val="(%2)"/>
      <w:numFmt w:val="lowerLetter"/>
      <w:start w:val="1"/>
    </w:lvl>
  </w:abstractNum>
  <w:abstractNum w:abstractNumId="292">
    <w:nsid w:val="71315369"/>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93">
    <w:nsid w:val="7BCFBAFC"/>
    <w:multiLevelType w:val="hybridMultilevel"/>
    <w:lvl w:ilvl="0">
      <w:lvlJc w:val="left"/>
      <w:lvlText w:val="%1."/>
      <w:numFmt w:val="decimal"/>
      <w:start w:val="8"/>
    </w:lvl>
    <w:lvl w:ilvl="1">
      <w:lvlJc w:val="left"/>
      <w:lvlText w:val="(%2)"/>
      <w:numFmt w:val="lowerLetter"/>
      <w:start w:val="1"/>
    </w:lvl>
  </w:abstractNum>
  <w:abstractNum w:abstractNumId="294">
    <w:nsid w:val="17859F72"/>
    <w:multiLevelType w:val="hybridMultilevel"/>
    <w:lvl w:ilvl="0">
      <w:lvlJc w:val="left"/>
      <w:lvlText w:val="%1."/>
      <w:numFmt w:val="decimal"/>
      <w:start w:val="10"/>
    </w:lvl>
  </w:abstractNum>
  <w:abstractNum w:abstractNumId="295">
    <w:nsid w:val="3AA10581"/>
    <w:multiLevelType w:val="hybridMultilevel"/>
    <w:lvl w:ilvl="0">
      <w:lvlJc w:val="left"/>
      <w:lvlText w:val="%1."/>
      <w:numFmt w:val="decimal"/>
      <w:start w:val="11"/>
    </w:lvl>
  </w:abstractNum>
  <w:abstractNum w:abstractNumId="296">
    <w:nsid w:val="63DE60CD"/>
    <w:multiLevelType w:val="hybridMultilevel"/>
    <w:lvl w:ilvl="0">
      <w:lvlJc w:val="left"/>
      <w:lvlText w:val="%1."/>
      <w:numFmt w:val="decimal"/>
      <w:start w:val="1"/>
    </w:lvl>
    <w:lvl w:ilvl="1">
      <w:lvlJc w:val="left"/>
      <w:lvlText w:val="%2)"/>
      <w:numFmt w:val="lowerLetter"/>
      <w:start w:val="1"/>
    </w:lvl>
  </w:abstractNum>
  <w:abstractNum w:abstractNumId="297">
    <w:nsid w:val="621AF471"/>
    <w:multiLevelType w:val="hybridMultilevel"/>
    <w:lvl w:ilvl="0">
      <w:lvlJc w:val="left"/>
      <w:lvlText w:val="%1."/>
      <w:numFmt w:val="decimal"/>
      <w:start w:val="1"/>
    </w:lvl>
    <w:lvl w:ilvl="1">
      <w:lvlJc w:val="left"/>
      <w:lvlText w:val="%2)"/>
      <w:numFmt w:val="lowerLetter"/>
      <w:start w:val="1"/>
    </w:lvl>
  </w:abstractNum>
  <w:abstractNum w:abstractNumId="298">
    <w:nsid w:val="73CFE165"/>
    <w:multiLevelType w:val="hybridMultilevel"/>
    <w:lvl w:ilvl="0">
      <w:lvlJc w:val="left"/>
      <w:lvlText w:val="(%1)"/>
      <w:numFmt w:val="decimal"/>
      <w:start w:val="1"/>
    </w:lvl>
  </w:abstractNum>
  <w:abstractNum w:abstractNumId="299">
    <w:nsid w:val="20F88EA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2019-12-10T10:05:07Z</dcterms:created>
  <dcterms:modified xsi:type="dcterms:W3CDTF">2019-12-10T10:05:07Z</dcterms:modified>
</cp:coreProperties>
</file>