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725995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955"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226695</wp:posOffset>
            </wp:positionV>
            <wp:extent cx="72599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127000</wp:posOffset>
            </wp:positionV>
            <wp:extent cx="18827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153670</wp:posOffset>
            </wp:positionV>
            <wp:extent cx="18827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319" w:lineRule="exact"/>
        <w:rPr>
          <w:sz w:val="20"/>
          <w:szCs w:val="20"/>
          <w:color w:val="auto"/>
        </w:rPr>
      </w:pPr>
    </w:p>
    <w:p>
      <w:pPr>
        <w:ind w:left="1380" w:hanging="1065"/>
        <w:spacing w:after="0"/>
        <w:tabs>
          <w:tab w:leader="none" w:pos="13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8"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For the quarterly period ended: September 30, 2009</w:t>
      </w:r>
    </w:p>
    <w:p>
      <w:pPr>
        <w:spacing w:after="0" w:line="112" w:lineRule="exact"/>
        <w:rPr>
          <w:sz w:val="20"/>
          <w:szCs w:val="20"/>
          <w:color w:val="auto"/>
        </w:rPr>
      </w:pPr>
    </w:p>
    <w:p>
      <w:pPr>
        <w:ind w:left="1380" w:hanging="1029"/>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7"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2160" w:type="dxa"/>
            <w:vAlign w:val="bottom"/>
          </w:tcPr>
          <w:p>
            <w:pPr>
              <w:spacing w:after="0"/>
              <w:rPr>
                <w:sz w:val="20"/>
                <w:szCs w:val="20"/>
                <w:color w:val="auto"/>
              </w:rPr>
            </w:pPr>
            <w:r>
              <w:rPr>
                <w:rFonts w:ascii="Arial" w:cs="Arial" w:eastAsia="Arial" w:hAnsi="Arial"/>
                <w:sz w:val="16"/>
                <w:szCs w:val="16"/>
                <w:b w:val="1"/>
                <w:bCs w:val="1"/>
                <w:color w:val="auto"/>
                <w:w w:val="95"/>
              </w:rPr>
              <w:t>For the transition period from</w:t>
            </w:r>
          </w:p>
        </w:tc>
        <w:tc>
          <w:tcPr>
            <w:tcW w:w="80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w w:val="79"/>
              </w:rPr>
              <w:t>to</w:t>
            </w:r>
          </w:p>
        </w:tc>
        <w:tc>
          <w:tcPr>
            <w:tcW w:w="40" w:type="dxa"/>
            <w:vAlign w:val="bottom"/>
          </w:tcPr>
          <w:p>
            <w:pPr>
              <w:spacing w:after="0"/>
              <w:rPr>
                <w:sz w:val="16"/>
                <w:szCs w:val="16"/>
                <w:color w:val="auto"/>
              </w:rPr>
            </w:pPr>
          </w:p>
        </w:tc>
        <w:tc>
          <w:tcPr>
            <w:tcW w:w="2380" w:type="dxa"/>
            <w:vAlign w:val="bottom"/>
            <w:gridSpan w:val="2"/>
          </w:tcPr>
          <w:p>
            <w:pPr>
              <w:jc w:val="right"/>
              <w:ind w:right="1520"/>
              <w:spacing w:after="0"/>
              <w:rPr>
                <w:sz w:val="20"/>
                <w:szCs w:val="20"/>
                <w:color w:val="auto"/>
              </w:rPr>
            </w:pPr>
            <w:r>
              <w:rPr>
                <w:rFonts w:ascii="Arial" w:cs="Arial" w:eastAsia="Arial" w:hAnsi="Arial"/>
                <w:sz w:val="16"/>
                <w:szCs w:val="16"/>
                <w:b w:val="1"/>
                <w:bCs w:val="1"/>
                <w:color w:val="auto"/>
              </w:rPr>
              <w:t>.</w:t>
            </w:r>
          </w:p>
        </w:tc>
      </w:tr>
      <w:tr>
        <w:trPr>
          <w:trHeight w:val="20"/>
        </w:trPr>
        <w:tc>
          <w:tcPr>
            <w:tcW w:w="2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06"/>
        </w:trPr>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Commission File Number: 0-19672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132080</wp:posOffset>
            </wp:positionV>
            <wp:extent cx="18827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39"/>
          <w:szCs w:val="39"/>
          <w:b w:val="1"/>
          <w:bCs w:val="1"/>
          <w:color w:val="auto"/>
        </w:rPr>
        <w:t>American Superconductor Corporation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137795</wp:posOffset>
            </wp:positionV>
            <wp:extent cx="18827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20" w:type="dxa"/>
            <w:vAlign w:val="bottom"/>
            <w:gridSpan w:val="3"/>
          </w:tcPr>
          <w:p>
            <w:pPr>
              <w:jc w:val="center"/>
              <w:ind w:right="2400"/>
              <w:spacing w:after="0"/>
              <w:rPr>
                <w:sz w:val="20"/>
                <w:szCs w:val="20"/>
                <w:color w:val="auto"/>
              </w:rPr>
            </w:pPr>
            <w:r>
              <w:rPr>
                <w:rFonts w:ascii="Arial" w:cs="Arial" w:eastAsia="Arial" w:hAnsi="Arial"/>
                <w:sz w:val="16"/>
                <w:szCs w:val="16"/>
                <w:b w:val="1"/>
                <w:bCs w:val="1"/>
                <w:color w:val="auto"/>
                <w:w w:val="93"/>
              </w:rPr>
              <w:t>Delaware</w:t>
            </w:r>
          </w:p>
        </w:tc>
        <w:tc>
          <w:tcPr>
            <w:tcW w:w="3620" w:type="dxa"/>
            <w:vAlign w:val="bottom"/>
          </w:tcPr>
          <w:p>
            <w:pPr>
              <w:jc w:val="right"/>
              <w:ind w:right="2259"/>
              <w:spacing w:after="0"/>
              <w:rPr>
                <w:sz w:val="20"/>
                <w:szCs w:val="20"/>
                <w:color w:val="auto"/>
              </w:rPr>
            </w:pPr>
            <w:r>
              <w:rPr>
                <w:rFonts w:ascii="Arial" w:cs="Arial" w:eastAsia="Arial" w:hAnsi="Arial"/>
                <w:sz w:val="16"/>
                <w:szCs w:val="16"/>
                <w:b w:val="1"/>
                <w:bCs w:val="1"/>
                <w:color w:val="auto"/>
              </w:rPr>
              <w:t>04-2959321</w:t>
            </w:r>
          </w:p>
        </w:tc>
      </w:tr>
      <w:tr>
        <w:trPr>
          <w:trHeight w:val="18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(State or other jurisdiction of</w:t>
            </w:r>
          </w:p>
        </w:tc>
        <w:tc>
          <w:tcPr>
            <w:tcW w:w="56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tcPr>
          <w:p>
            <w:pPr>
              <w:jc w:val="center"/>
              <w:ind w:right="1759"/>
              <w:spacing w:after="0"/>
              <w:rPr>
                <w:sz w:val="20"/>
                <w:szCs w:val="20"/>
                <w:color w:val="auto"/>
              </w:rPr>
            </w:pPr>
            <w:r>
              <w:rPr>
                <w:rFonts w:ascii="Arial" w:cs="Arial" w:eastAsia="Arial" w:hAnsi="Arial"/>
                <w:sz w:val="16"/>
                <w:szCs w:val="16"/>
                <w:b w:val="1"/>
                <w:bCs w:val="1"/>
                <w:color w:val="auto"/>
                <w:w w:val="96"/>
              </w:rPr>
              <w:t>(I.R.S. Employer</w:t>
            </w:r>
          </w:p>
        </w:tc>
      </w:tr>
      <w:tr>
        <w:trPr>
          <w:trHeight w:val="211"/>
        </w:trPr>
        <w:tc>
          <w:tcPr>
            <w:tcW w:w="7820" w:type="dxa"/>
            <w:vAlign w:val="bottom"/>
            <w:gridSpan w:val="3"/>
          </w:tcPr>
          <w:p>
            <w:pPr>
              <w:jc w:val="center"/>
              <w:ind w:right="2380"/>
              <w:spacing w:after="0"/>
              <w:rPr>
                <w:sz w:val="20"/>
                <w:szCs w:val="20"/>
                <w:color w:val="auto"/>
              </w:rPr>
            </w:pPr>
            <w:r>
              <w:rPr>
                <w:rFonts w:ascii="Arial" w:cs="Arial" w:eastAsia="Arial" w:hAnsi="Arial"/>
                <w:sz w:val="16"/>
                <w:szCs w:val="16"/>
                <w:b w:val="1"/>
                <w:bCs w:val="1"/>
                <w:color w:val="auto"/>
                <w:w w:val="92"/>
              </w:rPr>
              <w:t>incorporation or organization)</w:t>
            </w:r>
          </w:p>
        </w:tc>
        <w:tc>
          <w:tcPr>
            <w:tcW w:w="3620" w:type="dxa"/>
            <w:vAlign w:val="bottom"/>
          </w:tcPr>
          <w:p>
            <w:pPr>
              <w:jc w:val="center"/>
              <w:ind w:right="1759"/>
              <w:spacing w:after="0"/>
              <w:rPr>
                <w:sz w:val="20"/>
                <w:szCs w:val="20"/>
                <w:color w:val="auto"/>
              </w:rPr>
            </w:pPr>
            <w:r>
              <w:rPr>
                <w:rFonts w:ascii="Arial" w:cs="Arial" w:eastAsia="Arial" w:hAnsi="Arial"/>
                <w:sz w:val="16"/>
                <w:szCs w:val="16"/>
                <w:b w:val="1"/>
                <w:bCs w:val="1"/>
                <w:color w:val="auto"/>
                <w:w w:val="93"/>
              </w:rPr>
              <w:t>Identification No.)</w:t>
            </w:r>
          </w:p>
        </w:tc>
      </w:tr>
      <w:tr>
        <w:trPr>
          <w:trHeight w:val="391"/>
        </w:trPr>
        <w:tc>
          <w:tcPr>
            <w:tcW w:w="7820" w:type="dxa"/>
            <w:vAlign w:val="bottom"/>
            <w:gridSpan w:val="3"/>
          </w:tcPr>
          <w:p>
            <w:pPr>
              <w:jc w:val="center"/>
              <w:ind w:right="2380"/>
              <w:spacing w:after="0"/>
              <w:rPr>
                <w:sz w:val="20"/>
                <w:szCs w:val="20"/>
                <w:color w:val="auto"/>
              </w:rPr>
            </w:pPr>
            <w:r>
              <w:rPr>
                <w:rFonts w:ascii="Arial" w:cs="Arial" w:eastAsia="Arial" w:hAnsi="Arial"/>
                <w:sz w:val="16"/>
                <w:szCs w:val="16"/>
                <w:b w:val="1"/>
                <w:bCs w:val="1"/>
                <w:color w:val="auto"/>
                <w:w w:val="88"/>
              </w:rPr>
              <w:t>64 Jackson Road, Devens, Massachusetts</w:t>
            </w:r>
          </w:p>
        </w:tc>
        <w:tc>
          <w:tcPr>
            <w:tcW w:w="3620" w:type="dxa"/>
            <w:vAlign w:val="bottom"/>
          </w:tcPr>
          <w:p>
            <w:pPr>
              <w:jc w:val="right"/>
              <w:ind w:right="2439"/>
              <w:spacing w:after="0"/>
              <w:rPr>
                <w:sz w:val="20"/>
                <w:szCs w:val="20"/>
                <w:color w:val="auto"/>
              </w:rPr>
            </w:pPr>
            <w:r>
              <w:rPr>
                <w:rFonts w:ascii="Arial" w:cs="Arial" w:eastAsia="Arial" w:hAnsi="Arial"/>
                <w:sz w:val="16"/>
                <w:szCs w:val="16"/>
                <w:b w:val="1"/>
                <w:bCs w:val="1"/>
                <w:color w:val="auto"/>
              </w:rPr>
              <w:t>01434</w:t>
            </w:r>
          </w:p>
        </w:tc>
      </w:tr>
      <w:tr>
        <w:trPr>
          <w:trHeight w:val="20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56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tcPr>
          <w:p>
            <w:pPr>
              <w:jc w:val="center"/>
              <w:ind w:right="1759"/>
              <w:spacing w:after="0"/>
              <w:rPr>
                <w:sz w:val="20"/>
                <w:szCs w:val="20"/>
                <w:color w:val="auto"/>
              </w:rPr>
            </w:pPr>
            <w:r>
              <w:rPr>
                <w:rFonts w:ascii="Arial" w:cs="Arial" w:eastAsia="Arial" w:hAnsi="Arial"/>
                <w:sz w:val="16"/>
                <w:szCs w:val="16"/>
                <w:b w:val="1"/>
                <w:bCs w:val="1"/>
                <w:color w:val="auto"/>
                <w:w w:val="93"/>
              </w:rPr>
              <w:t>(Zip Code)</w:t>
            </w:r>
          </w:p>
        </w:tc>
      </w:tr>
      <w:tr>
        <w:trPr>
          <w:trHeight w:val="393"/>
        </w:trPr>
        <w:tc>
          <w:tcPr>
            <w:tcW w:w="7820" w:type="dxa"/>
            <w:vAlign w:val="bottom"/>
            <w:tcBorders>
              <w:bottom w:val="single" w:sz="8" w:color="auto"/>
            </w:tcBorders>
            <w:gridSpan w:val="3"/>
          </w:tcPr>
          <w:p>
            <w:pPr>
              <w:jc w:val="center"/>
              <w:ind w:left="3519"/>
              <w:spacing w:after="0"/>
              <w:rPr>
                <w:sz w:val="20"/>
                <w:szCs w:val="20"/>
                <w:color w:val="auto"/>
              </w:rPr>
            </w:pPr>
            <w:r>
              <w:rPr>
                <w:rFonts w:ascii="Arial" w:cs="Arial" w:eastAsia="Arial" w:hAnsi="Arial"/>
                <w:sz w:val="16"/>
                <w:szCs w:val="16"/>
                <w:b w:val="1"/>
                <w:bCs w:val="1"/>
                <w:color w:val="auto"/>
                <w:w w:val="93"/>
              </w:rPr>
              <w:t>(978) 842-3000</w:t>
            </w:r>
          </w:p>
        </w:tc>
        <w:tc>
          <w:tcPr>
            <w:tcW w:w="3620" w:type="dxa"/>
            <w:vAlign w:val="bottom"/>
            <w:tcBorders>
              <w:bottom w:val="single" w:sz="8" w:color="auto"/>
            </w:tcBorders>
          </w:tcPr>
          <w:p>
            <w:pPr>
              <w:spacing w:after="0"/>
              <w:rPr>
                <w:sz w:val="24"/>
                <w:szCs w:val="24"/>
                <w:color w:val="auto"/>
              </w:rPr>
            </w:pPr>
          </w:p>
        </w:tc>
      </w:tr>
      <w:tr>
        <w:trPr>
          <w:trHeight w:val="210"/>
        </w:trPr>
        <w:tc>
          <w:tcPr>
            <w:tcW w:w="7820" w:type="dxa"/>
            <w:vAlign w:val="bottom"/>
            <w:gridSpan w:val="3"/>
          </w:tcPr>
          <w:p>
            <w:pPr>
              <w:jc w:val="center"/>
              <w:ind w:left="351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620" w:type="dxa"/>
            <w:vAlign w:val="bottom"/>
          </w:tcPr>
          <w:p>
            <w:pPr>
              <w:spacing w:after="0"/>
              <w:rPr>
                <w:sz w:val="18"/>
                <w:szCs w:val="18"/>
                <w:color w:val="auto"/>
              </w:rPr>
            </w:pPr>
          </w:p>
        </w:tc>
      </w:tr>
      <w:tr>
        <w:trPr>
          <w:trHeight w:val="374"/>
        </w:trPr>
        <w:tc>
          <w:tcPr>
            <w:tcW w:w="5420" w:type="dxa"/>
            <w:vAlign w:val="bottom"/>
          </w:tcPr>
          <w:p>
            <w:pPr>
              <w:spacing w:after="0"/>
              <w:rPr>
                <w:sz w:val="24"/>
                <w:szCs w:val="24"/>
                <w:color w:val="auto"/>
              </w:rPr>
            </w:pPr>
          </w:p>
        </w:tc>
        <w:tc>
          <w:tcPr>
            <w:tcW w:w="2400" w:type="dxa"/>
            <w:vAlign w:val="bottom"/>
            <w:gridSpan w:val="2"/>
          </w:tcPr>
          <w:p>
            <w:pPr>
              <w:jc w:val="center"/>
              <w:ind w:right="1800"/>
              <w:spacing w:after="0"/>
              <w:rPr>
                <w:sz w:val="20"/>
                <w:szCs w:val="20"/>
                <w:color w:val="auto"/>
              </w:rPr>
            </w:pPr>
            <w:r>
              <w:rPr>
                <w:rFonts w:ascii="Arial" w:cs="Arial" w:eastAsia="Arial" w:hAnsi="Arial"/>
                <w:sz w:val="16"/>
                <w:szCs w:val="16"/>
                <w:b w:val="1"/>
                <w:bCs w:val="1"/>
                <w:color w:val="auto"/>
              </w:rPr>
              <w:t>N/A</w:t>
            </w:r>
          </w:p>
        </w:tc>
        <w:tc>
          <w:tcPr>
            <w:tcW w:w="3620" w:type="dxa"/>
            <w:vAlign w:val="bottom"/>
          </w:tcPr>
          <w:p>
            <w:pPr>
              <w:spacing w:after="0"/>
              <w:rPr>
                <w:sz w:val="24"/>
                <w:szCs w:val="24"/>
                <w:color w:val="auto"/>
              </w:rPr>
            </w:pPr>
          </w:p>
        </w:tc>
      </w:tr>
    </w:tbl>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2599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149225</wp:posOffset>
            </wp:positionV>
            <wp:extent cx="18827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312" w:lineRule="exact"/>
        <w:rPr>
          <w:sz w:val="20"/>
          <w:szCs w:val="20"/>
          <w:color w:val="auto"/>
        </w:rPr>
      </w:pPr>
    </w:p>
    <w:p>
      <w:pPr>
        <w:ind w:right="180" w:firstLine="203"/>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69" w:lineRule="exact"/>
        <w:rPr>
          <w:sz w:val="20"/>
          <w:szCs w:val="20"/>
          <w:color w:val="auto"/>
        </w:rPr>
      </w:pPr>
    </w:p>
    <w:p>
      <w:pPr>
        <w:ind w:right="100" w:firstLine="203"/>
        <w:spacing w:after="0" w:line="269"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65" w:lineRule="exact"/>
        <w:rPr>
          <w:sz w:val="20"/>
          <w:szCs w:val="20"/>
          <w:color w:val="auto"/>
        </w:rPr>
      </w:pPr>
    </w:p>
    <w:p>
      <w:pPr>
        <w:ind w:right="140" w:firstLine="203"/>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220"/>
        </w:trPr>
        <w:tc>
          <w:tcPr>
            <w:tcW w:w="210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1840" w:type="dxa"/>
            <w:vAlign w:val="bottom"/>
          </w:tcPr>
          <w:p>
            <w:pPr>
              <w:ind w:left="600"/>
              <w:spacing w:after="0"/>
              <w:rPr>
                <w:sz w:val="20"/>
                <w:szCs w:val="20"/>
                <w:color w:val="auto"/>
              </w:rPr>
            </w:pPr>
            <w:r>
              <w:rPr>
                <w:rFonts w:ascii="Arial" w:cs="Arial" w:eastAsia="Arial" w:hAnsi="Arial"/>
                <w:sz w:val="16"/>
                <w:szCs w:val="16"/>
                <w:color w:val="auto"/>
                <w:w w:val="95"/>
              </w:rPr>
              <w:t>Accelerated filer o</w:t>
            </w:r>
          </w:p>
        </w:tc>
        <w:tc>
          <w:tcPr>
            <w:tcW w:w="1480" w:type="dxa"/>
            <w:vAlign w:val="bottom"/>
          </w:tcPr>
          <w:p>
            <w:pPr>
              <w:spacing w:after="0"/>
              <w:rPr>
                <w:sz w:val="19"/>
                <w:szCs w:val="19"/>
                <w:color w:val="auto"/>
              </w:rPr>
            </w:pPr>
          </w:p>
        </w:tc>
        <w:tc>
          <w:tcPr>
            <w:tcW w:w="2660" w:type="dxa"/>
            <w:vAlign w:val="bottom"/>
            <w:gridSpan w:val="2"/>
          </w:tcPr>
          <w:p>
            <w:pPr>
              <w:jc w:val="center"/>
              <w:ind w:right="519"/>
              <w:spacing w:after="0"/>
              <w:rPr>
                <w:sz w:val="20"/>
                <w:szCs w:val="20"/>
                <w:color w:val="auto"/>
              </w:rPr>
            </w:pPr>
            <w:r>
              <w:rPr>
                <w:rFonts w:ascii="Arial" w:cs="Arial" w:eastAsia="Arial" w:hAnsi="Arial"/>
                <w:sz w:val="16"/>
                <w:szCs w:val="16"/>
                <w:color w:val="auto"/>
                <w:w w:val="93"/>
              </w:rPr>
              <w:t>Non-accelerated filer o</w:t>
            </w:r>
          </w:p>
        </w:tc>
        <w:tc>
          <w:tcPr>
            <w:tcW w:w="3360" w:type="dxa"/>
            <w:vAlign w:val="bottom"/>
          </w:tcPr>
          <w:p>
            <w:pPr>
              <w:ind w:left="1420"/>
              <w:spacing w:after="0"/>
              <w:rPr>
                <w:sz w:val="20"/>
                <w:szCs w:val="20"/>
                <w:color w:val="auto"/>
              </w:rPr>
            </w:pPr>
            <w:r>
              <w:rPr>
                <w:rFonts w:ascii="Arial" w:cs="Arial" w:eastAsia="Arial" w:hAnsi="Arial"/>
                <w:sz w:val="16"/>
                <w:szCs w:val="16"/>
                <w:color w:val="auto"/>
                <w:w w:val="93"/>
              </w:rPr>
              <w:t>Smaller reporting company o</w:t>
            </w:r>
          </w:p>
        </w:tc>
      </w:tr>
      <w:tr>
        <w:trPr>
          <w:trHeight w:val="207"/>
        </w:trPr>
        <w:tc>
          <w:tcPr>
            <w:tcW w:w="2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140" w:type="dxa"/>
            <w:vAlign w:val="bottom"/>
            <w:gridSpan w:val="3"/>
          </w:tcPr>
          <w:p>
            <w:pPr>
              <w:jc w:val="center"/>
              <w:ind w:left="799"/>
              <w:spacing w:after="0"/>
              <w:rPr>
                <w:sz w:val="20"/>
                <w:szCs w:val="20"/>
                <w:color w:val="auto"/>
              </w:rPr>
            </w:pPr>
            <w:r>
              <w:rPr>
                <w:rFonts w:ascii="Arial" w:cs="Arial" w:eastAsia="Arial" w:hAnsi="Arial"/>
                <w:sz w:val="16"/>
                <w:szCs w:val="16"/>
                <w:color w:val="auto"/>
                <w:w w:val="93"/>
              </w:rPr>
              <w:t>(Do not check if a smaller reporting company)</w:t>
            </w:r>
          </w:p>
        </w:tc>
        <w:tc>
          <w:tcPr>
            <w:tcW w:w="3360" w:type="dxa"/>
            <w:vAlign w:val="bottom"/>
          </w:tcPr>
          <w:p>
            <w:pPr>
              <w:spacing w:after="0"/>
              <w:rPr>
                <w:sz w:val="17"/>
                <w:szCs w:val="17"/>
                <w:color w:val="auto"/>
              </w:rPr>
            </w:pPr>
          </w:p>
        </w:tc>
      </w:tr>
      <w:tr>
        <w:trPr>
          <w:trHeight w:val="347"/>
        </w:trPr>
        <w:tc>
          <w:tcPr>
            <w:tcW w:w="8080" w:type="dxa"/>
            <w:vAlign w:val="bottom"/>
            <w:gridSpan w:val="5"/>
          </w:tcPr>
          <w:p>
            <w:pPr>
              <w:ind w:left="200"/>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3360" w:type="dxa"/>
            <w:vAlign w:val="bottom"/>
          </w:tcPr>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470"/>
        </w:trPr>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Shares outstanding of the Registrant’s common stock:</w:t>
            </w:r>
          </w:p>
        </w:tc>
        <w:tc>
          <w:tcPr>
            <w:tcW w:w="3360" w:type="dxa"/>
            <w:vAlign w:val="bottom"/>
          </w:tcPr>
          <w:p>
            <w:pPr>
              <w:spacing w:after="0"/>
              <w:rPr>
                <w:sz w:val="24"/>
                <w:szCs w:val="24"/>
                <w:color w:val="auto"/>
              </w:rPr>
            </w:pPr>
          </w:p>
        </w:tc>
      </w:tr>
      <w:tr>
        <w:trPr>
          <w:trHeight w:val="330"/>
        </w:trPr>
        <w:tc>
          <w:tcPr>
            <w:tcW w:w="3940" w:type="dxa"/>
            <w:vAlign w:val="bottom"/>
            <w:tcBorders>
              <w:bottom w:val="single" w:sz="8" w:color="auto"/>
            </w:tcBorders>
            <w:gridSpan w:val="2"/>
          </w:tcPr>
          <w:p>
            <w:pPr>
              <w:jc w:val="center"/>
              <w:ind w:left="1424"/>
              <w:spacing w:after="0"/>
              <w:rPr>
                <w:sz w:val="20"/>
                <w:szCs w:val="20"/>
                <w:color w:val="auto"/>
              </w:rPr>
            </w:pPr>
            <w:r>
              <w:rPr>
                <w:rFonts w:ascii="Arial" w:cs="Arial" w:eastAsia="Arial" w:hAnsi="Arial"/>
                <w:sz w:val="13"/>
                <w:szCs w:val="13"/>
                <w:b w:val="1"/>
                <w:bCs w:val="1"/>
                <w:color w:val="auto"/>
                <w:w w:val="89"/>
              </w:rPr>
              <w:t>Common Stock, par value $0.01 per share</w:t>
            </w:r>
          </w:p>
        </w:tc>
        <w:tc>
          <w:tcPr>
            <w:tcW w:w="14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right"/>
              <w:ind w:right="2364"/>
              <w:spacing w:after="0"/>
              <w:rPr>
                <w:sz w:val="20"/>
                <w:szCs w:val="20"/>
                <w:color w:val="auto"/>
              </w:rPr>
            </w:pPr>
            <w:r>
              <w:rPr>
                <w:rFonts w:ascii="Arial" w:cs="Arial" w:eastAsia="Arial" w:hAnsi="Arial"/>
                <w:sz w:val="13"/>
                <w:szCs w:val="13"/>
                <w:color w:val="auto"/>
              </w:rPr>
              <w:t>44,245,764</w:t>
            </w:r>
          </w:p>
        </w:tc>
      </w:tr>
      <w:tr>
        <w:trPr>
          <w:trHeight w:val="203"/>
        </w:trPr>
        <w:tc>
          <w:tcPr>
            <w:tcW w:w="2100" w:type="dxa"/>
            <w:vAlign w:val="bottom"/>
          </w:tcPr>
          <w:p>
            <w:pPr>
              <w:spacing w:after="0"/>
              <w:rPr>
                <w:sz w:val="17"/>
                <w:szCs w:val="17"/>
                <w:color w:val="auto"/>
              </w:rPr>
            </w:pPr>
          </w:p>
        </w:tc>
        <w:tc>
          <w:tcPr>
            <w:tcW w:w="1840" w:type="dxa"/>
            <w:vAlign w:val="bottom"/>
          </w:tcPr>
          <w:p>
            <w:pPr>
              <w:jc w:val="center"/>
              <w:ind w:right="539"/>
              <w:spacing w:after="0"/>
              <w:rPr>
                <w:sz w:val="20"/>
                <w:szCs w:val="20"/>
                <w:color w:val="auto"/>
              </w:rPr>
            </w:pPr>
            <w:r>
              <w:rPr>
                <w:rFonts w:ascii="Arial" w:cs="Arial" w:eastAsia="Arial" w:hAnsi="Arial"/>
                <w:sz w:val="16"/>
                <w:szCs w:val="16"/>
                <w:b w:val="1"/>
                <w:bCs w:val="1"/>
                <w:color w:val="auto"/>
                <w:w w:val="88"/>
              </w:rPr>
              <w:t>Class</w:t>
            </w: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Outstanding as of November 2, 2009</w:t>
            </w:r>
          </w:p>
        </w:tc>
      </w:tr>
      <w:tr>
        <w:trPr>
          <w:trHeight w:val="196"/>
        </w:trPr>
        <w:tc>
          <w:tcPr>
            <w:tcW w:w="2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570"/>
        </w:trPr>
        <w:tc>
          <w:tcPr>
            <w:tcW w:w="21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AMERICAN SUPERCONDUCTOR CORPORATION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880" w:type="dxa"/>
            <w:vAlign w:val="bottom"/>
            <w:gridSpan w:val="20"/>
            <w:vMerge w:val="restart"/>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I—FINANCIAL INFORMATION</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Page No.</w:t>
            </w:r>
          </w:p>
        </w:tc>
        <w:tc>
          <w:tcPr>
            <w:tcW w:w="0" w:type="dxa"/>
            <w:vAlign w:val="bottom"/>
          </w:tcPr>
          <w:p>
            <w:pPr>
              <w:spacing w:after="0"/>
              <w:rPr>
                <w:sz w:val="1"/>
                <w:szCs w:val="1"/>
                <w:color w:val="auto"/>
              </w:rPr>
            </w:pPr>
          </w:p>
        </w:tc>
      </w:tr>
      <w:tr>
        <w:trPr>
          <w:trHeight w:val="151"/>
        </w:trPr>
        <w:tc>
          <w:tcPr>
            <w:tcW w:w="10880" w:type="dxa"/>
            <w:vAlign w:val="bottom"/>
            <w:gridSpan w:val="20"/>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0"/>
        </w:trPr>
        <w:tc>
          <w:tcPr>
            <w:tcW w:w="46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Item 1.</w:t>
              </w:r>
            </w:hyperlink>
          </w:p>
        </w:tc>
        <w:tc>
          <w:tcPr>
            <w:tcW w:w="440" w:type="dxa"/>
            <w:vAlign w:val="bottom"/>
            <w:tcBorders>
              <w:top w:val="single" w:sz="8" w:color="0000EE"/>
            </w:tcBorders>
            <w:gridSpan w:val="3"/>
          </w:tcPr>
          <w:p>
            <w:pPr>
              <w:spacing w:after="0"/>
              <w:rPr>
                <w:sz w:val="24"/>
                <w:szCs w:val="24"/>
                <w:color w:val="auto"/>
              </w:rPr>
            </w:pPr>
          </w:p>
        </w:tc>
        <w:tc>
          <w:tcPr>
            <w:tcW w:w="13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Financial Statements</w:t>
              </w:r>
            </w:hyperlink>
          </w:p>
        </w:tc>
        <w:tc>
          <w:tcPr>
            <w:tcW w:w="580" w:type="dxa"/>
            <w:vAlign w:val="bottom"/>
            <w:tcBorders>
              <w:top w:val="single" w:sz="8" w:color="0000EE"/>
            </w:tcBorders>
            <w:gridSpan w:val="3"/>
          </w:tcPr>
          <w:p>
            <w:pPr>
              <w:spacing w:after="0"/>
              <w:rPr>
                <w:sz w:val="24"/>
                <w:szCs w:val="24"/>
                <w:color w:val="auto"/>
              </w:rPr>
            </w:pPr>
          </w:p>
        </w:tc>
        <w:tc>
          <w:tcPr>
            <w:tcW w:w="8040" w:type="dxa"/>
            <w:vAlign w:val="bottom"/>
            <w:gridSpan w:val="9"/>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2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Unaudited Condensed Consolidated Balance Sheets as of September 30, 2009 and March 31, 2009</w:t>
              </w:r>
            </w:hyperlink>
          </w:p>
        </w:tc>
        <w:tc>
          <w:tcPr>
            <w:tcW w:w="3560" w:type="dxa"/>
            <w:vAlign w:val="bottom"/>
            <w:gridSpan w:val="5"/>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Unaudited Condensed Consolidated Statements of Operations for the three and six months ended September 30, 2009 and 2008</w:t>
              </w:r>
            </w:hyperlink>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tcBorders>
              <w:bottom w:val="single" w:sz="8" w:color="0000EE"/>
            </w:tcBorders>
            <w:gridSpan w:val="14"/>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Unaudited Condensed Consolidated Statements of Comprehensive Income (Loss) for the three and six months ended September 30, 2009 and 2008</w:t>
              </w:r>
            </w:hyperlink>
          </w:p>
        </w:tc>
        <w:tc>
          <w:tcPr>
            <w:tcW w:w="380" w:type="dxa"/>
            <w:vAlign w:val="bottom"/>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20" w:type="dxa"/>
            <w:vAlign w:val="bottom"/>
            <w:tcBorders>
              <w:bottom w:val="single" w:sz="8" w:color="0000EE"/>
            </w:tcBorders>
            <w:gridSpan w:val="12"/>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Unaudited Condensed Consolidated Statements of Cash Flows for the six months ended September 30, 2009 and 2008</w:t>
              </w:r>
            </w:hyperlink>
          </w:p>
        </w:tc>
        <w:tc>
          <w:tcPr>
            <w:tcW w:w="2260" w:type="dxa"/>
            <w:vAlign w:val="bottom"/>
            <w:gridSpan w:val="3"/>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70"/>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Unaudited Condensed Consolidated Financial Statements</w:t>
              </w:r>
            </w:hyperlink>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6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Item 2.</w:t>
              </w:r>
            </w:hyperlink>
          </w:p>
        </w:tc>
        <w:tc>
          <w:tcPr>
            <w:tcW w:w="440" w:type="dxa"/>
            <w:vAlign w:val="bottom"/>
            <w:gridSpan w:val="3"/>
          </w:tcPr>
          <w:p>
            <w:pPr>
              <w:spacing w:after="0"/>
              <w:rPr>
                <w:sz w:val="24"/>
                <w:szCs w:val="24"/>
                <w:color w:val="auto"/>
              </w:rPr>
            </w:pPr>
          </w:p>
        </w:tc>
        <w:tc>
          <w:tcPr>
            <w:tcW w:w="5840" w:type="dxa"/>
            <w:vAlign w:val="bottom"/>
            <w:tcBorders>
              <w:bottom w:val="single" w:sz="8" w:color="0000EE"/>
            </w:tcBorders>
            <w:gridSpan w:val="9"/>
          </w:tcPr>
          <w:p>
            <w:pPr>
              <w:spacing w:after="0"/>
              <w:rPr>
                <w:rFonts w:ascii="Arial" w:cs="Arial" w:eastAsia="Arial" w:hAnsi="Arial"/>
                <w:sz w:val="16"/>
                <w:szCs w:val="16"/>
                <w:color w:val="0000EE"/>
                <w:w w:val="92"/>
              </w:rPr>
            </w:pPr>
            <w:hyperlink w:anchor="page17">
              <w:r>
                <w:rPr>
                  <w:rFonts w:ascii="Arial" w:cs="Arial" w:eastAsia="Arial" w:hAnsi="Arial"/>
                  <w:sz w:val="16"/>
                  <w:szCs w:val="16"/>
                  <w:color w:val="0000EE"/>
                  <w:w w:val="92"/>
                </w:rPr>
                <w:t>Management’s Discussion and Analysis of Financial Condition and Results of Operations</w:t>
              </w:r>
            </w:hyperlink>
          </w:p>
        </w:tc>
        <w:tc>
          <w:tcPr>
            <w:tcW w:w="4140" w:type="dxa"/>
            <w:vAlign w:val="bottom"/>
            <w:gridSpan w:val="6"/>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70"/>
        </w:trPr>
        <w:tc>
          <w:tcPr>
            <w:tcW w:w="46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Item 3.</w:t>
              </w:r>
            </w:hyperlink>
          </w:p>
        </w:tc>
        <w:tc>
          <w:tcPr>
            <w:tcW w:w="440" w:type="dxa"/>
            <w:vAlign w:val="bottom"/>
            <w:gridSpan w:val="3"/>
          </w:tcPr>
          <w:p>
            <w:pPr>
              <w:spacing w:after="0"/>
              <w:rPr>
                <w:sz w:val="24"/>
                <w:szCs w:val="24"/>
                <w:color w:val="auto"/>
              </w:rPr>
            </w:pPr>
          </w:p>
        </w:tc>
        <w:tc>
          <w:tcPr>
            <w:tcW w:w="3940" w:type="dxa"/>
            <w:vAlign w:val="bottom"/>
            <w:tcBorders>
              <w:bottom w:val="single" w:sz="8" w:color="0000EE"/>
            </w:tcBorders>
            <w:gridSpan w:val="7"/>
          </w:tcPr>
          <w:p>
            <w:pP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Quantitative and Qualitative Disclosures About Market Risk</w:t>
              </w:r>
            </w:hyperlink>
          </w:p>
        </w:tc>
        <w:tc>
          <w:tcPr>
            <w:tcW w:w="6040" w:type="dxa"/>
            <w:vAlign w:val="bottom"/>
            <w:gridSpan w:val="8"/>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70"/>
        </w:trPr>
        <w:tc>
          <w:tcPr>
            <w:tcW w:w="46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Item 4.</w:t>
              </w:r>
            </w:hyperlink>
          </w:p>
        </w:tc>
        <w:tc>
          <w:tcPr>
            <w:tcW w:w="440" w:type="dxa"/>
            <w:vAlign w:val="bottom"/>
            <w:gridSpan w:val="3"/>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Controls and Procedures</w:t>
              </w:r>
            </w:hyperlink>
          </w:p>
        </w:tc>
        <w:tc>
          <w:tcPr>
            <w:tcW w:w="8380" w:type="dxa"/>
            <w:vAlign w:val="bottom"/>
            <w:gridSpan w:val="11"/>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70"/>
        </w:trPr>
        <w:tc>
          <w:tcPr>
            <w:tcW w:w="258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PART II—OTHER INFORMATION</w:t>
              </w:r>
            </w:hyperlink>
          </w:p>
        </w:tc>
        <w:tc>
          <w:tcPr>
            <w:tcW w:w="830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27">
              <w:r>
                <w:rPr>
                  <w:rFonts w:ascii="Arial" w:cs="Arial" w:eastAsia="Arial" w:hAnsi="Arial"/>
                  <w:sz w:val="16"/>
                  <w:szCs w:val="16"/>
                  <w:color w:val="0000EE"/>
                  <w:w w:val="93"/>
                </w:rPr>
                <w:t>Item 1A.</w:t>
              </w:r>
            </w:hyperlink>
          </w:p>
        </w:tc>
        <w:tc>
          <w:tcPr>
            <w:tcW w:w="320" w:type="dxa"/>
            <w:vAlign w:val="bottom"/>
            <w:gridSpan w:val="2"/>
          </w:tcPr>
          <w:p>
            <w:pPr>
              <w:spacing w:after="0"/>
              <w:rPr>
                <w:sz w:val="24"/>
                <w:szCs w:val="24"/>
                <w:color w:val="auto"/>
              </w:rPr>
            </w:pPr>
          </w:p>
        </w:tc>
        <w:tc>
          <w:tcPr>
            <w:tcW w:w="82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27">
              <w:r>
                <w:rPr>
                  <w:rFonts w:ascii="Arial" w:cs="Arial" w:eastAsia="Arial" w:hAnsi="Arial"/>
                  <w:sz w:val="16"/>
                  <w:szCs w:val="16"/>
                  <w:color w:val="0000EE"/>
                  <w:w w:val="89"/>
                </w:rPr>
                <w:t>Risk Factors</w:t>
              </w:r>
            </w:hyperlink>
          </w:p>
        </w:tc>
        <w:tc>
          <w:tcPr>
            <w:tcW w:w="9160" w:type="dxa"/>
            <w:vAlign w:val="bottom"/>
            <w:gridSpan w:val="13"/>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70"/>
        </w:trPr>
        <w:tc>
          <w:tcPr>
            <w:tcW w:w="460" w:type="dxa"/>
            <w:vAlign w:val="bottom"/>
            <w:gridSpan w:val="2"/>
          </w:tcPr>
          <w:p>
            <w:pPr>
              <w:spacing w:after="0"/>
              <w:rPr>
                <w:rFonts w:ascii="Arial" w:cs="Arial" w:eastAsia="Arial" w:hAnsi="Arial"/>
                <w:sz w:val="16"/>
                <w:szCs w:val="16"/>
                <w:color w:val="0000EE"/>
                <w:w w:val="89"/>
              </w:rPr>
            </w:pPr>
            <w:hyperlink w:anchor="page27">
              <w:r>
                <w:rPr>
                  <w:rFonts w:ascii="Arial" w:cs="Arial" w:eastAsia="Arial" w:hAnsi="Arial"/>
                  <w:sz w:val="16"/>
                  <w:szCs w:val="16"/>
                  <w:color w:val="0000EE"/>
                  <w:w w:val="89"/>
                </w:rPr>
                <w:t>Item 6.</w:t>
              </w:r>
            </w:hyperlink>
          </w:p>
        </w:tc>
        <w:tc>
          <w:tcPr>
            <w:tcW w:w="440" w:type="dxa"/>
            <w:vAlign w:val="bottom"/>
            <w:gridSpan w:val="3"/>
          </w:tcPr>
          <w:p>
            <w:pPr>
              <w:spacing w:after="0"/>
              <w:rPr>
                <w:sz w:val="24"/>
                <w:szCs w:val="24"/>
                <w:color w:val="auto"/>
              </w:rPr>
            </w:pPr>
          </w:p>
        </w:tc>
        <w:tc>
          <w:tcPr>
            <w:tcW w:w="9980" w:type="dxa"/>
            <w:vAlign w:val="bottom"/>
            <w:gridSpan w:val="15"/>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Exhibits</w:t>
              </w:r>
            </w:hyperlink>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0" w:type="dxa"/>
            <w:vAlign w:val="bottom"/>
            <w:gridSpan w:val="5"/>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Signature</w:t>
              </w:r>
            </w:hyperlink>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980" w:type="dxa"/>
            <w:vAlign w:val="bottom"/>
            <w:gridSpan w:val="12"/>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0840" w:type="dxa"/>
            <w:vAlign w:val="bottom"/>
            <w:gridSpan w:val="19"/>
          </w:tcPr>
          <w:p>
            <w:pPr>
              <w:spacing w:after="0" w:line="175" w:lineRule="exact"/>
              <w:rPr>
                <w:sz w:val="20"/>
                <w:szCs w:val="20"/>
                <w:color w:val="auto"/>
              </w:rPr>
            </w:pPr>
            <w:r>
              <w:rPr>
                <w:rFonts w:ascii="Arial" w:cs="Arial" w:eastAsia="Arial" w:hAnsi="Arial"/>
                <w:sz w:val="16"/>
                <w:szCs w:val="16"/>
                <w:color w:val="0000EE"/>
              </w:rPr>
              <w:t>EX-10.1 Executive Severance Agreement dated as of September 8, 2009 between the Registrant and Susan J. DiCecco.</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EX-31.1 Section 302 Certification of CEO</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EX-31.2 Section 302 Certification of CFO</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EX-32.1 Section 906 Certification of CEO</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EE"/>
        </w:rPr>
        <w:t>EX-32.2 Section 906 Certification of CFO</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79" w:right="21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AMERICAN SUPERCONDUCTOR CORPORATION</w:t>
      </w:r>
    </w:p>
    <w:p>
      <w:pPr>
        <w:spacing w:after="0" w:line="109"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PART I — FINANCIAL INFORMATION</w:t>
      </w:r>
    </w:p>
    <w:p>
      <w:pPr>
        <w:spacing w:after="0" w:line="109"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ITEM 1. FINANCIAL STATEMENTS</w:t>
      </w:r>
    </w:p>
    <w:p>
      <w:pPr>
        <w:spacing w:after="0" w:line="109"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3"/>
                <w:szCs w:val="13"/>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2009</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20" w:type="dxa"/>
            <w:vAlign w:val="bottom"/>
            <w:shd w:val="clear" w:color="auto" w:fill="CCEEFF"/>
          </w:tcPr>
          <w:p>
            <w:pPr>
              <w:ind w:left="396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86,752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70,674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ind w:left="16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36,177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39,255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47,004</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50,103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ind w:left="16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29,187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35,129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6,398</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10,143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10,313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tax assets, net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216,763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212,506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54,435</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39,217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26,233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8,763</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1,634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10,127</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12,765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5,264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343,704</w:t>
            </w:r>
          </w:p>
        </w:tc>
        <w:tc>
          <w:tcPr>
            <w:tcW w:w="3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250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ind w:left="16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57,832</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60,253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18,244</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76,076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Deferred tax liabilities, net</w:t>
            </w:r>
          </w:p>
        </w:tc>
        <w:tc>
          <w:tcPr>
            <w:tcW w:w="1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877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241</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86,350</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9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9)</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914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ind w:left="16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675,209</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653,054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contract costs — warrant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tcPr>
          <w:p>
            <w:pPr>
              <w:ind w:left="160"/>
              <w:spacing w:after="0"/>
              <w:rPr>
                <w:sz w:val="20"/>
                <w:szCs w:val="20"/>
                <w:color w:val="auto"/>
              </w:rPr>
            </w:pPr>
            <w:r>
              <w:rPr>
                <w:rFonts w:ascii="Arial" w:cs="Arial" w:eastAsia="Arial" w:hAnsi="Arial"/>
                <w:sz w:val="16"/>
                <w:szCs w:val="16"/>
                <w:color w:val="auto"/>
              </w:rPr>
              <w:t>Accumulated other comprehensive income/(loss)</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2,709</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9"/>
              </w:rPr>
              <w:t>(421,005)</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(427,137)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257,354</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221,861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343,704</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9280" w:type="dxa"/>
            <w:vAlign w:val="bottom"/>
            <w:gridSpan w:val="2"/>
          </w:tcPr>
          <w:p>
            <w:pPr>
              <w:jc w:val="center"/>
              <w:ind w:left="2039"/>
              <w:spacing w:after="0"/>
              <w:rPr>
                <w:sz w:val="20"/>
                <w:szCs w:val="20"/>
                <w:color w:val="auto"/>
              </w:rPr>
            </w:pPr>
            <w:r>
              <w:rPr>
                <w:rFonts w:ascii="Arial" w:cs="Arial" w:eastAsia="Arial" w:hAnsi="Arial"/>
                <w:sz w:val="16"/>
                <w:szCs w:val="16"/>
                <w:color w:val="auto"/>
                <w:w w:val="91"/>
              </w:rPr>
              <w:t>The accompanying notes are an integral part of the unaudited condensed consolidated financial statements.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140" w:type="dxa"/>
            <w:vAlign w:val="bottom"/>
            <w:gridSpan w:val="2"/>
          </w:tcPr>
          <w:p>
            <w:pPr>
              <w:jc w:val="right"/>
              <w:ind w:right="329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jc w:val="center"/>
        <w:ind w:right="20"/>
        <w:spacing w:after="0" w:line="272" w:lineRule="auto"/>
        <w:rPr>
          <w:sz w:val="20"/>
          <w:szCs w:val="20"/>
          <w:color w:val="auto"/>
        </w:rPr>
      </w:pPr>
      <w:r>
        <w:rPr>
          <w:rFonts w:ascii="Arial" w:cs="Arial" w:eastAsia="Arial" w:hAnsi="Arial"/>
          <w:sz w:val="16"/>
          <w:szCs w:val="16"/>
          <w:b w:val="1"/>
          <w:bCs w:val="1"/>
          <w:color w:val="auto"/>
        </w:rPr>
        <w:t>AMERICAN SUPERCONDUCTOR CORPORATION UNAUDITED CONDENSED CONSOLIDATED STATEMENTS OF OPERATIONS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jc w:val="right"/>
              <w:ind w:right="1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Six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1"/>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0"/>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21"/>
              <w:spacing w:after="0" w:line="126" w:lineRule="exact"/>
              <w:rPr>
                <w:sz w:val="20"/>
                <w:szCs w:val="20"/>
                <w:color w:val="auto"/>
              </w:rPr>
            </w:pPr>
            <w:r>
              <w:rPr>
                <w:rFonts w:ascii="Arial" w:cs="Arial" w:eastAsia="Arial" w:hAnsi="Arial"/>
                <w:sz w:val="13"/>
                <w:szCs w:val="13"/>
                <w:b w:val="1"/>
                <w:bCs w:val="1"/>
                <w:color w:val="auto"/>
              </w:rPr>
              <w:t>2009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0"/>
              <w:spacing w:after="0" w:line="126" w:lineRule="exact"/>
              <w:rPr>
                <w:sz w:val="20"/>
                <w:szCs w:val="20"/>
                <w:color w:val="auto"/>
              </w:rPr>
            </w:pPr>
            <w:r>
              <w:rPr>
                <w:rFonts w:ascii="Arial" w:cs="Arial" w:eastAsia="Arial" w:hAnsi="Arial"/>
                <w:sz w:val="13"/>
                <w:szCs w:val="13"/>
                <w:b w:val="1"/>
                <w:bCs w:val="1"/>
                <w:color w:val="auto"/>
                <w:w w:val="96"/>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74,672</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40,375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147,672</w:t>
            </w:r>
          </w:p>
        </w:tc>
        <w:tc>
          <w:tcPr>
            <w:tcW w:w="3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80,192</w:t>
            </w:r>
          </w:p>
        </w:tc>
        <w:tc>
          <w:tcPr>
            <w:tcW w:w="0" w:type="dxa"/>
            <w:vAlign w:val="bottom"/>
          </w:tcPr>
          <w:p>
            <w:pPr>
              <w:spacing w:after="0"/>
              <w:rPr>
                <w:sz w:val="1"/>
                <w:szCs w:val="1"/>
                <w:color w:val="auto"/>
              </w:rPr>
            </w:pPr>
          </w:p>
        </w:tc>
      </w:tr>
      <w:tr>
        <w:trPr>
          <w:trHeight w:val="394"/>
        </w:trPr>
        <w:tc>
          <w:tcPr>
            <w:tcW w:w="6520" w:type="dxa"/>
            <w:vAlign w:val="bottom"/>
            <w:gridSpan w:val="2"/>
          </w:tcPr>
          <w:p>
            <w:pPr>
              <w:spacing w:after="0"/>
              <w:rPr>
                <w:sz w:val="20"/>
                <w:szCs w:val="20"/>
                <w:color w:val="auto"/>
              </w:rPr>
            </w:pPr>
            <w:r>
              <w:rPr>
                <w:rFonts w:ascii="Arial" w:cs="Arial" w:eastAsia="Arial" w:hAnsi="Arial"/>
                <w:sz w:val="16"/>
                <w:szCs w:val="16"/>
                <w:color w:val="auto"/>
              </w:rPr>
              <w:t>Cost and operating expenses: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revenues</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45,637</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29,670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96,054</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57,866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5,416</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4,688</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9,944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9,601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12,712</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8,849</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23,597</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17,742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Amortization of acquisition related intangibles</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460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905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Restructuring and impairments</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451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tcPr>
          <w:p>
            <w:pPr>
              <w:ind w:left="340"/>
              <w:spacing w:after="0"/>
              <w:rPr>
                <w:sz w:val="20"/>
                <w:szCs w:val="20"/>
                <w:color w:val="auto"/>
              </w:rPr>
            </w:pPr>
            <w:r>
              <w:rPr>
                <w:rFonts w:ascii="Arial" w:cs="Arial" w:eastAsia="Arial" w:hAnsi="Arial"/>
                <w:sz w:val="16"/>
                <w:szCs w:val="16"/>
                <w:color w:val="auto"/>
              </w:rPr>
              <w:t>Total cost and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64,342</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44,188</w:t>
            </w:r>
          </w:p>
        </w:tc>
        <w:tc>
          <w:tcPr>
            <w:tcW w:w="6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130,951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86,693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10,330</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(3,813)</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16,721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(6,501)</w:t>
            </w:r>
          </w:p>
        </w:tc>
        <w:tc>
          <w:tcPr>
            <w:tcW w:w="0" w:type="dxa"/>
            <w:vAlign w:val="bottom"/>
          </w:tcPr>
          <w:p>
            <w:pPr>
              <w:spacing w:after="0"/>
              <w:rPr>
                <w:sz w:val="1"/>
                <w:szCs w:val="1"/>
                <w:color w:val="auto"/>
              </w:rPr>
            </w:pPr>
          </w:p>
        </w:tc>
      </w:tr>
      <w:tr>
        <w:trPr>
          <w:trHeight w:val="390"/>
        </w:trPr>
        <w:tc>
          <w:tcPr>
            <w:tcW w:w="652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190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433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(871)</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(2,847)</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520" w:type="dxa"/>
            <w:vAlign w:val="bottom"/>
            <w:gridSpan w:val="2"/>
          </w:tcPr>
          <w:p>
            <w:pPr>
              <w:spacing w:after="0"/>
              <w:rPr>
                <w:sz w:val="20"/>
                <w:szCs w:val="20"/>
                <w:color w:val="auto"/>
              </w:rPr>
            </w:pPr>
            <w:r>
              <w:rPr>
                <w:rFonts w:ascii="Arial" w:cs="Arial" w:eastAsia="Arial" w:hAnsi="Arial"/>
                <w:sz w:val="16"/>
                <w:szCs w:val="16"/>
                <w:color w:val="auto"/>
              </w:rPr>
              <w:t>Income (loss) before income tax expense</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9,649</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6"/>
                <w:szCs w:val="16"/>
                <w:color w:val="auto"/>
              </w:rPr>
              <w:t>(2,531)</w:t>
            </w: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14,307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(6,915)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5,309</w:t>
            </w: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5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4,340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40"/>
              <w:spacing w:after="0"/>
              <w:rPr>
                <w:sz w:val="20"/>
                <w:szCs w:val="20"/>
                <w:color w:val="auto"/>
              </w:rPr>
            </w:pPr>
            <w:r>
              <w:rPr>
                <w:rFonts w:ascii="Arial" w:cs="Arial" w:eastAsia="Arial" w:hAnsi="Arial"/>
                <w:sz w:val="16"/>
                <w:szCs w:val="16"/>
                <w:color w:val="auto"/>
              </w:rPr>
              <w:t>(4,068)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6,132</w:t>
            </w:r>
          </w:p>
        </w:tc>
        <w:tc>
          <w:tcPr>
            <w:tcW w:w="36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(10,171)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common share</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0.10</w:t>
            </w: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40"/>
              <w:spacing w:after="0"/>
              <w:rPr>
                <w:sz w:val="20"/>
                <w:szCs w:val="20"/>
                <w:color w:val="auto"/>
              </w:rPr>
            </w:pPr>
            <w:r>
              <w:rPr>
                <w:rFonts w:ascii="Arial" w:cs="Arial" w:eastAsia="Arial" w:hAnsi="Arial"/>
                <w:sz w:val="16"/>
                <w:szCs w:val="16"/>
                <w:color w:val="auto"/>
              </w:rPr>
              <w:t>(0.10)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0.14</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0.10</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0.14</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44,247</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42,745</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42,380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160"/>
              <w:spacing w:after="0"/>
              <w:rPr>
                <w:sz w:val="20"/>
                <w:szCs w:val="20"/>
                <w:color w:val="auto"/>
              </w:rPr>
            </w:pPr>
            <w:r>
              <w:rPr>
                <w:rFonts w:ascii="Arial" w:cs="Arial" w:eastAsia="Arial" w:hAnsi="Arial"/>
                <w:sz w:val="16"/>
                <w:szCs w:val="16"/>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65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45,233</w:t>
            </w:r>
          </w:p>
        </w:tc>
        <w:tc>
          <w:tcPr>
            <w:tcW w:w="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42,745</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44,922</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42,380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jc w:val="center"/>
        <w:ind w:right="20"/>
        <w:spacing w:after="0" w:line="282" w:lineRule="auto"/>
        <w:rPr>
          <w:sz w:val="20"/>
          <w:szCs w:val="20"/>
          <w:color w:val="auto"/>
        </w:rPr>
      </w:pPr>
      <w:r>
        <w:rPr>
          <w:rFonts w:ascii="Arial" w:cs="Arial" w:eastAsia="Arial" w:hAnsi="Arial"/>
          <w:sz w:val="16"/>
          <w:szCs w:val="16"/>
          <w:b w:val="1"/>
          <w:bCs w:val="1"/>
          <w:color w:val="auto"/>
        </w:rPr>
        <w:t>AMERICAN SUPERCONDUCTOR CORPORATION UNAUDITED CONDENSED CONSOLIDATED STATEMENTS OF COMPREHENSIVE INCOME (LOSS)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jc w:val="right"/>
              <w:ind w:right="1119"/>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136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5"/>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1"/>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5"/>
              <w:spacing w:after="0" w:line="126" w:lineRule="exact"/>
              <w:rPr>
                <w:sz w:val="20"/>
                <w:szCs w:val="20"/>
                <w:color w:val="auto"/>
              </w:rPr>
            </w:pPr>
            <w:r>
              <w:rPr>
                <w:rFonts w:ascii="Arial" w:cs="Arial" w:eastAsia="Arial" w:hAnsi="Arial"/>
                <w:sz w:val="13"/>
                <w:szCs w:val="13"/>
                <w:color w:val="auto"/>
              </w:rPr>
              <w:t>2009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line="126" w:lineRule="exact"/>
              <w:rPr>
                <w:sz w:val="20"/>
                <w:szCs w:val="20"/>
                <w:color w:val="auto"/>
              </w:rPr>
            </w:pPr>
            <w:r>
              <w:rPr>
                <w:rFonts w:ascii="Arial" w:cs="Arial" w:eastAsia="Arial" w:hAnsi="Arial"/>
                <w:sz w:val="13"/>
                <w:szCs w:val="13"/>
                <w:color w:val="auto"/>
                <w:w w:val="96"/>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4,340</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(4,068)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w:t>
            </w:r>
          </w:p>
        </w:tc>
        <w:tc>
          <w:tcPr>
            <w:tcW w:w="3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(10,171)</w:t>
            </w:r>
          </w:p>
        </w:tc>
        <w:tc>
          <w:tcPr>
            <w:tcW w:w="0" w:type="dxa"/>
            <w:vAlign w:val="bottom"/>
          </w:tcPr>
          <w:p>
            <w:pPr>
              <w:spacing w:after="0"/>
              <w:rPr>
                <w:sz w:val="1"/>
                <w:szCs w:val="1"/>
                <w:color w:val="auto"/>
              </w:rPr>
            </w:pPr>
          </w:p>
        </w:tc>
      </w:tr>
      <w:tr>
        <w:trPr>
          <w:trHeight w:val="394"/>
        </w:trPr>
        <w:tc>
          <w:tcPr>
            <w:tcW w:w="652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3,248</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(3,820)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Unrealized gain/(loss) on investments</w:t>
            </w:r>
          </w:p>
        </w:tc>
        <w:tc>
          <w:tcPr>
            <w:tcW w:w="160" w:type="dxa"/>
            <w:vAlign w:val="bottom"/>
          </w:tcPr>
          <w:p>
            <w:pPr>
              <w:spacing w:after="0"/>
              <w:rPr>
                <w:sz w:val="16"/>
                <w:szCs w:val="16"/>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(3,802)</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7,196</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0" w:type="dxa"/>
            <w:vAlign w:val="bottom"/>
          </w:tcPr>
          <w:p>
            <w:pPr>
              <w:spacing w:after="0"/>
              <w:rPr>
                <w:sz w:val="1"/>
                <w:szCs w:val="1"/>
                <w:color w:val="auto"/>
              </w:rPr>
            </w:pPr>
          </w:p>
        </w:tc>
      </w:tr>
      <w:tr>
        <w:trPr>
          <w:trHeight w:val="199"/>
        </w:trPr>
        <w:tc>
          <w:tcPr>
            <w:tcW w:w="652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7,569</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(7,870</w:t>
            </w:r>
          </w:p>
        </w:tc>
        <w:tc>
          <w:tcPr>
            <w:tcW w:w="680" w:type="dxa"/>
            <w:vAlign w:val="bottom"/>
          </w:tcPr>
          <w:p>
            <w:pPr>
              <w:jc w:val="right"/>
              <w:ind w:right="59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13,328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(14,051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jc w:val="center"/>
        <w:ind w:right="20"/>
        <w:spacing w:after="0" w:line="282" w:lineRule="auto"/>
        <w:rPr>
          <w:sz w:val="20"/>
          <w:szCs w:val="20"/>
          <w:color w:val="auto"/>
        </w:rPr>
      </w:pPr>
      <w:r>
        <w:rPr>
          <w:rFonts w:ascii="Arial" w:cs="Arial" w:eastAsia="Arial" w:hAnsi="Arial"/>
          <w:sz w:val="16"/>
          <w:szCs w:val="16"/>
          <w:b w:val="1"/>
          <w:bCs w:val="1"/>
          <w:color w:val="auto"/>
        </w:rPr>
        <w:t>AMERICAN SUPERCONDUCTOR CORPORATION UNAUDITED CONDENSED CONSOLIDATED STATEMENTS OF CASH FLOWS (In thousands)</w:t>
      </w:r>
    </w:p>
    <w:p>
      <w:pPr>
        <w:spacing w:after="0" w:line="344" w:lineRule="exact"/>
        <w:rPr>
          <w:sz w:val="20"/>
          <w:szCs w:val="20"/>
          <w:color w:val="auto"/>
        </w:rPr>
      </w:pPr>
    </w:p>
    <w:p>
      <w:pPr>
        <w:jc w:val="center"/>
        <w:ind w:left="9180"/>
        <w:spacing w:after="0"/>
        <w:rPr>
          <w:sz w:val="20"/>
          <w:szCs w:val="20"/>
          <w:color w:val="auto"/>
        </w:rPr>
      </w:pPr>
      <w:r>
        <w:rPr>
          <w:rFonts w:ascii="Arial" w:cs="Arial" w:eastAsia="Arial" w:hAnsi="Arial"/>
          <w:sz w:val="13"/>
          <w:szCs w:val="13"/>
          <w:b w:val="1"/>
          <w:bCs w:val="1"/>
          <w:color w:val="auto"/>
        </w:rPr>
        <w:t>For the six months ended</w:t>
      </w:r>
    </w:p>
    <w:p>
      <w:pPr>
        <w:jc w:val="center"/>
        <w:ind w:left="9180"/>
        <w:spacing w:after="0" w:line="225" w:lineRule="auto"/>
        <w:rPr>
          <w:sz w:val="20"/>
          <w:szCs w:val="20"/>
          <w:color w:val="auto"/>
        </w:rPr>
      </w:pPr>
      <w:r>
        <w:rPr>
          <w:rFonts w:ascii="Arial" w:cs="Arial" w:eastAsia="Arial" w:hAnsi="Arial"/>
          <w:sz w:val="13"/>
          <w:szCs w:val="13"/>
          <w:b w:val="1"/>
          <w:bCs w:val="1"/>
          <w:color w:val="auto"/>
        </w:rPr>
        <w:t>September 30,</w:t>
      </w: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2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39"/>
              <w:spacing w:after="0" w:line="126" w:lineRule="exact"/>
              <w:rPr>
                <w:sz w:val="20"/>
                <w:szCs w:val="20"/>
                <w:color w:val="auto"/>
              </w:rPr>
            </w:pPr>
            <w:r>
              <w:rPr>
                <w:rFonts w:ascii="Arial" w:cs="Arial" w:eastAsia="Arial" w:hAnsi="Arial"/>
                <w:sz w:val="13"/>
                <w:szCs w:val="13"/>
                <w:b w:val="1"/>
                <w:bCs w:val="1"/>
                <w:color w:val="auto"/>
              </w:rPr>
              <w:t>2009</w:t>
            </w: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9"/>
              <w:spacing w:after="0" w:line="126"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6,132</w:t>
            </w:r>
          </w:p>
        </w:tc>
        <w:tc>
          <w:tcPr>
            <w:tcW w:w="38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(10,171)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income/(loss) to net cash used in operations: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4,704</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Stock-based compensation expense—non-employee</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doubtful accounts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Re-valuation of warrant</w:t>
            </w:r>
          </w:p>
        </w:tc>
        <w:tc>
          <w:tcPr>
            <w:tcW w:w="12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(1,111)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Other non-cash items</w:t>
            </w:r>
          </w:p>
        </w:tc>
        <w:tc>
          <w:tcPr>
            <w:tcW w:w="12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382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 and liability accounts: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3,010</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4,837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712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(4,810)</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52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(567)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3,853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21,687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3,520</w:t>
            </w:r>
          </w:p>
        </w:tc>
        <w:tc>
          <w:tcPr>
            <w:tcW w:w="0" w:type="dxa"/>
            <w:vAlign w:val="bottom"/>
          </w:tcPr>
          <w:p>
            <w:pPr>
              <w:spacing w:after="0"/>
              <w:rPr>
                <w:sz w:val="1"/>
                <w:szCs w:val="1"/>
                <w:color w:val="auto"/>
              </w:rPr>
            </w:pPr>
          </w:p>
        </w:tc>
      </w:tr>
      <w:tr>
        <w:trPr>
          <w:trHeight w:val="394"/>
        </w:trPr>
        <w:tc>
          <w:tcPr>
            <w:tcW w:w="928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property, plant and equipment, net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(2,741)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Purchase of marketable securities</w:t>
            </w:r>
          </w:p>
        </w:tc>
        <w:tc>
          <w:tcPr>
            <w:tcW w:w="12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(40,533)</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(62,217)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maturity of marketable securities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33,374</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34,679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Change in restricted cash</w:t>
            </w:r>
          </w:p>
        </w:tc>
        <w:tc>
          <w:tcPr>
            <w:tcW w:w="12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(546)</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intangible assets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(843)</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Change in other assets</w:t>
            </w:r>
          </w:p>
        </w:tc>
        <w:tc>
          <w:tcPr>
            <w:tcW w:w="12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(617)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(11,906)</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(25,752)</w:t>
            </w:r>
          </w:p>
        </w:tc>
        <w:tc>
          <w:tcPr>
            <w:tcW w:w="0" w:type="dxa"/>
            <w:vAlign w:val="bottom"/>
          </w:tcPr>
          <w:p>
            <w:pPr>
              <w:spacing w:after="0"/>
              <w:rPr>
                <w:sz w:val="1"/>
                <w:szCs w:val="1"/>
                <w:color w:val="auto"/>
              </w:rPr>
            </w:pPr>
          </w:p>
        </w:tc>
      </w:tr>
      <w:tr>
        <w:trPr>
          <w:trHeight w:val="394"/>
        </w:trPr>
        <w:tc>
          <w:tcPr>
            <w:tcW w:w="928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exercise of employee stock options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9260" w:type="dxa"/>
            <w:vAlign w:val="bottom"/>
          </w:tcPr>
          <w:p>
            <w:pPr>
              <w:ind w:left="16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4,068</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11,997</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280" w:type="dxa"/>
            <w:vAlign w:val="bottom"/>
            <w:gridSpan w:val="2"/>
          </w:tcPr>
          <w:p>
            <w:pPr>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16,078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(12,040)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70,674</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67,834</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28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86,752</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55,794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6"/>
                <w:szCs w:val="16"/>
                <w:color w:val="auto"/>
              </w:rPr>
            </w:pPr>
          </w:p>
        </w:tc>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6"/>
                <w:szCs w:val="16"/>
                <w:color w:val="auto"/>
              </w:rPr>
              <w:t>Supplemental schedule of cash flow information:</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tcPr>
          <w:p>
            <w:pPr>
              <w:ind w:left="340"/>
              <w:spacing w:after="0"/>
              <w:rPr>
                <w:sz w:val="20"/>
                <w:szCs w:val="20"/>
                <w:color w:val="auto"/>
              </w:rPr>
            </w:pPr>
            <w:r>
              <w:rPr>
                <w:rFonts w:ascii="Arial" w:cs="Arial" w:eastAsia="Arial" w:hAnsi="Arial"/>
                <w:sz w:val="16"/>
                <w:szCs w:val="16"/>
                <w:color w:val="auto"/>
              </w:rPr>
              <w:t>Non-cash issuance of common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320</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contingent consideration in connection with acquisitions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10,828</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9,784</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the Business and Basis of Presentation</w:t>
      </w:r>
    </w:p>
    <w:p>
      <w:pPr>
        <w:spacing w:after="0" w:line="113" w:lineRule="exact"/>
        <w:rPr>
          <w:sz w:val="20"/>
          <w:szCs w:val="20"/>
          <w:color w:val="auto"/>
        </w:rPr>
      </w:pPr>
    </w:p>
    <w:p>
      <w:pPr>
        <w:jc w:val="both"/>
        <w:ind w:firstLine="199"/>
        <w:spacing w:after="0" w:line="260"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 — from generation to delivery to end use. The Company is a leader in alternative energy, providing proven, megawatt-scale wind turbine designs and electrical control systems.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73"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4"/>
          <w:szCs w:val="14"/>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have been condensed or omitted pursuant to those instructions. The year-end condensed balance sheet data was derived from audited financial statements but does not include all disclosures required by generally accepted accounting principles in the United States of America. The unaudited condensed consolidated financial statements, in the opinion of management, reflect all adjustments (consisting of normal recurring adjustments) necessary for a fair statement of the results for the interim periods ended September 30, 2009 and 2008 and the financial position at September 30, 2009. The unaudited condensed consolidated financial statements include the accounts of the Company and its wholly-owned subsidiaries. All significant intercompany balances and transactions are eliminated in consolidation.</w:t>
      </w:r>
    </w:p>
    <w:p>
      <w:pPr>
        <w:spacing w:after="0" w:line="46"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6"/>
          <w:szCs w:val="16"/>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2009 (fiscal 2008) which are contained in the Company’s Annual Report on Form 10-K, filed with the SEC on May 28, 2009.</w:t>
      </w:r>
    </w:p>
    <w:p>
      <w:pPr>
        <w:spacing w:after="0" w:line="65"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5"/>
          <w:szCs w:val="15"/>
          <w:color w:val="auto"/>
        </w:rPr>
        <w:t>During the six months ended September 30, 2009, the Company corrected an error for bonus expense in the year ending March 31, 2008 that effectively increased net income in the current fiscal year by $0.3 million. The $0.3 million error consisted of a $0.4 million overstatement of bonus expense and a related $0.1 million understatement of income tax expense in the fourth quarter of the fiscal year ended March 31, 2009. The adjustment of $0.4 million had a de minimis impact on certain balance sheet amounts at March 31, 2009. The impact of correcting this error in the fiscal year ended March 31, 2009 would have increased net income by $0.3 million. Also, the Company overstated revenue and net income by $0.2 million in the three months ended June 30, 2009. This error was corrected in the three months ended September 30, 2009, The Company evaluated these errors taking into account both qualitative and quantitative factors and considered the impact of these errors in relation to the first and second quarters of the fiscal year ending March 31, 2010, which is when they were corrected, as well as the periods in which they originated. Management believes these errors are immaterial to both the consolidated quarterly and annual financial statements for all periods affected.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13" w:lineRule="exact"/>
        <w:rPr>
          <w:sz w:val="20"/>
          <w:szCs w:val="20"/>
          <w:color w:val="auto"/>
        </w:rPr>
      </w:pPr>
    </w:p>
    <w:p>
      <w:pPr>
        <w:jc w:val="both"/>
        <w:ind w:firstLine="242"/>
        <w:spacing w:after="0" w:line="260" w:lineRule="auto"/>
        <w:rPr>
          <w:sz w:val="20"/>
          <w:szCs w:val="20"/>
          <w:color w:val="auto"/>
        </w:rPr>
      </w:pPr>
      <w:r>
        <w:rPr>
          <w:rFonts w:ascii="Arial" w:cs="Arial" w:eastAsia="Arial" w:hAnsi="Arial"/>
          <w:sz w:val="16"/>
          <w:szCs w:val="16"/>
          <w:color w:val="auto"/>
        </w:rPr>
        <w:t>In June 2008, the Financial Accounting Standards Boards (“FASB”) issued guidance in determining whether instruments granted in share-based payment transactions are participating securities for purposes of calculating earnings per share. Under the provisions of this standard, unvested awards of share-based payments with non-forfeitable rights to receive dividends or dividend equivalents are considered participating securities for purposes of calculating earnings per share. This accounting standard is effective for financial statements issued for fiscal years beginning after December 15, 2008, and interim periods within those years. The Company has adopted this standard on April 1, 2009. The adoption required the Company to modify its prior year weighted average number of shares outstanding but did not have a material effect on its financial condition or results of operations.</w:t>
      </w:r>
    </w:p>
    <w:p>
      <w:pPr>
        <w:spacing w:after="0" w:line="73" w:lineRule="exact"/>
        <w:rPr>
          <w:sz w:val="20"/>
          <w:szCs w:val="20"/>
          <w:color w:val="auto"/>
        </w:rPr>
      </w:pPr>
    </w:p>
    <w:p>
      <w:pPr>
        <w:jc w:val="both"/>
        <w:ind w:firstLine="203"/>
        <w:spacing w:after="0" w:line="262" w:lineRule="auto"/>
        <w:rPr>
          <w:sz w:val="20"/>
          <w:szCs w:val="20"/>
          <w:color w:val="auto"/>
        </w:rPr>
      </w:pPr>
      <w:r>
        <w:rPr>
          <w:rFonts w:ascii="Arial" w:cs="Arial" w:eastAsia="Arial" w:hAnsi="Arial"/>
          <w:sz w:val="16"/>
          <w:szCs w:val="16"/>
          <w:color w:val="auto"/>
        </w:rPr>
        <w:t>In April 2009, the FASB issued a standard which amends and clarifies a previous standard for business combinations, to address application issues on initial recognition and measurement, subsequent measurement and accounting, and disclosure of assets and liabilities arising from contingencies in a business combination. Under this standard, an acquirer is required to recognize at fair value an asset acquired or liability assumed in a business combination that arises from a contingency if the acquisition date fair value can be determined during the measurement period. If the acquisition date fair value cannot be determined, the acquirer applies the recognition criteria in accounting for contingencies, and a reasonable estimation of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amount of a loss, to determine whether the contingency should be recognized as of the acquisition date or after it. The adoption of this standard could materially change the accounting for business combinations consummated subsequent to its effective date of April 1, 2009. On April 1, 2009, the Company adopted the provisions of this standard and the adoption did not have a material effect on its financial condition or results of operations.</w:t>
      </w:r>
    </w:p>
    <w:p>
      <w:pPr>
        <w:spacing w:after="0" w:line="65" w:lineRule="exact"/>
        <w:rPr>
          <w:sz w:val="20"/>
          <w:szCs w:val="20"/>
          <w:color w:val="auto"/>
        </w:rPr>
      </w:pPr>
    </w:p>
    <w:p>
      <w:pPr>
        <w:jc w:val="both"/>
        <w:ind w:right="20" w:firstLine="233"/>
        <w:spacing w:after="0" w:line="269" w:lineRule="auto"/>
        <w:rPr>
          <w:sz w:val="20"/>
          <w:szCs w:val="20"/>
          <w:color w:val="auto"/>
        </w:rPr>
      </w:pPr>
      <w:r>
        <w:rPr>
          <w:rFonts w:ascii="Arial" w:cs="Arial" w:eastAsia="Arial" w:hAnsi="Arial"/>
          <w:sz w:val="16"/>
          <w:szCs w:val="16"/>
          <w:color w:val="auto"/>
        </w:rPr>
        <w:t>In June 2009, the FASB issued the FASB Accounting Standards Codification (“Codification”). The Codification will become the single source for all authoritative GAAP recognized by the FASB to be applied for financial statements issued for periods ending after September 15, 2009. The Codification does not change GAAP and did not have an effect on the Company’s financial condition or results of operations.</w:t>
      </w:r>
    </w:p>
    <w:p>
      <w:pPr>
        <w:spacing w:after="0" w:line="6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In July 2009, the FASB issued new guidance for all U.S. GAAP financial statements for public and private companies, which significantly amends the existing consolidation accounting model for variable interest entities, and includes extensive new disclosure requirements. This new guidance is effective for fiscal years (and interim periods in those fiscal years) beginning after November 15, 2009. The Company does not currently have a variable interest entity and does not expect this standard to have a material impact on its financial condition or results of operations.</w:t>
      </w:r>
    </w:p>
    <w:p>
      <w:pPr>
        <w:spacing w:after="0" w:line="69" w:lineRule="exact"/>
        <w:rPr>
          <w:sz w:val="20"/>
          <w:szCs w:val="20"/>
          <w:color w:val="auto"/>
        </w:rPr>
      </w:pPr>
    </w:p>
    <w:p>
      <w:pPr>
        <w:jc w:val="both"/>
        <w:ind w:right="20" w:firstLine="277"/>
        <w:spacing w:after="0" w:line="308" w:lineRule="auto"/>
        <w:rPr>
          <w:sz w:val="20"/>
          <w:szCs w:val="20"/>
          <w:color w:val="auto"/>
        </w:rPr>
      </w:pPr>
      <w:r>
        <w:rPr>
          <w:rFonts w:ascii="Arial" w:cs="Arial" w:eastAsia="Arial" w:hAnsi="Arial"/>
          <w:sz w:val="14"/>
          <w:szCs w:val="14"/>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cannot be determined. The guidance provides for the determination of the best estimate of selling price for separate deliverables and allows the allocation of arrangement consideration using this relative selling price model. The guidance supersedes the prior multiple element revenue arrangement accounting rules that are currently used by the Company. The new guidance can be prospectively applied in fiscal years beginning on or after June 15, 2010 or can be early or retrospectively adopted. The Company is currently evaluating the impact of adopting the guidance.</w:t>
      </w:r>
    </w:p>
    <w:p>
      <w:pPr>
        <w:spacing w:after="0" w:line="41" w:lineRule="exact"/>
        <w:rPr>
          <w:sz w:val="20"/>
          <w:szCs w:val="20"/>
          <w:color w:val="auto"/>
        </w:rPr>
      </w:pPr>
    </w:p>
    <w:p>
      <w:pPr>
        <w:jc w:val="both"/>
        <w:ind w:right="20" w:firstLine="205"/>
        <w:spacing w:after="0" w:line="264" w:lineRule="auto"/>
        <w:rPr>
          <w:sz w:val="20"/>
          <w:szCs w:val="20"/>
          <w:color w:val="auto"/>
        </w:rPr>
      </w:pPr>
      <w:r>
        <w:rPr>
          <w:rFonts w:ascii="Arial" w:cs="Arial" w:eastAsia="Arial" w:hAnsi="Arial"/>
          <w:sz w:val="16"/>
          <w:szCs w:val="16"/>
          <w:color w:val="auto"/>
        </w:rPr>
        <w:t>In September 2009, the FASB amended its rules pertaining to certain revenue arrangements that include software elements, to remove its scope tangible products containing software components and non-software components that function together to deliver the product’s essential functionality. The accounting change is effective for fiscal years beginning on or after June 15, 2010, with early adoption permitted. Adoption may either be on a prospective basis or by retrospective application. The Company is currently evaluating the impact of adopting the guidance.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Stock-Based Compensation</w:t>
      </w:r>
    </w:p>
    <w:p>
      <w:pPr>
        <w:spacing w:after="0" w:line="113" w:lineRule="exact"/>
        <w:rPr>
          <w:sz w:val="20"/>
          <w:szCs w:val="20"/>
          <w:color w:val="auto"/>
        </w:rPr>
      </w:pPr>
    </w:p>
    <w:p>
      <w:pPr>
        <w:jc w:val="both"/>
        <w:ind w:right="20" w:firstLine="210"/>
        <w:spacing w:after="0" w:line="284" w:lineRule="auto"/>
        <w:rPr>
          <w:sz w:val="20"/>
          <w:szCs w:val="20"/>
          <w:color w:val="auto"/>
        </w:rPr>
      </w:pPr>
      <w:r>
        <w:rPr>
          <w:rFonts w:ascii="Arial" w:cs="Arial" w:eastAsia="Arial" w:hAnsi="Arial"/>
          <w:sz w:val="16"/>
          <w:szCs w:val="16"/>
          <w:color w:val="auto"/>
        </w:rPr>
        <w:t>The Company accounts for its stock-based compensation at fair value. The following table summarizes employee stock-based compensation expense by financial statement line item for the three and six months ended September 30, 2009 and 2008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ind w:left="3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6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2"/>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2"/>
              <w:spacing w:after="0" w:line="126" w:lineRule="exact"/>
              <w:rPr>
                <w:sz w:val="20"/>
                <w:szCs w:val="20"/>
                <w:color w:val="auto"/>
              </w:rPr>
            </w:pPr>
            <w:r>
              <w:rPr>
                <w:rFonts w:ascii="Arial" w:cs="Arial" w:eastAsia="Arial" w:hAnsi="Arial"/>
                <w:sz w:val="13"/>
                <w:szCs w:val="13"/>
                <w:b w:val="1"/>
                <w:bCs w:val="1"/>
                <w:color w:val="auto"/>
                <w:w w:val="89"/>
              </w:rPr>
              <w:t>2008</w:t>
            </w:r>
          </w:p>
        </w:tc>
        <w:tc>
          <w:tcPr>
            <w:tcW w:w="120" w:type="dxa"/>
            <w:vAlign w:val="bottom"/>
          </w:tcPr>
          <w:p>
            <w:pPr>
              <w:spacing w:after="0"/>
              <w:rPr>
                <w:sz w:val="10"/>
                <w:szCs w:val="10"/>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Costs of revenue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579</w:t>
            </w:r>
          </w:p>
        </w:tc>
        <w:tc>
          <w:tcPr>
            <w:tcW w:w="5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682</w:t>
            </w: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523</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482</w:t>
            </w:r>
          </w:p>
        </w:tc>
        <w:tc>
          <w:tcPr>
            <w:tcW w:w="16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990</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1,036</w:t>
            </w:r>
          </w:p>
        </w:tc>
      </w:tr>
      <w:tr>
        <w:trPr>
          <w:trHeight w:val="195"/>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2,975</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2,059</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5,349</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3,476</w:t>
            </w:r>
          </w:p>
        </w:tc>
      </w:tr>
      <w:tr>
        <w:trPr>
          <w:trHeight w:val="199"/>
        </w:trPr>
        <w:tc>
          <w:tcPr>
            <w:tcW w:w="652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3,852</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2,895</w:t>
            </w:r>
          </w:p>
        </w:tc>
        <w:tc>
          <w:tcPr>
            <w:tcW w:w="6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6,918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5,194</w:t>
            </w:r>
          </w:p>
        </w:tc>
        <w:tc>
          <w:tcPr>
            <w:tcW w:w="12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right="20" w:firstLine="352"/>
        <w:spacing w:after="0" w:line="279" w:lineRule="auto"/>
        <w:rPr>
          <w:sz w:val="20"/>
          <w:szCs w:val="20"/>
          <w:color w:val="auto"/>
        </w:rPr>
      </w:pPr>
      <w:r>
        <w:rPr>
          <w:rFonts w:ascii="Arial" w:cs="Arial" w:eastAsia="Arial" w:hAnsi="Arial"/>
          <w:sz w:val="15"/>
          <w:szCs w:val="15"/>
          <w:color w:val="auto"/>
        </w:rPr>
        <w:t>During the six months ended September 30, 2009, the Company granted approximately 600,000 shares and 130,000 shares of stock options and restricted stock, respectively, to employees under the 2007 Stock Incentive Plan. The Company also granted 18,000 shares of restricted stock to directors under the 2007 Director Stock Option Plan. The fair value of the grants made during the six months ended September 30, 2009 was $12.3 million. The restricted stock awards include approximately 58,000 shares of performance-based restricted stock, which will vest upon achievement of certain annual financial performance measurements. The remaining shares granted vest upon the passage of time, generally in equal annual installments over three years. For awards that vest upon the passage of time, expense is being recorded on a straight-line basis over the vesting period. At September 30, 2009, the Company determined that achievement of the performance measures is probable and as such, is recognizing the fair value of the performance-based awards over the estimated performance period of eleven months.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jc w:val="both"/>
        <w:ind w:right="20" w:firstLine="338"/>
        <w:spacing w:after="0" w:line="284" w:lineRule="auto"/>
        <w:rPr>
          <w:sz w:val="20"/>
          <w:szCs w:val="20"/>
          <w:color w:val="auto"/>
        </w:rPr>
      </w:pPr>
      <w:r>
        <w:rPr>
          <w:rFonts w:ascii="Arial" w:cs="Arial" w:eastAsia="Arial" w:hAnsi="Arial"/>
          <w:sz w:val="16"/>
          <w:szCs w:val="16"/>
          <w:color w:val="auto"/>
        </w:rPr>
        <w:t>The total unrecognized compensation cost for unvested employee stock-based compensation awards outstanding, net of estimated forfeitures, was $17.9 million at September 30, 2009. This expense will be recognized over a weighted-average expense period of 1.6 years.</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assumptions used in the Black-Scholes valuation model for stock options granted during the three and six months ended September 30, 2009 and 2008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800" w:type="dxa"/>
            <w:vAlign w:val="bottom"/>
            <w:gridSpan w:val="3"/>
          </w:tcPr>
          <w:p>
            <w:pPr>
              <w:jc w:val="center"/>
              <w:ind w:left="586"/>
              <w:spacing w:after="0"/>
              <w:rPr>
                <w:sz w:val="20"/>
                <w:szCs w:val="20"/>
                <w:color w:val="auto"/>
              </w:rPr>
            </w:pPr>
            <w:r>
              <w:rPr>
                <w:rFonts w:ascii="Arial" w:cs="Arial" w:eastAsia="Arial" w:hAnsi="Arial"/>
                <w:sz w:val="13"/>
                <w:szCs w:val="13"/>
                <w:b w:val="1"/>
                <w:bCs w:val="1"/>
                <w:color w:val="auto"/>
                <w:w w:val="89"/>
              </w:rPr>
              <w:t>Three months ended</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gridSpan w:val="3"/>
          </w:tcPr>
          <w:p>
            <w:pPr>
              <w:jc w:val="center"/>
              <w:ind w:left="611"/>
              <w:spacing w:after="0"/>
              <w:rPr>
                <w:sz w:val="20"/>
                <w:szCs w:val="20"/>
                <w:color w:val="auto"/>
              </w:rPr>
            </w:pPr>
            <w:r>
              <w:rPr>
                <w:rFonts w:ascii="Arial" w:cs="Arial" w:eastAsia="Arial" w:hAnsi="Arial"/>
                <w:sz w:val="13"/>
                <w:szCs w:val="13"/>
                <w:b w:val="1"/>
                <w:bCs w:val="1"/>
                <w:color w:val="auto"/>
                <w:w w:val="87"/>
              </w:rPr>
              <w:t>Six months ended</w:t>
            </w:r>
          </w:p>
        </w:tc>
        <w:tc>
          <w:tcPr>
            <w:tcW w:w="700" w:type="dxa"/>
            <w:vAlign w:val="bottom"/>
          </w:tcPr>
          <w:p>
            <w:pPr>
              <w:spacing w:after="0"/>
              <w:rPr>
                <w:sz w:val="13"/>
                <w:szCs w:val="13"/>
                <w:color w:val="auto"/>
              </w:rPr>
            </w:pPr>
          </w:p>
        </w:tc>
      </w:tr>
      <w:tr>
        <w:trPr>
          <w:trHeight w:val="154"/>
        </w:trPr>
        <w:tc>
          <w:tcPr>
            <w:tcW w:w="6020" w:type="dxa"/>
            <w:vAlign w:val="bottom"/>
          </w:tcPr>
          <w:p>
            <w:pPr>
              <w:spacing w:after="0"/>
              <w:rPr>
                <w:sz w:val="13"/>
                <w:szCs w:val="13"/>
                <w:color w:val="auto"/>
              </w:rPr>
            </w:pPr>
          </w:p>
        </w:tc>
        <w:tc>
          <w:tcPr>
            <w:tcW w:w="1800" w:type="dxa"/>
            <w:vAlign w:val="bottom"/>
            <w:tcBorders>
              <w:bottom w:val="single" w:sz="8" w:color="auto"/>
            </w:tcBorders>
            <w:gridSpan w:val="3"/>
          </w:tcPr>
          <w:p>
            <w:pPr>
              <w:jc w:val="center"/>
              <w:ind w:left="586"/>
              <w:spacing w:after="0"/>
              <w:rPr>
                <w:sz w:val="20"/>
                <w:szCs w:val="20"/>
                <w:color w:val="auto"/>
              </w:rPr>
            </w:pPr>
            <w:r>
              <w:rPr>
                <w:rFonts w:ascii="Arial" w:cs="Arial" w:eastAsia="Arial" w:hAnsi="Arial"/>
                <w:sz w:val="13"/>
                <w:szCs w:val="13"/>
                <w:b w:val="1"/>
                <w:bCs w:val="1"/>
                <w:color w:val="auto"/>
                <w:w w:val="87"/>
              </w:rPr>
              <w:t>September 30,</w:t>
            </w:r>
          </w:p>
        </w:tc>
        <w:tc>
          <w:tcPr>
            <w:tcW w:w="6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3"/>
                <w:szCs w:val="13"/>
                <w:b w:val="1"/>
                <w:bCs w:val="1"/>
                <w:color w:val="auto"/>
                <w:w w:val="89"/>
              </w:rPr>
              <w:t>September 30,</w:t>
            </w:r>
          </w:p>
        </w:tc>
        <w:tc>
          <w:tcPr>
            <w:tcW w:w="700" w:type="dxa"/>
            <w:vAlign w:val="bottom"/>
            <w:tcBorders>
              <w:bottom w:val="single" w:sz="8" w:color="auto"/>
            </w:tcBorders>
          </w:tcPr>
          <w:p>
            <w:pPr>
              <w:spacing w:after="0"/>
              <w:rPr>
                <w:sz w:val="13"/>
                <w:szCs w:val="13"/>
                <w:color w:val="auto"/>
              </w:rPr>
            </w:pPr>
          </w:p>
        </w:tc>
      </w:tr>
      <w:tr>
        <w:trPr>
          <w:trHeight w:val="126"/>
        </w:trPr>
        <w:tc>
          <w:tcPr>
            <w:tcW w:w="6020" w:type="dxa"/>
            <w:vAlign w:val="bottom"/>
          </w:tcPr>
          <w:p>
            <w:pPr>
              <w:spacing w:after="0"/>
              <w:rPr>
                <w:sz w:val="10"/>
                <w:szCs w:val="10"/>
                <w:color w:val="auto"/>
              </w:rPr>
            </w:pPr>
          </w:p>
        </w:tc>
        <w:tc>
          <w:tcPr>
            <w:tcW w:w="960" w:type="dxa"/>
            <w:vAlign w:val="bottom"/>
            <w:tcBorders>
              <w:bottom w:val="single" w:sz="8" w:color="auto"/>
            </w:tcBorders>
          </w:tcPr>
          <w:p>
            <w:pPr>
              <w:jc w:val="right"/>
              <w:ind w:right="266"/>
              <w:spacing w:after="0" w:line="126" w:lineRule="exact"/>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62"/>
              <w:spacing w:after="0" w:line="126" w:lineRule="exact"/>
              <w:rPr>
                <w:sz w:val="20"/>
                <w:szCs w:val="20"/>
                <w:color w:val="auto"/>
              </w:rPr>
            </w:pPr>
            <w:r>
              <w:rPr>
                <w:rFonts w:ascii="Arial" w:cs="Arial" w:eastAsia="Arial" w:hAnsi="Arial"/>
                <w:sz w:val="13"/>
                <w:szCs w:val="13"/>
                <w:b w:val="1"/>
                <w:bCs w:val="1"/>
                <w:color w:val="auto"/>
              </w:rPr>
              <w:t>2008</w:t>
            </w:r>
          </w:p>
        </w:tc>
        <w:tc>
          <w:tcPr>
            <w:tcW w:w="520" w:type="dxa"/>
            <w:vAlign w:val="bottom"/>
          </w:tcPr>
          <w:p>
            <w:pPr>
              <w:spacing w:after="0"/>
              <w:rPr>
                <w:sz w:val="10"/>
                <w:szCs w:val="10"/>
                <w:color w:val="auto"/>
              </w:rPr>
            </w:pPr>
          </w:p>
        </w:tc>
        <w:tc>
          <w:tcPr>
            <w:tcW w:w="960" w:type="dxa"/>
            <w:vAlign w:val="bottom"/>
            <w:tcBorders>
              <w:bottom w:val="single" w:sz="8" w:color="auto"/>
            </w:tcBorders>
          </w:tcPr>
          <w:p>
            <w:pPr>
              <w:jc w:val="right"/>
              <w:ind w:right="291"/>
              <w:spacing w:after="0" w:line="126" w:lineRule="exact"/>
              <w:rPr>
                <w:sz w:val="20"/>
                <w:szCs w:val="20"/>
                <w:color w:val="auto"/>
              </w:rPr>
            </w:pPr>
            <w:r>
              <w:rPr>
                <w:rFonts w:ascii="Arial" w:cs="Arial" w:eastAsia="Arial" w:hAnsi="Arial"/>
                <w:sz w:val="13"/>
                <w:szCs w:val="13"/>
                <w:b w:val="1"/>
                <w:bCs w:val="1"/>
                <w:color w:val="auto"/>
              </w:rPr>
              <w:t>2009</w:t>
            </w:r>
          </w:p>
        </w:tc>
        <w:tc>
          <w:tcPr>
            <w:tcW w:w="5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82"/>
              <w:spacing w:after="0" w:line="126" w:lineRule="exact"/>
              <w:rPr>
                <w:sz w:val="20"/>
                <w:szCs w:val="20"/>
                <w:color w:val="auto"/>
              </w:rPr>
            </w:pPr>
            <w:r>
              <w:rPr>
                <w:rFonts w:ascii="Arial" w:cs="Arial" w:eastAsia="Arial" w:hAnsi="Arial"/>
                <w:sz w:val="13"/>
                <w:szCs w:val="13"/>
                <w:b w:val="1"/>
                <w:bCs w:val="1"/>
                <w:color w:val="auto"/>
              </w:rPr>
              <w:t>2008</w:t>
            </w:r>
          </w:p>
        </w:tc>
      </w:tr>
      <w:tr>
        <w:trPr>
          <w:trHeight w:val="187"/>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66.5%</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96"/>
              </w:rPr>
              <w:t>62.4%</w:t>
            </w:r>
          </w:p>
        </w:tc>
        <w:tc>
          <w:tcPr>
            <w:tcW w:w="1480" w:type="dxa"/>
            <w:vAlign w:val="bottom"/>
            <w:gridSpan w:val="2"/>
            <w:shd w:val="clear" w:color="auto" w:fill="CCEEFF"/>
          </w:tcPr>
          <w:p>
            <w:pPr>
              <w:jc w:val="right"/>
              <w:ind w:right="131"/>
              <w:spacing w:after="0"/>
              <w:rPr>
                <w:sz w:val="20"/>
                <w:szCs w:val="20"/>
                <w:color w:val="auto"/>
              </w:rPr>
            </w:pPr>
            <w:r>
              <w:rPr>
                <w:rFonts w:ascii="Arial" w:cs="Arial" w:eastAsia="Arial" w:hAnsi="Arial"/>
                <w:sz w:val="16"/>
                <w:szCs w:val="16"/>
                <w:color w:val="auto"/>
              </w:rPr>
              <w:t>70.2%</w:t>
            </w: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58.8%</w:t>
            </w:r>
          </w:p>
        </w:tc>
      </w:tr>
      <w:tr>
        <w:trPr>
          <w:trHeight w:val="195"/>
        </w:trPr>
        <w:tc>
          <w:tcPr>
            <w:tcW w:w="60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960" w:type="dxa"/>
            <w:vAlign w:val="bottom"/>
          </w:tcPr>
          <w:p>
            <w:pPr>
              <w:jc w:val="right"/>
              <w:ind w:right="126"/>
              <w:spacing w:after="0"/>
              <w:rPr>
                <w:sz w:val="20"/>
                <w:szCs w:val="20"/>
                <w:color w:val="auto"/>
              </w:rPr>
            </w:pPr>
            <w:r>
              <w:rPr>
                <w:rFonts w:ascii="Arial" w:cs="Arial" w:eastAsia="Arial" w:hAnsi="Arial"/>
                <w:sz w:val="16"/>
                <w:szCs w:val="16"/>
                <w:color w:val="auto"/>
              </w:rPr>
              <w:t>2.4%</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Arial" w:cs="Arial" w:eastAsia="Arial" w:hAnsi="Arial"/>
                <w:sz w:val="16"/>
                <w:szCs w:val="16"/>
                <w:color w:val="auto"/>
              </w:rPr>
              <w:t>3.1%</w:t>
            </w:r>
          </w:p>
        </w:tc>
        <w:tc>
          <w:tcPr>
            <w:tcW w:w="1480" w:type="dxa"/>
            <w:vAlign w:val="bottom"/>
            <w:gridSpan w:val="2"/>
          </w:tcPr>
          <w:p>
            <w:pPr>
              <w:jc w:val="right"/>
              <w:ind w:right="131"/>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122"/>
              <w:spacing w:after="0"/>
              <w:rPr>
                <w:sz w:val="20"/>
                <w:szCs w:val="20"/>
                <w:color w:val="auto"/>
              </w:rPr>
            </w:pPr>
            <w:r>
              <w:rPr>
                <w:rFonts w:ascii="Arial" w:cs="Arial" w:eastAsia="Arial" w:hAnsi="Arial"/>
                <w:sz w:val="16"/>
                <w:szCs w:val="16"/>
                <w:color w:val="auto"/>
              </w:rPr>
              <w:t>3.3%</w:t>
            </w:r>
          </w:p>
        </w:tc>
      </w:tr>
      <w:tr>
        <w:trPr>
          <w:trHeight w:val="195"/>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Expected life (years)</w:t>
            </w:r>
          </w:p>
        </w:tc>
        <w:tc>
          <w:tcPr>
            <w:tcW w:w="960" w:type="dxa"/>
            <w:vAlign w:val="bottom"/>
            <w:shd w:val="clear" w:color="auto" w:fill="CCEEFF"/>
          </w:tcPr>
          <w:p>
            <w:pPr>
              <w:jc w:val="right"/>
              <w:ind w:right="266"/>
              <w:spacing w:after="0"/>
              <w:rPr>
                <w:sz w:val="20"/>
                <w:szCs w:val="20"/>
                <w:color w:val="auto"/>
              </w:rPr>
            </w:pPr>
            <w:r>
              <w:rPr>
                <w:rFonts w:ascii="Arial" w:cs="Arial" w:eastAsia="Arial" w:hAnsi="Arial"/>
                <w:sz w:val="16"/>
                <w:szCs w:val="16"/>
                <w:color w:val="auto"/>
              </w:rPr>
              <w:t>4.8</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4.9</w:t>
            </w:r>
          </w:p>
        </w:tc>
        <w:tc>
          <w:tcPr>
            <w:tcW w:w="1480" w:type="dxa"/>
            <w:vAlign w:val="bottom"/>
            <w:gridSpan w:val="2"/>
            <w:shd w:val="clear" w:color="auto" w:fill="CCEEFF"/>
          </w:tcPr>
          <w:p>
            <w:pPr>
              <w:jc w:val="right"/>
              <w:ind w:right="271"/>
              <w:spacing w:after="0"/>
              <w:rPr>
                <w:sz w:val="20"/>
                <w:szCs w:val="20"/>
                <w:color w:val="auto"/>
              </w:rPr>
            </w:pPr>
            <w:r>
              <w:rPr>
                <w:rFonts w:ascii="Arial" w:cs="Arial" w:eastAsia="Arial" w:hAnsi="Arial"/>
                <w:sz w:val="16"/>
                <w:szCs w:val="16"/>
                <w:color w:val="auto"/>
              </w:rPr>
              <w:t>4.8</w:t>
            </w: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4.9</w:t>
            </w:r>
          </w:p>
        </w:tc>
      </w:tr>
      <w:tr>
        <w:trPr>
          <w:trHeight w:val="207"/>
        </w:trPr>
        <w:tc>
          <w:tcPr>
            <w:tcW w:w="6020" w:type="dxa"/>
            <w:vAlign w:val="bottom"/>
          </w:tcPr>
          <w:p>
            <w:pPr>
              <w:spacing w:after="0"/>
              <w:rPr>
                <w:sz w:val="20"/>
                <w:szCs w:val="20"/>
                <w:color w:val="auto"/>
              </w:rPr>
            </w:pPr>
            <w:r>
              <w:rPr>
                <w:rFonts w:ascii="Arial" w:cs="Arial" w:eastAsia="Arial" w:hAnsi="Arial"/>
                <w:sz w:val="16"/>
                <w:szCs w:val="16"/>
                <w:color w:val="auto"/>
              </w:rPr>
              <w:t>Dividend yield</w:t>
            </w:r>
          </w:p>
        </w:tc>
        <w:tc>
          <w:tcPr>
            <w:tcW w:w="1800" w:type="dxa"/>
            <w:vAlign w:val="bottom"/>
            <w:gridSpan w:val="3"/>
          </w:tcPr>
          <w:p>
            <w:pPr>
              <w:ind w:left="300"/>
              <w:spacing w:after="0"/>
              <w:rPr>
                <w:sz w:val="20"/>
                <w:szCs w:val="20"/>
                <w:color w:val="auto"/>
              </w:rPr>
            </w:pPr>
            <w:r>
              <w:rPr>
                <w:rFonts w:ascii="Arial" w:cs="Arial" w:eastAsia="Arial" w:hAnsi="Arial"/>
                <w:sz w:val="16"/>
                <w:szCs w:val="16"/>
                <w:color w:val="auto"/>
              </w:rPr>
              <w:t>None</w:t>
            </w:r>
          </w:p>
        </w:tc>
        <w:tc>
          <w:tcPr>
            <w:tcW w:w="660" w:type="dxa"/>
            <w:vAlign w:val="bottom"/>
          </w:tcPr>
          <w:p>
            <w:pPr>
              <w:jc w:val="right"/>
              <w:ind w:right="222"/>
              <w:spacing w:after="0"/>
              <w:rPr>
                <w:sz w:val="20"/>
                <w:szCs w:val="20"/>
                <w:color w:val="auto"/>
              </w:rPr>
            </w:pPr>
            <w:r>
              <w:rPr>
                <w:rFonts w:ascii="Arial" w:cs="Arial" w:eastAsia="Arial" w:hAnsi="Arial"/>
                <w:sz w:val="16"/>
                <w:szCs w:val="16"/>
                <w:color w:val="auto"/>
                <w:w w:val="88"/>
              </w:rPr>
              <w:t>None</w:t>
            </w:r>
          </w:p>
        </w:tc>
        <w:tc>
          <w:tcPr>
            <w:tcW w:w="520" w:type="dxa"/>
            <w:vAlign w:val="bottom"/>
          </w:tcPr>
          <w:p>
            <w:pPr>
              <w:spacing w:after="0"/>
              <w:rPr>
                <w:sz w:val="17"/>
                <w:szCs w:val="17"/>
                <w:color w:val="auto"/>
              </w:rPr>
            </w:pPr>
          </w:p>
        </w:tc>
        <w:tc>
          <w:tcPr>
            <w:tcW w:w="1740" w:type="dxa"/>
            <w:vAlign w:val="bottom"/>
            <w:gridSpan w:val="3"/>
          </w:tcPr>
          <w:p>
            <w:pPr>
              <w:ind w:left="300"/>
              <w:spacing w:after="0"/>
              <w:rPr>
                <w:sz w:val="20"/>
                <w:szCs w:val="20"/>
                <w:color w:val="auto"/>
              </w:rPr>
            </w:pPr>
            <w:r>
              <w:rPr>
                <w:rFonts w:ascii="Arial" w:cs="Arial" w:eastAsia="Arial" w:hAnsi="Arial"/>
                <w:sz w:val="16"/>
                <w:szCs w:val="16"/>
                <w:color w:val="auto"/>
              </w:rPr>
              <w:t>None</w:t>
            </w:r>
          </w:p>
        </w:tc>
        <w:tc>
          <w:tcPr>
            <w:tcW w:w="700" w:type="dxa"/>
            <w:vAlign w:val="bottom"/>
          </w:tcPr>
          <w:p>
            <w:pPr>
              <w:jc w:val="right"/>
              <w:ind w:right="222"/>
              <w:spacing w:after="0"/>
              <w:rPr>
                <w:sz w:val="20"/>
                <w:szCs w:val="20"/>
                <w:color w:val="auto"/>
              </w:rPr>
            </w:pPr>
            <w:r>
              <w:rPr>
                <w:rFonts w:ascii="Arial" w:cs="Arial" w:eastAsia="Arial" w:hAnsi="Arial"/>
                <w:sz w:val="16"/>
                <w:szCs w:val="16"/>
                <w:color w:val="auto"/>
                <w:w w:val="99"/>
              </w:rPr>
              <w:t>None</w:t>
            </w:r>
          </w:p>
        </w:tc>
      </w:tr>
    </w:tbl>
    <w:p>
      <w:pPr>
        <w:spacing w:after="0" w:line="73" w:lineRule="exact"/>
        <w:rPr>
          <w:sz w:val="20"/>
          <w:szCs w:val="20"/>
          <w:color w:val="auto"/>
        </w:rPr>
      </w:pPr>
    </w:p>
    <w:p>
      <w:pPr>
        <w:jc w:val="both"/>
        <w:ind w:right="20" w:firstLine="221"/>
        <w:spacing w:after="0" w:line="260" w:lineRule="auto"/>
        <w:rPr>
          <w:sz w:val="20"/>
          <w:szCs w:val="20"/>
          <w:color w:val="auto"/>
        </w:rPr>
      </w:pPr>
      <w:r>
        <w:rPr>
          <w:rFonts w:ascii="Arial" w:cs="Arial" w:eastAsia="Arial" w:hAnsi="Arial"/>
          <w:sz w:val="16"/>
          <w:szCs w:val="16"/>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five-year U.S. Treasury rates. The stock-based compensation expense recognized in the unaudited condensed consolidated statements of operations is based on awards that ultimately are expected to vest; therefore, the amount of expense has been reduced for estimated forfeitures. Forfeitures are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Computation of Net Income (Loss) per Common Share</w:t>
      </w:r>
    </w:p>
    <w:p>
      <w:pPr>
        <w:spacing w:after="0" w:line="113" w:lineRule="exact"/>
        <w:rPr>
          <w:sz w:val="20"/>
          <w:szCs w:val="20"/>
          <w:color w:val="auto"/>
        </w:rPr>
      </w:pPr>
    </w:p>
    <w:p>
      <w:pPr>
        <w:jc w:val="both"/>
        <w:ind w:right="20" w:firstLine="222"/>
        <w:spacing w:after="0" w:line="283" w:lineRule="auto"/>
        <w:rPr>
          <w:sz w:val="20"/>
          <w:szCs w:val="20"/>
          <w:color w:val="auto"/>
        </w:rPr>
      </w:pPr>
      <w:r>
        <w:rPr>
          <w:rFonts w:ascii="Arial" w:cs="Arial" w:eastAsia="Arial" w:hAnsi="Arial"/>
          <w:sz w:val="15"/>
          <w:szCs w:val="15"/>
          <w:color w:val="auto"/>
        </w:rPr>
        <w:t>Basic earnings per share (“EPS”) is computed by dividing net income/(loss) by the weighted-average number of common shares outstanding for the period. Diluted EPS is computed by dividing the net earnings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six months ended September 30, 2009 and 2008, common equivalent shares of 0.9 million shares and 0.8 million shares, respectively, and 3.4 million shares and 3.4 million shares, respectively, were not included in the calculation of diluted EPS as they were considered anti-dilutive.</w:t>
      </w:r>
    </w:p>
    <w:p>
      <w:pPr>
        <w:spacing w:after="0" w:line="57" w:lineRule="exact"/>
        <w:rPr>
          <w:sz w:val="20"/>
          <w:szCs w:val="20"/>
          <w:color w:val="auto"/>
        </w:rPr>
      </w:pPr>
    </w:p>
    <w:p>
      <w:pPr>
        <w:jc w:val="both"/>
        <w:ind w:right="20" w:firstLine="222"/>
        <w:spacing w:after="0" w:line="284" w:lineRule="auto"/>
        <w:rPr>
          <w:sz w:val="20"/>
          <w:szCs w:val="20"/>
          <w:color w:val="auto"/>
        </w:rPr>
      </w:pPr>
      <w:r>
        <w:rPr>
          <w:rFonts w:ascii="Arial" w:cs="Arial" w:eastAsia="Arial" w:hAnsi="Arial"/>
          <w:sz w:val="16"/>
          <w:szCs w:val="16"/>
          <w:color w:val="auto"/>
        </w:rPr>
        <w:t>The following table reconciles the numerators and denominators of the earnings per share calculation for the three and six months ended September 30, 2009 and 2008 (in thousands, except per share data):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Arial" w:cs="Arial" w:eastAsia="Arial" w:hAnsi="Arial"/>
                <w:sz w:val="13"/>
                <w:szCs w:val="13"/>
                <w:color w:val="auto"/>
              </w:rPr>
              <w:t>Three months ended</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3"/>
                <w:szCs w:val="13"/>
                <w:color w:val="auto"/>
              </w:rPr>
              <w:t>Six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3"/>
                <w:szCs w:val="13"/>
                <w:color w:val="auto"/>
              </w:rPr>
              <w:t>September 30,</w:t>
            </w:r>
          </w:p>
        </w:tc>
        <w:tc>
          <w:tcPr>
            <w:tcW w:w="50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color w:val="auto"/>
              </w:rPr>
              <w:t>September 30,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3"/>
              <w:spacing w:after="0" w:line="126" w:lineRule="exact"/>
              <w:rPr>
                <w:sz w:val="20"/>
                <w:szCs w:val="20"/>
                <w:color w:val="auto"/>
              </w:rPr>
            </w:pPr>
            <w:r>
              <w:rPr>
                <w:rFonts w:ascii="Arial" w:cs="Arial" w:eastAsia="Arial" w:hAnsi="Arial"/>
                <w:sz w:val="13"/>
                <w:szCs w:val="13"/>
                <w:color w:val="auto"/>
              </w:rPr>
              <w:t>2009</w:t>
            </w:r>
          </w:p>
        </w:tc>
        <w:tc>
          <w:tcPr>
            <w:tcW w:w="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0"/>
              <w:spacing w:after="0" w:line="126" w:lineRule="exact"/>
              <w:rPr>
                <w:sz w:val="20"/>
                <w:szCs w:val="20"/>
                <w:color w:val="auto"/>
              </w:rPr>
            </w:pPr>
            <w:r>
              <w:rPr>
                <w:rFonts w:ascii="Arial" w:cs="Arial" w:eastAsia="Arial" w:hAnsi="Arial"/>
                <w:sz w:val="13"/>
                <w:szCs w:val="13"/>
                <w:color w:val="auto"/>
                <w:w w:val="89"/>
              </w:rPr>
              <w:t>2008</w:t>
            </w: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3"/>
              <w:spacing w:after="0" w:line="126" w:lineRule="exact"/>
              <w:rPr>
                <w:sz w:val="20"/>
                <w:szCs w:val="20"/>
                <w:color w:val="auto"/>
              </w:rPr>
            </w:pPr>
            <w:r>
              <w:rPr>
                <w:rFonts w:ascii="Arial" w:cs="Arial" w:eastAsia="Arial" w:hAnsi="Arial"/>
                <w:sz w:val="13"/>
                <w:szCs w:val="13"/>
                <w:color w:val="auto"/>
              </w:rPr>
              <w:t>2009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0"/>
              <w:spacing w:after="0" w:line="126" w:lineRule="exact"/>
              <w:rPr>
                <w:sz w:val="20"/>
                <w:szCs w:val="20"/>
                <w:color w:val="auto"/>
              </w:rPr>
            </w:pPr>
            <w:r>
              <w:rPr>
                <w:rFonts w:ascii="Arial" w:cs="Arial" w:eastAsia="Arial" w:hAnsi="Arial"/>
                <w:sz w:val="13"/>
                <w:szCs w:val="13"/>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4,340</w:t>
            </w:r>
          </w:p>
        </w:tc>
        <w:tc>
          <w:tcPr>
            <w:tcW w:w="7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40"/>
              <w:spacing w:after="0"/>
              <w:rPr>
                <w:sz w:val="20"/>
                <w:szCs w:val="20"/>
                <w:color w:val="auto"/>
              </w:rPr>
            </w:pPr>
            <w:r>
              <w:rPr>
                <w:rFonts w:ascii="Arial" w:cs="Arial" w:eastAsia="Arial" w:hAnsi="Arial"/>
                <w:sz w:val="16"/>
                <w:szCs w:val="16"/>
                <w:color w:val="auto"/>
              </w:rPr>
              <w:t>(4,068)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6,132</w:t>
            </w:r>
          </w:p>
        </w:tc>
        <w:tc>
          <w:tcPr>
            <w:tcW w:w="36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(10,171)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tcPr>
          <w:p>
            <w:pPr>
              <w:ind w:left="160"/>
              <w:spacing w:after="0"/>
              <w:rPr>
                <w:sz w:val="20"/>
                <w:szCs w:val="20"/>
                <w:color w:val="auto"/>
              </w:rPr>
            </w:pPr>
            <w:r>
              <w:rPr>
                <w:rFonts w:ascii="Arial" w:cs="Arial" w:eastAsia="Arial" w:hAnsi="Arial"/>
                <w:sz w:val="16"/>
                <w:szCs w:val="16"/>
                <w:color w:val="auto"/>
              </w:rPr>
              <w:t>Weighted-average shares of common stock outstanding</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44,299</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6"/>
                <w:szCs w:val="16"/>
                <w:color w:val="auto"/>
                <w:w w:val="98"/>
              </w:rPr>
              <w:t>43,387</w:t>
            </w:r>
          </w:p>
        </w:tc>
        <w:tc>
          <w:tcPr>
            <w:tcW w:w="16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44,080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42,965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shares subject to repurchase</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(642)</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520" w:type="dxa"/>
            <w:vAlign w:val="bottom"/>
            <w:gridSpan w:val="2"/>
          </w:tcPr>
          <w:p>
            <w:pPr>
              <w:spacing w:after="0"/>
              <w:rPr>
                <w:sz w:val="20"/>
                <w:szCs w:val="20"/>
                <w:color w:val="auto"/>
              </w:rPr>
            </w:pPr>
            <w:r>
              <w:rPr>
                <w:rFonts w:ascii="Arial" w:cs="Arial" w:eastAsia="Arial" w:hAnsi="Arial"/>
                <w:sz w:val="16"/>
                <w:szCs w:val="16"/>
                <w:color w:val="auto"/>
              </w:rPr>
              <w:t>Shares used in per-share calculation — basic</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44,247</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42,745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44,020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42,380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Dilutive effect of employee equity incentive plans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520" w:type="dxa"/>
            <w:vAlign w:val="bottom"/>
            <w:gridSpan w:val="2"/>
          </w:tcPr>
          <w:p>
            <w:pPr>
              <w:spacing w:after="0"/>
              <w:rPr>
                <w:sz w:val="20"/>
                <w:szCs w:val="20"/>
                <w:color w:val="auto"/>
              </w:rPr>
            </w:pPr>
            <w:r>
              <w:rPr>
                <w:rFonts w:ascii="Arial" w:cs="Arial" w:eastAsia="Arial" w:hAnsi="Arial"/>
                <w:sz w:val="16"/>
                <w:szCs w:val="16"/>
                <w:color w:val="auto"/>
              </w:rPr>
              <w:t>Shares used in per-share calculation — diluted</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45,233</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42,745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44,922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42,380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 — basic</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(0.10)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0.14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520" w:type="dxa"/>
            <w:vAlign w:val="bottom"/>
            <w:gridSpan w:val="2"/>
          </w:tcPr>
          <w:p>
            <w:pPr>
              <w:spacing w:after="0"/>
              <w:rPr>
                <w:sz w:val="20"/>
                <w:szCs w:val="20"/>
                <w:color w:val="auto"/>
              </w:rPr>
            </w:pPr>
            <w:r>
              <w:rPr>
                <w:rFonts w:ascii="Arial" w:cs="Arial" w:eastAsia="Arial" w:hAnsi="Arial"/>
                <w:sz w:val="16"/>
                <w:szCs w:val="16"/>
                <w:color w:val="auto"/>
              </w:rPr>
              <w:t>Net income (loss) per share — diluted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0.10</w:t>
            </w:r>
          </w:p>
        </w:tc>
        <w:tc>
          <w:tcPr>
            <w:tcW w:w="700" w:type="dxa"/>
            <w:vAlign w:val="bottom"/>
          </w:tcPr>
          <w:p>
            <w:pPr>
              <w:spacing w:after="0"/>
              <w:rPr>
                <w:sz w:val="24"/>
                <w:szCs w:val="24"/>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40"/>
              <w:spacing w:after="0"/>
              <w:rPr>
                <w:sz w:val="20"/>
                <w:szCs w:val="20"/>
                <w:color w:val="auto"/>
              </w:rPr>
            </w:pPr>
            <w:r>
              <w:rPr>
                <w:rFonts w:ascii="Arial" w:cs="Arial" w:eastAsia="Arial" w:hAnsi="Arial"/>
                <w:sz w:val="16"/>
                <w:szCs w:val="16"/>
                <w:color w:val="auto"/>
              </w:rPr>
              <w:t>(0.10)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0.14</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right="20" w:firstLine="289"/>
        <w:spacing w:after="0" w:line="287" w:lineRule="auto"/>
        <w:rPr>
          <w:sz w:val="20"/>
          <w:szCs w:val="20"/>
          <w:color w:val="auto"/>
        </w:rPr>
      </w:pPr>
      <w:r>
        <w:rPr>
          <w:rFonts w:ascii="Arial" w:cs="Arial" w:eastAsia="Arial" w:hAnsi="Arial"/>
          <w:sz w:val="15"/>
          <w:szCs w:val="15"/>
          <w:color w:val="auto"/>
        </w:rPr>
        <w:t>On April 1, 2009, the Company began determining whether instruments granted in share-based payment transactions are participating securities. Under the applicable standard, the unvested restricted stock awards that contain non-forfeitable rights to receive dividends or dividend equivalents are considered participating securities, and therefore, are included in the computation of earnings per share pursuant to the two class method. Application of the standard had an insignificant effect on shares outstanding. This standard required retrospective application. Net income allocable to participating securities was immaterial for all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Marketable Securities</w:t>
      </w:r>
    </w:p>
    <w:p>
      <w:pPr>
        <w:spacing w:after="0" w:line="113" w:lineRule="exact"/>
        <w:rPr>
          <w:sz w:val="20"/>
          <w:szCs w:val="20"/>
          <w:color w:val="auto"/>
        </w:rPr>
      </w:pPr>
    </w:p>
    <w:p>
      <w:pPr>
        <w:jc w:val="both"/>
        <w:ind w:right="20" w:firstLine="217"/>
        <w:spacing w:after="0" w:line="287" w:lineRule="auto"/>
        <w:rPr>
          <w:sz w:val="20"/>
          <w:szCs w:val="20"/>
          <w:color w:val="auto"/>
        </w:rPr>
      </w:pPr>
      <w:r>
        <w:rPr>
          <w:rFonts w:ascii="Arial" w:cs="Arial" w:eastAsia="Arial" w:hAnsi="Arial"/>
          <w:sz w:val="15"/>
          <w:szCs w:val="15"/>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market participants on the measurement date. The accounting standard established a fair value hierarchy which requires an entity to maximize the use of observable inputs, where available. This hierarchy prioritizes the inputs into three broad levels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Hierarchy</w:t>
      </w:r>
    </w:p>
    <w:p>
      <w:pPr>
        <w:spacing w:after="0" w:line="202" w:lineRule="exact"/>
        <w:rPr>
          <w:sz w:val="20"/>
          <w:szCs w:val="20"/>
          <w:color w:val="auto"/>
        </w:rPr>
      </w:pPr>
    </w:p>
    <w:p>
      <w:pPr>
        <w:ind w:left="1580" w:right="100" w:hanging="1122"/>
        <w:spacing w:after="0" w:line="264" w:lineRule="auto"/>
        <w:tabs>
          <w:tab w:leader="none" w:pos="1560" w:val="left"/>
        </w:tabs>
        <w:rPr>
          <w:sz w:val="20"/>
          <w:szCs w:val="20"/>
          <w:color w:val="auto"/>
        </w:rPr>
      </w:pPr>
      <w:r>
        <w:rPr>
          <w:rFonts w:ascii="Arial" w:cs="Arial" w:eastAsia="Arial" w:hAnsi="Arial"/>
          <w:sz w:val="16"/>
          <w:szCs w:val="16"/>
          <w:b w:val="1"/>
          <w:bCs w:val="1"/>
          <w:color w:val="auto"/>
        </w:rPr>
        <w:t>Level 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Inputs are unadjusted quoted prices in active markets for identical assets or liabilities that the Company has the ability to access at the measurement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w:t>
      </w:r>
    </w:p>
    <w:p>
      <w:pPr>
        <w:spacing w:after="0" w:line="1" w:lineRule="exact"/>
        <w:rPr>
          <w:sz w:val="20"/>
          <w:szCs w:val="20"/>
          <w:color w:val="auto"/>
        </w:rPr>
      </w:pPr>
    </w:p>
    <w:p>
      <w:pPr>
        <w:ind w:left="1580" w:right="220" w:hanging="1122"/>
        <w:spacing w:after="0" w:line="254" w:lineRule="auto"/>
        <w:tabs>
          <w:tab w:leader="none" w:pos="1560" w:val="left"/>
        </w:tabs>
        <w:rPr>
          <w:sz w:val="20"/>
          <w:szCs w:val="20"/>
          <w:color w:val="auto"/>
        </w:rPr>
      </w:pPr>
      <w:r>
        <w:rPr>
          <w:rFonts w:ascii="Arial" w:cs="Arial" w:eastAsia="Arial" w:hAnsi="Arial"/>
          <w:sz w:val="16"/>
          <w:szCs w:val="16"/>
          <w:b w:val="1"/>
          <w:bCs w:val="1"/>
          <w:color w:val="auto"/>
        </w:rPr>
        <w:t>Level 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Inputs include quoted prices for similar assets and liabilities in active markets, quoted prices for identical or similar assets or liabilities in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2" w:lineRule="exact"/>
        <w:rPr>
          <w:sz w:val="20"/>
          <w:szCs w:val="20"/>
          <w:color w:val="auto"/>
        </w:rPr>
      </w:pPr>
    </w:p>
    <w:p>
      <w:pPr>
        <w:ind w:left="1580" w:right="480" w:hanging="1122"/>
        <w:spacing w:after="0" w:line="269" w:lineRule="auto"/>
        <w:tabs>
          <w:tab w:leader="none" w:pos="1560" w:val="left"/>
        </w:tabs>
        <w:rPr>
          <w:sz w:val="20"/>
          <w:szCs w:val="20"/>
          <w:color w:val="auto"/>
        </w:rPr>
      </w:pPr>
      <w:r>
        <w:rPr>
          <w:rFonts w:ascii="Arial" w:cs="Arial" w:eastAsia="Arial" w:hAnsi="Arial"/>
          <w:sz w:val="16"/>
          <w:szCs w:val="16"/>
          <w:b w:val="1"/>
          <w:bCs w:val="1"/>
          <w:color w:val="auto"/>
        </w:rPr>
        <w:t>Level 3</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Unobservable inputs that reflect the Company’s assumptions that market participants would use in pricing the asset or liability.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develops these inputs based on the best information available, including its own data.</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financial asset’s or liability’s classification within the hierarchy is determined based on the lowest level input that is significant to the fair value measurement.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provides the assets carried at fair value, measured as of September 30, 2009 and March 31, 2009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Quoted Prices in</w:t>
            </w:r>
          </w:p>
        </w:tc>
        <w:tc>
          <w:tcPr>
            <w:tcW w:w="46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Using Significant</w:t>
            </w:r>
          </w:p>
        </w:tc>
        <w:tc>
          <w:tcPr>
            <w:tcW w:w="4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Using Significant</w:t>
            </w:r>
          </w:p>
        </w:tc>
        <w:tc>
          <w:tcPr>
            <w:tcW w:w="0" w:type="dxa"/>
            <w:vAlign w:val="bottom"/>
          </w:tcPr>
          <w:p>
            <w:pPr>
              <w:spacing w:after="0"/>
              <w:rPr>
                <w:sz w:val="1"/>
                <w:szCs w:val="1"/>
                <w:color w:val="auto"/>
              </w:rPr>
            </w:pPr>
          </w:p>
        </w:tc>
      </w:tr>
      <w:tr>
        <w:trPr>
          <w:trHeight w:val="134"/>
        </w:trPr>
        <w:tc>
          <w:tcPr>
            <w:tcW w:w="5360" w:type="dxa"/>
            <w:vAlign w:val="bottom"/>
          </w:tcPr>
          <w:p>
            <w:pPr>
              <w:spacing w:after="0"/>
              <w:rPr>
                <w:sz w:val="11"/>
                <w:szCs w:val="11"/>
                <w:color w:val="auto"/>
              </w:rPr>
            </w:pPr>
          </w:p>
        </w:tc>
        <w:tc>
          <w:tcPr>
            <w:tcW w:w="1160" w:type="dxa"/>
            <w:vAlign w:val="bottom"/>
            <w:vMerge w:val="restart"/>
          </w:tcPr>
          <w:p>
            <w:pPr>
              <w:jc w:val="right"/>
              <w:ind w:right="104"/>
              <w:spacing w:after="0"/>
              <w:rPr>
                <w:sz w:val="20"/>
                <w:szCs w:val="20"/>
                <w:color w:val="auto"/>
              </w:rPr>
            </w:pPr>
            <w:r>
              <w:rPr>
                <w:rFonts w:ascii="Arial" w:cs="Arial" w:eastAsia="Arial" w:hAnsi="Arial"/>
                <w:sz w:val="13"/>
                <w:szCs w:val="13"/>
                <w:b w:val="1"/>
                <w:bCs w:val="1"/>
                <w:color w:val="auto"/>
              </w:rPr>
              <w:t>Total Carrying</w:t>
            </w: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jc w:val="center"/>
              <w:ind w:right="342"/>
              <w:spacing w:after="0" w:line="134" w:lineRule="exact"/>
              <w:rPr>
                <w:sz w:val="20"/>
                <w:szCs w:val="20"/>
                <w:color w:val="auto"/>
              </w:rPr>
            </w:pPr>
            <w:r>
              <w:rPr>
                <w:rFonts w:ascii="Arial" w:cs="Arial" w:eastAsia="Arial" w:hAnsi="Arial"/>
                <w:sz w:val="13"/>
                <w:szCs w:val="13"/>
                <w:b w:val="1"/>
                <w:bCs w:val="1"/>
                <w:color w:val="auto"/>
                <w:w w:val="97"/>
              </w:rPr>
              <w:t>Other</w:t>
            </w:r>
          </w:p>
        </w:tc>
        <w:tc>
          <w:tcPr>
            <w:tcW w:w="46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34"/>
        </w:trPr>
        <w:tc>
          <w:tcPr>
            <w:tcW w:w="5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Active Markets</w:t>
            </w:r>
          </w:p>
        </w:tc>
        <w:tc>
          <w:tcPr>
            <w:tcW w:w="460" w:type="dxa"/>
            <w:vAlign w:val="bottom"/>
          </w:tcPr>
          <w:p>
            <w:pPr>
              <w:spacing w:after="0"/>
              <w:rPr>
                <w:sz w:val="11"/>
                <w:szCs w:val="11"/>
                <w:color w:val="auto"/>
              </w:rPr>
            </w:pPr>
          </w:p>
        </w:tc>
        <w:tc>
          <w:tcPr>
            <w:tcW w:w="13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1"/>
              </w:rPr>
              <w:t>Observable Inputs</w:t>
            </w:r>
          </w:p>
        </w:tc>
        <w:tc>
          <w:tcPr>
            <w:tcW w:w="46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54"/>
        </w:trPr>
        <w:tc>
          <w:tcPr>
            <w:tcW w:w="5360" w:type="dxa"/>
            <w:vAlign w:val="bottom"/>
          </w:tcPr>
          <w:p>
            <w:pPr>
              <w:spacing w:after="0"/>
              <w:rPr>
                <w:sz w:val="13"/>
                <w:szCs w:val="13"/>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Value</w:t>
            </w:r>
          </w:p>
        </w:tc>
        <w:tc>
          <w:tcPr>
            <w:tcW w:w="44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b w:val="1"/>
                <w:bCs w:val="1"/>
                <w:color w:val="auto"/>
                <w:w w:val="90"/>
              </w:rPr>
              <w:t>Level 1)</w:t>
            </w:r>
          </w:p>
        </w:tc>
        <w:tc>
          <w:tcPr>
            <w:tcW w:w="460" w:type="dxa"/>
            <w:vAlign w:val="bottom"/>
          </w:tcPr>
          <w:p>
            <w:pPr>
              <w:spacing w:after="0"/>
              <w:rPr>
                <w:sz w:val="13"/>
                <w:szCs w:val="13"/>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b w:val="1"/>
                <w:bCs w:val="1"/>
                <w:color w:val="auto"/>
                <w:w w:val="90"/>
              </w:rPr>
              <w:t>Level 2)</w:t>
            </w:r>
          </w:p>
        </w:tc>
        <w:tc>
          <w:tcPr>
            <w:tcW w:w="460" w:type="dxa"/>
            <w:vAlign w:val="bottom"/>
          </w:tcPr>
          <w:p>
            <w:pPr>
              <w:spacing w:after="0"/>
              <w:rPr>
                <w:sz w:val="13"/>
                <w:szCs w:val="13"/>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87"/>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2009</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Cash equivalents</w:t>
            </w:r>
          </w:p>
        </w:tc>
        <w:tc>
          <w:tcPr>
            <w:tcW w:w="1160" w:type="dxa"/>
            <w:vAlign w:val="bottom"/>
          </w:tcPr>
          <w:p>
            <w:pPr>
              <w:jc w:val="right"/>
              <w:ind w:right="284"/>
              <w:spacing w:after="0"/>
              <w:rPr>
                <w:sz w:val="20"/>
                <w:szCs w:val="20"/>
                <w:color w:val="auto"/>
              </w:rPr>
            </w:pPr>
            <w:r>
              <w:rPr>
                <w:rFonts w:ascii="Arial" w:cs="Arial" w:eastAsia="Arial" w:hAnsi="Arial"/>
                <w:sz w:val="16"/>
                <w:szCs w:val="16"/>
                <w:color w:val="auto"/>
              </w:rPr>
              <w:t>$42,132</w:t>
            </w:r>
          </w:p>
        </w:tc>
        <w:tc>
          <w:tcPr>
            <w:tcW w:w="1620" w:type="dxa"/>
            <w:vAlign w:val="bottom"/>
            <w:gridSpan w:val="2"/>
          </w:tcPr>
          <w:p>
            <w:pPr>
              <w:jc w:val="right"/>
              <w:ind w:right="288"/>
              <w:spacing w:after="0"/>
              <w:rPr>
                <w:sz w:val="20"/>
                <w:szCs w:val="20"/>
                <w:color w:val="auto"/>
              </w:rPr>
            </w:pPr>
            <w:r>
              <w:rPr>
                <w:rFonts w:ascii="Arial" w:cs="Arial" w:eastAsia="Arial" w:hAnsi="Arial"/>
                <w:sz w:val="16"/>
                <w:szCs w:val="16"/>
                <w:color w:val="auto"/>
              </w:rPr>
              <w:t>$42,132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w:t>
            </w:r>
          </w:p>
        </w:tc>
        <w:tc>
          <w:tcPr>
            <w:tcW w:w="116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46,304</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46,304</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March 31, 2009:</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Cash equivalents</w:t>
            </w:r>
          </w:p>
        </w:tc>
        <w:tc>
          <w:tcPr>
            <w:tcW w:w="116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$30,483</w:t>
            </w:r>
          </w:p>
        </w:tc>
        <w:tc>
          <w:tcPr>
            <w:tcW w:w="1620" w:type="dxa"/>
            <w:vAlign w:val="bottom"/>
            <w:gridSpan w:val="2"/>
            <w:shd w:val="clear" w:color="auto" w:fill="CCEEFF"/>
          </w:tcPr>
          <w:p>
            <w:pPr>
              <w:jc w:val="right"/>
              <w:ind w:right="288"/>
              <w:spacing w:after="0"/>
              <w:rPr>
                <w:sz w:val="20"/>
                <w:szCs w:val="20"/>
                <w:color w:val="auto"/>
              </w:rPr>
            </w:pPr>
            <w:r>
              <w:rPr>
                <w:rFonts w:ascii="Arial" w:cs="Arial" w:eastAsia="Arial" w:hAnsi="Arial"/>
                <w:sz w:val="16"/>
                <w:szCs w:val="16"/>
                <w:color w:val="auto"/>
              </w:rPr>
              <w:t>$30,483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360" w:type="dxa"/>
            <w:vAlign w:val="bottom"/>
          </w:tcPr>
          <w:p>
            <w:pPr>
              <w:spacing w:after="0"/>
              <w:rPr>
                <w:sz w:val="20"/>
                <w:szCs w:val="20"/>
                <w:color w:val="auto"/>
              </w:rPr>
            </w:pPr>
            <w:r>
              <w:rPr>
                <w:rFonts w:ascii="Arial" w:cs="Arial" w:eastAsia="Arial" w:hAnsi="Arial"/>
                <w:sz w:val="16"/>
                <w:szCs w:val="16"/>
                <w:color w:val="auto"/>
              </w:rPr>
              <w:t>Marketable securities</w:t>
            </w:r>
          </w:p>
        </w:tc>
        <w:tc>
          <w:tcPr>
            <w:tcW w:w="1160" w:type="dxa"/>
            <w:vAlign w:val="bottom"/>
          </w:tcPr>
          <w:p>
            <w:pPr>
              <w:jc w:val="right"/>
              <w:ind w:right="284"/>
              <w:spacing w:after="0"/>
              <w:rPr>
                <w:sz w:val="20"/>
                <w:szCs w:val="20"/>
                <w:color w:val="auto"/>
              </w:rPr>
            </w:pPr>
            <w:r>
              <w:rPr>
                <w:rFonts w:ascii="Arial" w:cs="Arial" w:eastAsia="Arial" w:hAnsi="Arial"/>
                <w:sz w:val="16"/>
                <w:szCs w:val="16"/>
                <w:color w:val="auto"/>
              </w:rPr>
              <w:t>39,255</w:t>
            </w:r>
          </w:p>
        </w:tc>
        <w:tc>
          <w:tcPr>
            <w:tcW w:w="440" w:type="dxa"/>
            <w:vAlign w:val="bottom"/>
          </w:tcPr>
          <w:p>
            <w:pPr>
              <w:spacing w:after="0"/>
              <w:rPr>
                <w:sz w:val="17"/>
                <w:szCs w:val="17"/>
                <w:color w:val="auto"/>
              </w:rPr>
            </w:pPr>
          </w:p>
        </w:tc>
        <w:tc>
          <w:tcPr>
            <w:tcW w:w="1180" w:type="dxa"/>
            <w:vAlign w:val="bottom"/>
          </w:tcPr>
          <w:p>
            <w:pPr>
              <w:jc w:val="right"/>
              <w:ind w:right="288"/>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Arial" w:cs="Arial" w:eastAsia="Arial" w:hAnsi="Arial"/>
                <w:sz w:val="16"/>
                <w:szCs w:val="16"/>
                <w:color w:val="auto"/>
                <w:w w:val="89"/>
              </w:rPr>
              <w:t>39,255</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Techniques</w:t>
      </w:r>
    </w:p>
    <w:p>
      <w:pPr>
        <w:spacing w:after="0" w:line="109" w:lineRule="exact"/>
        <w:rPr>
          <w:sz w:val="20"/>
          <w:szCs w:val="20"/>
          <w:color w:val="auto"/>
        </w:rPr>
      </w:pPr>
    </w:p>
    <w:p>
      <w:pPr>
        <w:jc w:val="both"/>
        <w:ind w:right="20" w:firstLine="274"/>
        <w:spacing w:after="0" w:line="269" w:lineRule="auto"/>
        <w:rPr>
          <w:sz w:val="20"/>
          <w:szCs w:val="20"/>
          <w:color w:val="auto"/>
        </w:rPr>
      </w:pPr>
      <w:r>
        <w:rPr>
          <w:rFonts w:ascii="Arial" w:cs="Arial" w:eastAsia="Arial" w:hAnsi="Arial"/>
          <w:sz w:val="16"/>
          <w:szCs w:val="16"/>
          <w:color w:val="auto"/>
        </w:rPr>
        <w:t>Cash equivalents consist of highly liquid money market instruments with maturities of three months or less that are regarded as high quality, low risk investments, are measured using such inputs as quoted prices and inputs that are derived principally from or corroborated by observable market data by correlation or other means, and are classified within Level 1 of the valuation hierarchy.</w:t>
      </w:r>
    </w:p>
    <w:p>
      <w:pPr>
        <w:spacing w:after="0" w:line="65" w:lineRule="exact"/>
        <w:rPr>
          <w:sz w:val="20"/>
          <w:szCs w:val="20"/>
          <w:color w:val="auto"/>
        </w:rPr>
      </w:pPr>
    </w:p>
    <w:p>
      <w:pPr>
        <w:jc w:val="both"/>
        <w:ind w:right="20" w:firstLine="299"/>
        <w:spacing w:after="0" w:line="260" w:lineRule="auto"/>
        <w:rPr>
          <w:sz w:val="20"/>
          <w:szCs w:val="20"/>
          <w:color w:val="auto"/>
        </w:rPr>
      </w:pPr>
      <w:r>
        <w:rPr>
          <w:rFonts w:ascii="Arial" w:cs="Arial" w:eastAsia="Arial" w:hAnsi="Arial"/>
          <w:sz w:val="16"/>
          <w:szCs w:val="16"/>
          <w:color w:val="auto"/>
        </w:rPr>
        <w:t>The Company’s marketable securities are classified as available-for-sale securities and, accordingly, are recorded at fair value. At September 30, 2009, the Company primarily held U.S. government backed commercial paper and European sovereign bonds and at March 31, 2009, the Company primarily held U.S. government backed commercial paper. All commercial paper is rated A-1 or higher. The difference between amortized cost and fair value is included in stockholders’ equity. Marketable securities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73" w:lineRule="exact"/>
        <w:rPr>
          <w:sz w:val="20"/>
          <w:szCs w:val="20"/>
          <w:color w:val="auto"/>
        </w:rPr>
      </w:pPr>
    </w:p>
    <w:p>
      <w:pPr>
        <w:jc w:val="both"/>
        <w:ind w:right="20" w:firstLine="203"/>
        <w:spacing w:after="0" w:line="313" w:lineRule="auto"/>
        <w:rPr>
          <w:sz w:val="20"/>
          <w:szCs w:val="20"/>
          <w:color w:val="auto"/>
        </w:rPr>
      </w:pPr>
      <w:r>
        <w:rPr>
          <w:rFonts w:ascii="Arial" w:cs="Arial" w:eastAsia="Arial" w:hAnsi="Arial"/>
          <w:sz w:val="14"/>
          <w:szCs w:val="14"/>
          <w:color w:val="auto"/>
        </w:rPr>
        <w:t>Effective April 1, 2009, the Company implemented a newly issued accounting standard for fair value measurements of all nonfinancial assets and nonfinancial liabilities not recognized or disclosed at fair value in the financial statements on a non-recurring basis. Adoption of the new accounting standard for the Company’s nonfinancial assets and nonfinancial liabilities that are measured at fair value on a non-recurring basis did not impact its financial position or results of operations; however, could have an impact in future periods. The Company may have additional disclosure requirements in the event of a completed acquisition or if an impairment of these occurs in a future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Derivative Financial Instruments</w:t>
      </w:r>
    </w:p>
    <w:p>
      <w:pPr>
        <w:spacing w:after="0" w:line="113" w:lineRule="exact"/>
        <w:rPr>
          <w:sz w:val="20"/>
          <w:szCs w:val="20"/>
          <w:color w:val="auto"/>
        </w:rPr>
      </w:pPr>
    </w:p>
    <w:p>
      <w:pPr>
        <w:jc w:val="both"/>
        <w:ind w:right="20" w:firstLine="219"/>
        <w:spacing w:after="0" w:line="269" w:lineRule="auto"/>
        <w:rPr>
          <w:sz w:val="20"/>
          <w:szCs w:val="20"/>
          <w:color w:val="auto"/>
        </w:rPr>
      </w:pPr>
      <w:r>
        <w:rPr>
          <w:rFonts w:ascii="Arial" w:cs="Arial" w:eastAsia="Arial" w:hAnsi="Arial"/>
          <w:sz w:val="16"/>
          <w:szCs w:val="16"/>
          <w:color w:val="auto"/>
        </w:rPr>
        <w:t>On April 1, 2009, the Company adopted a newly issued accounting standard regarding disclosure of derivative instruments and hedging activities. This statement improves transparency in financial reporting by requiring enhanced disclosures of an entity’s derivative instruments and hedging activities and their effects on the entity’s financial position, financial performance and cash flows.</w:t>
      </w:r>
    </w:p>
    <w:p>
      <w:pPr>
        <w:spacing w:after="0" w:line="65" w:lineRule="exact"/>
        <w:rPr>
          <w:sz w:val="20"/>
          <w:szCs w:val="20"/>
          <w:color w:val="auto"/>
        </w:rPr>
      </w:pPr>
    </w:p>
    <w:p>
      <w:pPr>
        <w:jc w:val="both"/>
        <w:ind w:firstLine="264"/>
        <w:spacing w:after="0" w:line="260" w:lineRule="auto"/>
        <w:rPr>
          <w:sz w:val="20"/>
          <w:szCs w:val="20"/>
          <w:color w:val="auto"/>
        </w:rPr>
      </w:pPr>
      <w:r>
        <w:rPr>
          <w:rFonts w:ascii="Arial" w:cs="Arial" w:eastAsia="Arial" w:hAnsi="Arial"/>
          <w:sz w:val="16"/>
          <w:szCs w:val="16"/>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both forward contracts and currency options to manage the foreign currency exposures that exist as part of its ongoing business operations. The contracts primarily are denominated in the Euro and have maturities of less than three months. On September 30, 2009, the Company had a forward contract outstanding to hedge the Company’s wholly-owned Austrian subsidiary, AMSC Windtec GmbH (“Windtec”) USD exposure, with a nominal and fair value of $15.6 million, which expired on October 30, 2009. The forward contract sold US dollars and bought Euros at $1.4663.</w:t>
      </w:r>
    </w:p>
    <w:p>
      <w:pPr>
        <w:spacing w:after="0" w:line="73" w:lineRule="exact"/>
        <w:rPr>
          <w:sz w:val="20"/>
          <w:szCs w:val="20"/>
          <w:color w:val="auto"/>
        </w:rPr>
      </w:pPr>
    </w:p>
    <w:p>
      <w:pPr>
        <w:jc w:val="both"/>
        <w:ind w:right="20" w:firstLine="302"/>
        <w:spacing w:after="0" w:line="284" w:lineRule="auto"/>
        <w:rPr>
          <w:sz w:val="20"/>
          <w:szCs w:val="20"/>
          <w:color w:val="auto"/>
        </w:rPr>
      </w:pPr>
      <w:r>
        <w:rPr>
          <w:rFonts w:ascii="Arial" w:cs="Arial" w:eastAsia="Arial" w:hAnsi="Arial"/>
          <w:sz w:val="16"/>
          <w:szCs w:val="16"/>
          <w:color w:val="auto"/>
        </w:rPr>
        <w:t>Generally, the Company does not designate forward contracts or currency option contracts as hedges for accounting purposes, and changes in the fair value of these instruments are recognized immediately in earnings. Gains and losses on these contracts are included in other expense, net.</w:t>
      </w:r>
    </w:p>
    <w:p>
      <w:pPr>
        <w:spacing w:after="0" w:line="53" w:lineRule="exact"/>
        <w:rPr>
          <w:sz w:val="20"/>
          <w:szCs w:val="20"/>
          <w:color w:val="auto"/>
        </w:rPr>
      </w:pPr>
    </w:p>
    <w:p>
      <w:pPr>
        <w:jc w:val="both"/>
        <w:ind w:right="20" w:firstLine="289"/>
        <w:spacing w:after="0" w:line="284" w:lineRule="auto"/>
        <w:rPr>
          <w:sz w:val="20"/>
          <w:szCs w:val="20"/>
          <w:color w:val="auto"/>
        </w:rPr>
      </w:pPr>
      <w:r>
        <w:rPr>
          <w:rFonts w:ascii="Arial" w:cs="Arial" w:eastAsia="Arial" w:hAnsi="Arial"/>
          <w:sz w:val="16"/>
          <w:szCs w:val="16"/>
          <w:color w:val="auto"/>
        </w:rPr>
        <w:t>Net realized and unrealized gains on forward contracts and option contracts included in other expense, net, excluding the underlying foreign currency exposure being hedged, were $0.4 million and $0.1 million for the three and six months ended September 30, 2009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Inventory</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components of inventory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8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3"/>
                <w:szCs w:val="13"/>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March 31,</w:t>
            </w:r>
          </w:p>
        </w:tc>
      </w:tr>
      <w:tr>
        <w:trPr>
          <w:trHeight w:val="154"/>
        </w:trPr>
        <w:tc>
          <w:tcPr>
            <w:tcW w:w="9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3"/>
                <w:szCs w:val="13"/>
                <w:color w:val="auto"/>
              </w:rPr>
            </w:pPr>
          </w:p>
        </w:tc>
      </w:tr>
      <w:tr>
        <w:trPr>
          <w:trHeight w:val="187"/>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13,206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16,098</w:t>
            </w:r>
          </w:p>
        </w:tc>
      </w:tr>
      <w:tr>
        <w:trPr>
          <w:trHeight w:val="195"/>
        </w:trPr>
        <w:tc>
          <w:tcPr>
            <w:tcW w:w="9180" w:type="dxa"/>
            <w:vAlign w:val="bottom"/>
          </w:tcPr>
          <w:p>
            <w:pPr>
              <w:spacing w:after="0"/>
              <w:rPr>
                <w:sz w:val="20"/>
                <w:szCs w:val="20"/>
                <w:color w:val="auto"/>
              </w:rPr>
            </w:pPr>
            <w:r>
              <w:rPr>
                <w:rFonts w:ascii="Arial" w:cs="Arial" w:eastAsia="Arial" w:hAnsi="Arial"/>
                <w:sz w:val="16"/>
                <w:szCs w:val="16"/>
                <w:color w:val="auto"/>
              </w:rPr>
              <w:t>Work-in-progress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5,708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6,522</w:t>
            </w:r>
          </w:p>
        </w:tc>
      </w:tr>
      <w:tr>
        <w:trPr>
          <w:trHeight w:val="195"/>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8,150</w:t>
            </w:r>
          </w:p>
        </w:tc>
      </w:tr>
      <w:tr>
        <w:trPr>
          <w:trHeight w:val="195"/>
        </w:trPr>
        <w:tc>
          <w:tcPr>
            <w:tcW w:w="9180" w:type="dxa"/>
            <w:vAlign w:val="bottom"/>
          </w:tcPr>
          <w:p>
            <w:pPr>
              <w:spacing w:after="0"/>
              <w:rPr>
                <w:sz w:val="20"/>
                <w:szCs w:val="20"/>
                <w:color w:val="auto"/>
              </w:rPr>
            </w:pPr>
            <w:r>
              <w:rPr>
                <w:rFonts w:ascii="Arial" w:cs="Arial" w:eastAsia="Arial" w:hAnsi="Arial"/>
                <w:sz w:val="16"/>
                <w:szCs w:val="16"/>
                <w:color w:val="auto"/>
              </w:rPr>
              <w:t>Deferred program costs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2,725</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4,359</w:t>
            </w:r>
          </w:p>
        </w:tc>
      </w:tr>
      <w:tr>
        <w:trPr>
          <w:trHeight w:val="24"/>
        </w:trPr>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5"/>
        </w:trPr>
        <w:tc>
          <w:tcPr>
            <w:tcW w:w="9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inventory</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29,187</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35,129</w:t>
            </w:r>
          </w:p>
        </w:tc>
      </w:tr>
      <w:tr>
        <w:trPr>
          <w:trHeight w:val="20"/>
        </w:trPr>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right="20" w:firstLine="273"/>
        <w:spacing w:after="0" w:line="284" w:lineRule="auto"/>
        <w:rPr>
          <w:sz w:val="20"/>
          <w:szCs w:val="20"/>
          <w:color w:val="auto"/>
        </w:rPr>
      </w:pPr>
      <w:r>
        <w:rPr>
          <w:rFonts w:ascii="Arial" w:cs="Arial" w:eastAsia="Arial" w:hAnsi="Arial"/>
          <w:sz w:val="16"/>
          <w:szCs w:val="16"/>
          <w:color w:val="auto"/>
        </w:rPr>
        <w:t>A portion of Finished goods inventory of $7.5 million as of September 30, 2009 represents costs of product shipped to customers on contracts for which revenue was deferred until final customer acceptance.</w:t>
      </w:r>
    </w:p>
    <w:p>
      <w:pPr>
        <w:spacing w:after="0" w:line="53" w:lineRule="exact"/>
        <w:rPr>
          <w:sz w:val="20"/>
          <w:szCs w:val="20"/>
          <w:color w:val="auto"/>
        </w:rPr>
      </w:pPr>
    </w:p>
    <w:p>
      <w:pPr>
        <w:jc w:val="both"/>
        <w:ind w:right="20" w:firstLine="245"/>
        <w:spacing w:after="0" w:line="264" w:lineRule="auto"/>
        <w:rPr>
          <w:sz w:val="20"/>
          <w:szCs w:val="20"/>
          <w:color w:val="auto"/>
        </w:rPr>
      </w:pPr>
      <w:r>
        <w:rPr>
          <w:rFonts w:ascii="Arial" w:cs="Arial" w:eastAsia="Arial" w:hAnsi="Arial"/>
          <w:sz w:val="16"/>
          <w:szCs w:val="16"/>
          <w:color w:val="auto"/>
        </w:rPr>
        <w:t>Deferred program costs of $2.7 million as of September 30, 2009 and $4.4 million as of March 31, 2009 primarily represent costs incurred on wind turbine development programs where the Company needs to achieve certain milestones or complete development programs before revenue and costs will be recognized. Deferred program costs of $2.6 million as of March 31, 2009 were incurred on a long-term turnkey D-VAR</w:t>
      </w:r>
      <w:r>
        <w:rPr>
          <w:rFonts w:ascii="Arial" w:cs="Arial" w:eastAsia="Arial" w:hAnsi="Arial"/>
          <w:sz w:val="13"/>
          <w:szCs w:val="13"/>
          <w:color w:val="auto"/>
        </w:rPr>
        <w:t>®</w:t>
      </w:r>
      <w:r>
        <w:rPr>
          <w:rFonts w:ascii="Arial" w:cs="Arial" w:eastAsia="Arial" w:hAnsi="Arial"/>
          <w:sz w:val="16"/>
          <w:szCs w:val="16"/>
          <w:color w:val="auto"/>
        </w:rPr>
        <w:t xml:space="preserve"> system project that were subsequently recorded in cost of revenue in the three months ended June 30, 2009 when the related revenue was recognized.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Product Warranty</w:t>
      </w:r>
    </w:p>
    <w:p>
      <w:pPr>
        <w:spacing w:after="0" w:line="113" w:lineRule="exact"/>
        <w:rPr>
          <w:sz w:val="20"/>
          <w:szCs w:val="20"/>
          <w:color w:val="auto"/>
        </w:rPr>
      </w:pPr>
    </w:p>
    <w:p>
      <w:pPr>
        <w:jc w:val="both"/>
        <w:ind w:right="20" w:firstLine="227"/>
        <w:spacing w:after="0" w:line="284" w:lineRule="auto"/>
        <w:rPr>
          <w:sz w:val="20"/>
          <w:szCs w:val="20"/>
          <w:color w:val="auto"/>
        </w:rPr>
      </w:pPr>
      <w:r>
        <w:rPr>
          <w:rFonts w:ascii="Arial" w:cs="Arial" w:eastAsia="Arial" w:hAnsi="Arial"/>
          <w:sz w:val="16"/>
          <w:szCs w:val="16"/>
          <w:color w:val="auto"/>
        </w:rPr>
        <w:t>The Company generally provides a one to two year warranty on its products, commencing upon installation. A provision is recorded upon revenue recognition to “Cost of revenues” for estimated warranty expense based on historical experience.</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 warranty activity was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jc w:val="right"/>
              <w:ind w:right="116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6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2"/>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3"/>
                <w:szCs w:val="13"/>
                <w:b w:val="1"/>
                <w:bCs w:val="1"/>
                <w:color w:val="auto"/>
              </w:rPr>
              <w:t>2009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2"/>
              <w:spacing w:after="0" w:line="126" w:lineRule="exact"/>
              <w:rPr>
                <w:sz w:val="20"/>
                <w:szCs w:val="20"/>
                <w:color w:val="auto"/>
              </w:rPr>
            </w:pPr>
            <w:r>
              <w:rPr>
                <w:rFonts w:ascii="Arial" w:cs="Arial" w:eastAsia="Arial" w:hAnsi="Arial"/>
                <w:sz w:val="13"/>
                <w:szCs w:val="13"/>
                <w:b w:val="1"/>
                <w:bCs w:val="1"/>
                <w:color w:val="auto"/>
                <w:w w:val="89"/>
              </w:rPr>
              <w:t>2008</w:t>
            </w:r>
          </w:p>
        </w:tc>
        <w:tc>
          <w:tcPr>
            <w:tcW w:w="120" w:type="dxa"/>
            <w:vAlign w:val="bottom"/>
          </w:tcPr>
          <w:p>
            <w:pPr>
              <w:spacing w:after="0"/>
              <w:rPr>
                <w:sz w:val="10"/>
                <w:szCs w:val="10"/>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5,325</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1,985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3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1,775</w:t>
            </w: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Accruals for warranties during the period</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1,602</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1,310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2,717</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2,436</w:t>
            </w:r>
          </w:p>
        </w:tc>
      </w:tr>
      <w:tr>
        <w:trPr>
          <w:trHeight w:val="195"/>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Settlements and adjustments during the period</w:t>
            </w:r>
          </w:p>
        </w:tc>
        <w:tc>
          <w:tcPr>
            <w:tcW w:w="1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(1,430)</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(852)</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(1,969)</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(1,768)</w:t>
            </w:r>
          </w:p>
        </w:tc>
      </w:tr>
      <w:tr>
        <w:trPr>
          <w:trHeight w:val="199"/>
        </w:trPr>
        <w:tc>
          <w:tcPr>
            <w:tcW w:w="652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5,497</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2,443</w:t>
            </w:r>
          </w:p>
        </w:tc>
        <w:tc>
          <w:tcPr>
            <w:tcW w:w="6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5,497</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Income Taxes</w:t>
      </w:r>
    </w:p>
    <w:p>
      <w:pPr>
        <w:spacing w:after="0" w:line="113" w:lineRule="exact"/>
        <w:rPr>
          <w:sz w:val="20"/>
          <w:szCs w:val="20"/>
          <w:color w:val="auto"/>
        </w:rPr>
      </w:pPr>
    </w:p>
    <w:p>
      <w:pPr>
        <w:jc w:val="both"/>
        <w:ind w:right="20" w:firstLine="206"/>
        <w:spacing w:after="0" w:line="264" w:lineRule="auto"/>
        <w:rPr>
          <w:sz w:val="20"/>
          <w:szCs w:val="20"/>
          <w:color w:val="auto"/>
        </w:rPr>
      </w:pPr>
      <w:r>
        <w:rPr>
          <w:rFonts w:ascii="Arial" w:cs="Arial" w:eastAsia="Arial" w:hAnsi="Arial"/>
          <w:sz w:val="16"/>
          <w:szCs w:val="16"/>
          <w:color w:val="auto"/>
        </w:rPr>
        <w:t>The Company recorded income tax expense of $5.3 and $8.2 million for the three and six months ended September 30, 2009, respectively, and $1.5 and $3.3 million for the three and six months ended September 30, 2008, respectively, related primarily to income generated in foreign jurisdictions. The Company has provided a valuation allowance against all deferred tax assets in the U.S. as it is more likely than not that its deferred tax assets are not currently realizable due to the net operating losses incurred by the Company in the U.S. since its inception.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113" w:lineRule="exact"/>
        <w:rPr>
          <w:sz w:val="20"/>
          <w:szCs w:val="20"/>
          <w:color w:val="auto"/>
        </w:rPr>
      </w:pPr>
    </w:p>
    <w:p>
      <w:pPr>
        <w:jc w:val="both"/>
        <w:ind w:firstLine="205"/>
        <w:spacing w:after="0" w:line="262" w:lineRule="auto"/>
        <w:rPr>
          <w:sz w:val="20"/>
          <w:szCs w:val="20"/>
          <w:color w:val="auto"/>
        </w:rPr>
      </w:pPr>
      <w:r>
        <w:rPr>
          <w:rFonts w:ascii="Arial" w:cs="Arial" w:eastAsia="Arial" w:hAnsi="Arial"/>
          <w:sz w:val="16"/>
          <w:szCs w:val="16"/>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In August 2008, Provident utilized the cashless exercise provision and exercised the entire Warrant in exchange for 148,387 shares of the Company’s common stock. The Warrant was re-valued at $4.3 million at the time of exercise, resulting in a gain of $1.1 million and a charge of $1.3 million for the three and six months ended September 30, 2008, respectively (reported in Other income (expense) in the Unaudited Condensed Consolidated Statements of Operations).</w:t>
      </w:r>
    </w:p>
    <w:p>
      <w:pPr>
        <w:spacing w:after="0" w:line="69" w:lineRule="exact"/>
        <w:rPr>
          <w:sz w:val="20"/>
          <w:szCs w:val="20"/>
          <w:color w:val="auto"/>
        </w:rPr>
      </w:pPr>
    </w:p>
    <w:p>
      <w:pPr>
        <w:jc w:val="both"/>
        <w:ind w:right="20" w:firstLine="280"/>
        <w:spacing w:after="0" w:line="269" w:lineRule="auto"/>
        <w:rPr>
          <w:sz w:val="20"/>
          <w:szCs w:val="20"/>
          <w:color w:val="auto"/>
        </w:rPr>
      </w:pPr>
      <w:r>
        <w:rPr>
          <w:rFonts w:ascii="Arial" w:cs="Arial" w:eastAsia="Arial" w:hAnsi="Arial"/>
          <w:sz w:val="16"/>
          <w:szCs w:val="16"/>
          <w:color w:val="auto"/>
        </w:rPr>
        <w:t>From time to time, 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jc w:val="both"/>
        <w:ind w:right="20" w:firstLine="239"/>
        <w:spacing w:after="0" w:line="269" w:lineRule="auto"/>
        <w:rPr>
          <w:sz w:val="20"/>
          <w:szCs w:val="20"/>
          <w:color w:val="auto"/>
        </w:rPr>
      </w:pPr>
      <w:r>
        <w:rPr>
          <w:rFonts w:ascii="Arial" w:cs="Arial" w:eastAsia="Arial" w:hAnsi="Arial"/>
          <w:sz w:val="16"/>
          <w:szCs w:val="16"/>
          <w:color w:val="auto"/>
        </w:rPr>
        <w:t>On June 26, 2008, the Company entered into a performance bond for CNY 1.1 million (approximately $0.2 million) with a Chinese customer to guarantee supply of core components and software, which expires June 30, 2012. The performance bond was issued utilizing a Bank of China CNY 18.9 million (approximately $2.8 million) unsecured line of credit, which is available until June 30, 2012.</w:t>
      </w:r>
    </w:p>
    <w:p>
      <w:pPr>
        <w:spacing w:after="0" w:line="65" w:lineRule="exact"/>
        <w:rPr>
          <w:sz w:val="20"/>
          <w:szCs w:val="20"/>
          <w:color w:val="auto"/>
        </w:rPr>
      </w:pPr>
    </w:p>
    <w:p>
      <w:pPr>
        <w:jc w:val="both"/>
        <w:ind w:right="20" w:firstLine="205"/>
        <w:spacing w:after="0" w:line="283" w:lineRule="auto"/>
        <w:rPr>
          <w:sz w:val="20"/>
          <w:szCs w:val="20"/>
          <w:color w:val="auto"/>
        </w:rPr>
      </w:pPr>
      <w:r>
        <w:rPr>
          <w:rFonts w:ascii="Arial" w:cs="Arial" w:eastAsia="Arial" w:hAnsi="Arial"/>
          <w:sz w:val="15"/>
          <w:szCs w:val="15"/>
          <w:color w:val="auto"/>
        </w:rPr>
        <w:t>As of September 30, 2009, the Company had outstanding performance bonds issued on behalf of Windtec, for €2.6 million (approximately $3.9 million) in connection with four contracts to provide power electronics for four customers. The first two performance bonds for €2.2 million (approximately $3.3 million) expired on October 31, 2009, the third performance bond for €0.1 million (approximately $0.1 million) will expire on February 6, 2010 and the fourth performance bond for €0.3 million (approximately $0.4 million) will expire on September 30, 2010. In the event that the payment is made in accordance with the requirements of any of these performance bonds, the Company would record the payment as an offset to revenue. The performance bonds are secured with restricted cash, included in current assets.</w:t>
      </w:r>
    </w:p>
    <w:p>
      <w:pPr>
        <w:spacing w:after="0" w:line="57" w:lineRule="exact"/>
        <w:rPr>
          <w:sz w:val="20"/>
          <w:szCs w:val="20"/>
          <w:color w:val="auto"/>
        </w:rPr>
      </w:pPr>
    </w:p>
    <w:p>
      <w:pPr>
        <w:jc w:val="both"/>
        <w:ind w:right="20" w:firstLine="220"/>
        <w:spacing w:after="0" w:line="269" w:lineRule="auto"/>
        <w:rPr>
          <w:sz w:val="20"/>
          <w:szCs w:val="20"/>
          <w:color w:val="auto"/>
        </w:rPr>
      </w:pPr>
      <w:r>
        <w:rPr>
          <w:rFonts w:ascii="Arial" w:cs="Arial" w:eastAsia="Arial" w:hAnsi="Arial"/>
          <w:sz w:val="16"/>
          <w:szCs w:val="16"/>
          <w:color w:val="auto"/>
        </w:rPr>
        <w:t>At September 30, 2009 and March 31, 2009, the Company had $6.4 million and $5.9 million, respectively, of restricted cash included in current assets, which includes the restricted cash securing the Windtec performance bonds noted above, and $1.6 million and $1.4 million of long-term restricted cash, respectively. Total restricted cash as of September 30, 2009 and March 31, 2009 was $8.0 million and $7.3 million, respectively.</w:t>
      </w:r>
    </w:p>
    <w:p>
      <w:pPr>
        <w:spacing w:after="0" w:line="65" w:lineRule="exact"/>
        <w:rPr>
          <w:sz w:val="20"/>
          <w:szCs w:val="20"/>
          <w:color w:val="auto"/>
        </w:rPr>
      </w:pPr>
    </w:p>
    <w:p>
      <w:pPr>
        <w:jc w:val="both"/>
        <w:ind w:right="20" w:firstLine="233"/>
        <w:spacing w:after="0" w:line="284" w:lineRule="auto"/>
        <w:rPr>
          <w:sz w:val="20"/>
          <w:szCs w:val="20"/>
          <w:color w:val="auto"/>
        </w:rPr>
      </w:pPr>
      <w:r>
        <w:rPr>
          <w:rFonts w:ascii="Arial" w:cs="Arial" w:eastAsia="Arial" w:hAnsi="Arial"/>
          <w:sz w:val="16"/>
          <w:szCs w:val="16"/>
          <w:color w:val="auto"/>
        </w:rPr>
        <w:t>The Company also has unused, unsecured lines of credit of €0.5 million (approximately $0.7 million) which is available until September 30, 2010, and CNY 17.8 million (approximately $2.6 million) which is available until June 30, 2012.</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Cost-Sharing Arrangements</w:t>
      </w:r>
    </w:p>
    <w:p>
      <w:pPr>
        <w:spacing w:after="0" w:line="113" w:lineRule="exact"/>
        <w:rPr>
          <w:sz w:val="20"/>
          <w:szCs w:val="20"/>
          <w:color w:val="auto"/>
        </w:rPr>
      </w:pPr>
    </w:p>
    <w:p>
      <w:pPr>
        <w:jc w:val="both"/>
        <w:ind w:right="20" w:firstLine="334"/>
        <w:spacing w:after="0" w:line="269" w:lineRule="auto"/>
        <w:rPr>
          <w:sz w:val="20"/>
          <w:szCs w:val="20"/>
          <w:color w:val="auto"/>
        </w:rPr>
      </w:pPr>
      <w:r>
        <w:rPr>
          <w:rFonts w:ascii="Arial" w:cs="Arial" w:eastAsia="Arial" w:hAnsi="Arial"/>
          <w:sz w:val="16"/>
          <w:szCs w:val="16"/>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Costs incurred and funding received under these agreements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1800" w:type="dxa"/>
            <w:vAlign w:val="bottom"/>
            <w:gridSpan w:val="3"/>
          </w:tcPr>
          <w:p>
            <w:pPr>
              <w:jc w:val="center"/>
              <w:ind w:left="587"/>
              <w:spacing w:after="0"/>
              <w:rPr>
                <w:sz w:val="20"/>
                <w:szCs w:val="20"/>
                <w:color w:val="auto"/>
              </w:rPr>
            </w:pPr>
            <w:r>
              <w:rPr>
                <w:rFonts w:ascii="Arial" w:cs="Arial" w:eastAsia="Arial" w:hAnsi="Arial"/>
                <w:sz w:val="13"/>
                <w:szCs w:val="13"/>
                <w:b w:val="1"/>
                <w:bCs w:val="1"/>
                <w:color w:val="auto"/>
                <w:w w:val="89"/>
              </w:rPr>
              <w:t>Three months ended</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0" w:type="dxa"/>
            <w:vAlign w:val="bottom"/>
            <w:gridSpan w:val="3"/>
          </w:tcPr>
          <w:p>
            <w:pPr>
              <w:jc w:val="right"/>
              <w:ind w:right="715"/>
              <w:spacing w:after="0"/>
              <w:rPr>
                <w:sz w:val="20"/>
                <w:szCs w:val="20"/>
                <w:color w:val="auto"/>
              </w:rPr>
            </w:pPr>
            <w:r>
              <w:rPr>
                <w:rFonts w:ascii="Arial" w:cs="Arial" w:eastAsia="Arial" w:hAnsi="Arial"/>
                <w:sz w:val="13"/>
                <w:szCs w:val="13"/>
                <w:b w:val="1"/>
                <w:bCs w:val="1"/>
                <w:color w:val="auto"/>
                <w:w w:val="89"/>
              </w:rPr>
              <w:t>Six months ended</w:t>
            </w:r>
          </w:p>
        </w:tc>
      </w:tr>
      <w:tr>
        <w:trPr>
          <w:trHeight w:val="154"/>
        </w:trPr>
        <w:tc>
          <w:tcPr>
            <w:tcW w:w="5940" w:type="dxa"/>
            <w:vAlign w:val="bottom"/>
          </w:tcPr>
          <w:p>
            <w:pPr>
              <w:spacing w:after="0"/>
              <w:rPr>
                <w:sz w:val="13"/>
                <w:szCs w:val="13"/>
                <w:color w:val="auto"/>
              </w:rPr>
            </w:pPr>
          </w:p>
        </w:tc>
        <w:tc>
          <w:tcPr>
            <w:tcW w:w="1800" w:type="dxa"/>
            <w:vAlign w:val="bottom"/>
            <w:tcBorders>
              <w:bottom w:val="single" w:sz="8" w:color="auto"/>
            </w:tcBorders>
            <w:gridSpan w:val="3"/>
          </w:tcPr>
          <w:p>
            <w:pPr>
              <w:jc w:val="center"/>
              <w:ind w:left="587"/>
              <w:spacing w:after="0"/>
              <w:rPr>
                <w:sz w:val="20"/>
                <w:szCs w:val="20"/>
                <w:color w:val="auto"/>
              </w:rPr>
            </w:pPr>
            <w:r>
              <w:rPr>
                <w:rFonts w:ascii="Arial" w:cs="Arial" w:eastAsia="Arial" w:hAnsi="Arial"/>
                <w:sz w:val="13"/>
                <w:szCs w:val="13"/>
                <w:b w:val="1"/>
                <w:bCs w:val="1"/>
                <w:color w:val="auto"/>
                <w:w w:val="87"/>
              </w:rPr>
              <w:t>September 30,</w:t>
            </w:r>
          </w:p>
        </w:tc>
        <w:tc>
          <w:tcPr>
            <w:tcW w:w="6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3"/>
                <w:szCs w:val="13"/>
                <w:b w:val="1"/>
                <w:bCs w:val="1"/>
                <w:color w:val="auto"/>
              </w:rPr>
              <w:t>September 30,</w:t>
            </w:r>
          </w:p>
        </w:tc>
      </w:tr>
      <w:tr>
        <w:trPr>
          <w:trHeight w:val="126"/>
        </w:trPr>
        <w:tc>
          <w:tcPr>
            <w:tcW w:w="5940" w:type="dxa"/>
            <w:vAlign w:val="bottom"/>
          </w:tcPr>
          <w:p>
            <w:pPr>
              <w:spacing w:after="0"/>
              <w:rPr>
                <w:sz w:val="10"/>
                <w:szCs w:val="10"/>
                <w:color w:val="auto"/>
              </w:rPr>
            </w:pPr>
          </w:p>
        </w:tc>
        <w:tc>
          <w:tcPr>
            <w:tcW w:w="1020" w:type="dxa"/>
            <w:vAlign w:val="bottom"/>
            <w:tcBorders>
              <w:bottom w:val="single" w:sz="8" w:color="auto"/>
            </w:tcBorders>
          </w:tcPr>
          <w:p>
            <w:pPr>
              <w:jc w:val="right"/>
              <w:ind w:right="307"/>
              <w:spacing w:after="0" w:line="126" w:lineRule="exact"/>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3"/>
              <w:spacing w:after="0" w:line="126" w:lineRule="exact"/>
              <w:rPr>
                <w:sz w:val="20"/>
                <w:szCs w:val="20"/>
                <w:color w:val="auto"/>
              </w:rPr>
            </w:pPr>
            <w:r>
              <w:rPr>
                <w:rFonts w:ascii="Arial" w:cs="Arial" w:eastAsia="Arial" w:hAnsi="Arial"/>
                <w:sz w:val="13"/>
                <w:szCs w:val="13"/>
                <w:b w:val="1"/>
                <w:bCs w:val="1"/>
                <w:color w:val="auto"/>
              </w:rPr>
              <w:t>2008</w:t>
            </w:r>
          </w:p>
        </w:tc>
        <w:tc>
          <w:tcPr>
            <w:tcW w:w="520" w:type="dxa"/>
            <w:vAlign w:val="bottom"/>
          </w:tcPr>
          <w:p>
            <w:pPr>
              <w:spacing w:after="0"/>
              <w:rPr>
                <w:sz w:val="10"/>
                <w:szCs w:val="10"/>
                <w:color w:val="auto"/>
              </w:rPr>
            </w:pPr>
          </w:p>
        </w:tc>
        <w:tc>
          <w:tcPr>
            <w:tcW w:w="720" w:type="dxa"/>
            <w:vAlign w:val="bottom"/>
            <w:tcBorders>
              <w:bottom w:val="single" w:sz="8" w:color="auto"/>
            </w:tcBorders>
          </w:tcPr>
          <w:p>
            <w:pPr>
              <w:jc w:val="right"/>
              <w:ind w:right="35"/>
              <w:spacing w:after="0" w:line="126" w:lineRule="exact"/>
              <w:rPr>
                <w:sz w:val="20"/>
                <w:szCs w:val="20"/>
                <w:color w:val="auto"/>
              </w:rPr>
            </w:pPr>
            <w:r>
              <w:rPr>
                <w:rFonts w:ascii="Arial" w:cs="Arial" w:eastAsia="Arial" w:hAnsi="Arial"/>
                <w:sz w:val="13"/>
                <w:szCs w:val="13"/>
                <w:b w:val="1"/>
                <w:bCs w:val="1"/>
                <w:color w:val="auto"/>
              </w:rPr>
              <w:t>2009</w:t>
            </w:r>
          </w:p>
        </w:tc>
        <w:tc>
          <w:tcPr>
            <w:tcW w:w="2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Borders>
              <w:bottom w:val="single" w:sz="8" w:color="auto"/>
            </w:tcBorders>
          </w:tcPr>
          <w:p>
            <w:pPr>
              <w:jc w:val="right"/>
              <w:ind w:right="315"/>
              <w:spacing w:after="0" w:line="126" w:lineRule="exact"/>
              <w:rPr>
                <w:sz w:val="20"/>
                <w:szCs w:val="20"/>
                <w:color w:val="auto"/>
              </w:rPr>
            </w:pPr>
            <w:r>
              <w:rPr>
                <w:rFonts w:ascii="Arial" w:cs="Arial" w:eastAsia="Arial" w:hAnsi="Arial"/>
                <w:sz w:val="13"/>
                <w:szCs w:val="13"/>
                <w:b w:val="1"/>
                <w:bCs w:val="1"/>
                <w:color w:val="auto"/>
              </w:rPr>
              <w:t>2008</w:t>
            </w: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Costs incurred</w:t>
            </w:r>
          </w:p>
        </w:tc>
        <w:tc>
          <w:tcPr>
            <w:tcW w:w="1020" w:type="dxa"/>
            <w:vAlign w:val="bottom"/>
            <w:shd w:val="clear" w:color="auto" w:fill="CCEEFF"/>
          </w:tcPr>
          <w:p>
            <w:pPr>
              <w:jc w:val="right"/>
              <w:ind w:right="247"/>
              <w:spacing w:after="0"/>
              <w:rPr>
                <w:sz w:val="20"/>
                <w:szCs w:val="20"/>
                <w:color w:val="auto"/>
              </w:rPr>
            </w:pPr>
            <w:r>
              <w:rPr>
                <w:rFonts w:ascii="Arial" w:cs="Arial" w:eastAsia="Arial" w:hAnsi="Arial"/>
                <w:sz w:val="16"/>
                <w:szCs w:val="16"/>
                <w:color w:val="auto"/>
              </w:rPr>
              <w:t>$1,004</w:t>
            </w: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w w:val="89"/>
              </w:rPr>
              <w:t>$895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1800" w:type="dxa"/>
            <w:vAlign w:val="bottom"/>
            <w:gridSpan w:val="3"/>
            <w:shd w:val="clear" w:color="auto" w:fill="CCEEFF"/>
          </w:tcPr>
          <w:p>
            <w:pPr>
              <w:jc w:val="right"/>
              <w:ind w:right="255"/>
              <w:spacing w:after="0"/>
              <w:rPr>
                <w:sz w:val="20"/>
                <w:szCs w:val="20"/>
                <w:color w:val="auto"/>
              </w:rPr>
            </w:pPr>
            <w:r>
              <w:rPr>
                <w:rFonts w:ascii="Arial" w:cs="Arial" w:eastAsia="Arial" w:hAnsi="Arial"/>
                <w:sz w:val="16"/>
                <w:szCs w:val="16"/>
                <w:color w:val="auto"/>
              </w:rPr>
              <w:t>$2,777</w:t>
            </w:r>
          </w:p>
        </w:tc>
      </w:tr>
      <w:tr>
        <w:trPr>
          <w:trHeight w:val="195"/>
        </w:trPr>
        <w:tc>
          <w:tcPr>
            <w:tcW w:w="5940" w:type="dxa"/>
            <w:vAlign w:val="bottom"/>
          </w:tcPr>
          <w:p>
            <w:pPr>
              <w:spacing w:after="0"/>
              <w:rPr>
                <w:sz w:val="20"/>
                <w:szCs w:val="20"/>
                <w:color w:val="auto"/>
              </w:rPr>
            </w:pPr>
            <w:r>
              <w:rPr>
                <w:rFonts w:ascii="Arial" w:cs="Arial" w:eastAsia="Arial" w:hAnsi="Arial"/>
                <w:sz w:val="16"/>
                <w:szCs w:val="16"/>
                <w:color w:val="auto"/>
              </w:rPr>
              <w:t>R&amp;D expenditures offset by cost sharing funding received</w:t>
            </w:r>
          </w:p>
        </w:tc>
        <w:tc>
          <w:tcPr>
            <w:tcW w:w="1020" w:type="dxa"/>
            <w:vAlign w:val="bottom"/>
          </w:tcPr>
          <w:p>
            <w:pPr>
              <w:jc w:val="right"/>
              <w:ind w:right="247"/>
              <w:spacing w:after="0"/>
              <w:rPr>
                <w:sz w:val="20"/>
                <w:szCs w:val="20"/>
                <w:color w:val="auto"/>
              </w:rPr>
            </w:pPr>
            <w:r>
              <w:rPr>
                <w:rFonts w:ascii="Arial" w:cs="Arial" w:eastAsia="Arial" w:hAnsi="Arial"/>
                <w:sz w:val="16"/>
                <w:szCs w:val="16"/>
                <w:color w:val="auto"/>
              </w:rPr>
              <w:t>227</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243"/>
              <w:spacing w:after="0"/>
              <w:rPr>
                <w:sz w:val="20"/>
                <w:szCs w:val="20"/>
                <w:color w:val="auto"/>
              </w:rPr>
            </w:pPr>
            <w:r>
              <w:rPr>
                <w:rFonts w:ascii="Arial" w:cs="Arial" w:eastAsia="Arial" w:hAnsi="Arial"/>
                <w:sz w:val="16"/>
                <w:szCs w:val="16"/>
                <w:color w:val="auto"/>
              </w:rPr>
              <w:t>236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617</w:t>
            </w:r>
          </w:p>
        </w:tc>
        <w:tc>
          <w:tcPr>
            <w:tcW w:w="1800" w:type="dxa"/>
            <w:vAlign w:val="bottom"/>
            <w:gridSpan w:val="3"/>
          </w:tcPr>
          <w:p>
            <w:pPr>
              <w:jc w:val="right"/>
              <w:ind w:right="255"/>
              <w:spacing w:after="0"/>
              <w:rPr>
                <w:sz w:val="20"/>
                <w:szCs w:val="20"/>
                <w:color w:val="auto"/>
              </w:rPr>
            </w:pPr>
            <w:r>
              <w:rPr>
                <w:rFonts w:ascii="Arial" w:cs="Arial" w:eastAsia="Arial" w:hAnsi="Arial"/>
                <w:sz w:val="16"/>
                <w:szCs w:val="16"/>
                <w:color w:val="auto"/>
              </w:rPr>
              <w:t>677</w:t>
            </w:r>
          </w:p>
        </w:tc>
      </w:tr>
      <w:tr>
        <w:trPr>
          <w:trHeight w:val="195"/>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G&amp;A expenditures offset by cost sharing funding received</w:t>
            </w:r>
          </w:p>
        </w:tc>
        <w:tc>
          <w:tcPr>
            <w:tcW w:w="1020" w:type="dxa"/>
            <w:vAlign w:val="bottom"/>
            <w:shd w:val="clear" w:color="auto" w:fill="CCEEFF"/>
          </w:tcPr>
          <w:p>
            <w:pPr>
              <w:jc w:val="right"/>
              <w:ind w:right="247"/>
              <w:spacing w:after="0"/>
              <w:rPr>
                <w:sz w:val="20"/>
                <w:szCs w:val="20"/>
                <w:color w:val="auto"/>
              </w:rPr>
            </w:pPr>
            <w:r>
              <w:rPr>
                <w:rFonts w:ascii="Arial" w:cs="Arial" w:eastAsia="Arial" w:hAnsi="Arial"/>
                <w:sz w:val="16"/>
                <w:szCs w:val="16"/>
                <w:color w:val="auto"/>
              </w:rPr>
              <w:t>198</w:t>
            </w: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206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800" w:type="dxa"/>
            <w:vAlign w:val="bottom"/>
            <w:gridSpan w:val="3"/>
            <w:shd w:val="clear" w:color="auto" w:fill="CCEEFF"/>
          </w:tcPr>
          <w:p>
            <w:pPr>
              <w:jc w:val="right"/>
              <w:ind w:right="255"/>
              <w:spacing w:after="0"/>
              <w:rPr>
                <w:sz w:val="20"/>
                <w:szCs w:val="20"/>
                <w:color w:val="auto"/>
              </w:rPr>
            </w:pPr>
            <w:r>
              <w:rPr>
                <w:rFonts w:ascii="Arial" w:cs="Arial" w:eastAsia="Arial" w:hAnsi="Arial"/>
                <w:sz w:val="16"/>
                <w:szCs w:val="16"/>
                <w:color w:val="auto"/>
              </w:rPr>
              <w:t>590</w:t>
            </w:r>
          </w:p>
        </w:tc>
      </w:tr>
    </w:tbl>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 September 30, 2009, total funding received to date under these agreements was $29.0 million.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Power Quality Systems, Inc.</w:t>
      </w:r>
    </w:p>
    <w:p>
      <w:pPr>
        <w:spacing w:after="0" w:line="109" w:lineRule="exact"/>
        <w:rPr>
          <w:sz w:val="20"/>
          <w:szCs w:val="20"/>
          <w:color w:val="auto"/>
        </w:rPr>
      </w:pPr>
    </w:p>
    <w:p>
      <w:pPr>
        <w:jc w:val="both"/>
        <w:ind w:right="20" w:firstLine="295"/>
        <w:spacing w:after="0" w:line="269" w:lineRule="auto"/>
        <w:rPr>
          <w:sz w:val="20"/>
          <w:szCs w:val="20"/>
          <w:color w:val="auto"/>
        </w:rPr>
      </w:pPr>
      <w:r>
        <w:rPr>
          <w:rFonts w:ascii="Arial" w:cs="Arial" w:eastAsia="Arial" w:hAnsi="Arial"/>
          <w:sz w:val="16"/>
          <w:szCs w:val="16"/>
          <w:color w:val="auto"/>
        </w:rPr>
        <w:t>On April 27, 2007, the Company acquired Power Quality Systems, Inc. (“PQS”), a Pennsylvania corporation, for $4.5 million in common stock. PQS offers reactive compensation products known as Static VAR Compensators, or SVCs, based on its proprietary thyristor switch technology. These products enhance the reliability of power transmission and distribution grids and improve the quality of power for manufacturing operations.</w:t>
      </w:r>
    </w:p>
    <w:p>
      <w:pPr>
        <w:spacing w:after="0" w:line="65" w:lineRule="exact"/>
        <w:rPr>
          <w:sz w:val="20"/>
          <w:szCs w:val="20"/>
          <w:color w:val="auto"/>
        </w:rPr>
      </w:pPr>
    </w:p>
    <w:p>
      <w:pPr>
        <w:jc w:val="both"/>
        <w:ind w:firstLine="238"/>
        <w:spacing w:after="0" w:line="260" w:lineRule="auto"/>
        <w:rPr>
          <w:sz w:val="20"/>
          <w:szCs w:val="20"/>
          <w:color w:val="auto"/>
        </w:rPr>
      </w:pPr>
      <w:r>
        <w:rPr>
          <w:rFonts w:ascii="Arial" w:cs="Arial" w:eastAsia="Arial" w:hAnsi="Arial"/>
          <w:sz w:val="16"/>
          <w:szCs w:val="16"/>
          <w:color w:val="auto"/>
        </w:rPr>
        <w:t>The acquisition agreement included an earn-out provision for the issuance of up to an additional 0.5 million shares of common stock based on the achievement of certain order growth targets for existing PQS products for the fiscal years ended March 31, 2008 and 2009. During the fiscal year ended March 31, 2008, the Company recorded contingent consideration related to the acquisition of PQS of $1.7 million to Goodwill and Additional paid-in capital, representing 75,000 shares earned. These shares were issued during the first quarter of the fiscal year ended March 31, 2009. In addition, the Company recorded contingent consideration of $1.2 million to Goodwill and Additional paid-in capital, representing 75,000 shares earned for the fiscal year ended March 31, 2009. These shares were issued in the first quarter of the fiscal year ending March 31, 2010.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Windtec Consulting GmbH</w:t>
      </w:r>
    </w:p>
    <w:p>
      <w:pPr>
        <w:spacing w:after="0" w:line="109" w:lineRule="exact"/>
        <w:rPr>
          <w:sz w:val="20"/>
          <w:szCs w:val="20"/>
          <w:color w:val="auto"/>
        </w:rPr>
      </w:pPr>
    </w:p>
    <w:p>
      <w:pPr>
        <w:jc w:val="both"/>
        <w:ind w:right="20" w:firstLine="258"/>
        <w:spacing w:after="0" w:line="269" w:lineRule="auto"/>
        <w:rPr>
          <w:sz w:val="20"/>
          <w:szCs w:val="20"/>
          <w:color w:val="auto"/>
        </w:rPr>
      </w:pPr>
      <w:r>
        <w:rPr>
          <w:rFonts w:ascii="Arial" w:cs="Arial" w:eastAsia="Arial" w:hAnsi="Arial"/>
          <w:sz w:val="16"/>
          <w:szCs w:val="16"/>
          <w:color w:val="auto"/>
        </w:rPr>
        <w:t>On January 5, 2007, the Company acquired Windtec Consulting GmbH (“Windtec”), a corporation incorporated according to the laws of Austria.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65" w:lineRule="exact"/>
        <w:rPr>
          <w:sz w:val="20"/>
          <w:szCs w:val="20"/>
          <w:color w:val="auto"/>
        </w:rPr>
      </w:pPr>
    </w:p>
    <w:p>
      <w:pPr>
        <w:jc w:val="both"/>
        <w:ind w:right="20" w:firstLine="303"/>
        <w:spacing w:after="0" w:line="281" w:lineRule="auto"/>
        <w:rPr>
          <w:sz w:val="20"/>
          <w:szCs w:val="20"/>
          <w:color w:val="auto"/>
        </w:rPr>
      </w:pPr>
      <w:r>
        <w:rPr>
          <w:rFonts w:ascii="Arial" w:cs="Arial" w:eastAsia="Arial" w:hAnsi="Arial"/>
          <w:sz w:val="15"/>
          <w:szCs w:val="15"/>
          <w:color w:val="auto"/>
        </w:rPr>
        <w:t>The acquisition agreement included an earn-out provision for the issuance of up to an additional 1,400,000 shares of common stock upon Windtec’s achievement of specified revenue objectives during the first four fiscal years following closing of the acquisition. The Company recorded contingent consideration of $9.8 million to Goodwill and Additional paid-in capital based on 350,000 shares earned in the six months ended September 30, 2008. These shares were issued in the first quarter of the fiscal year ending March 31, 2010. During the six months ended September 30, 2009, the Company recorded contingent consideration of $10.8 million to Goodwill and Additional paid-in capital representing 350,000 shares earned. These shares are expected to be issued in the first quarter of the fiscal year ending March 31, 2011. No further contingent consideration will be recorded for the fiscal year ending March 31, 2010 as this was the maximum amount of contingent consideration that can be earned.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Restructuring and Impairments</w:t>
      </w:r>
    </w:p>
    <w:p>
      <w:pPr>
        <w:spacing w:after="0" w:line="113" w:lineRule="exact"/>
        <w:rPr>
          <w:sz w:val="20"/>
          <w:szCs w:val="20"/>
          <w:color w:val="auto"/>
        </w:rPr>
      </w:pPr>
    </w:p>
    <w:p>
      <w:pPr>
        <w:jc w:val="both"/>
        <w:ind w:right="20" w:firstLine="274"/>
        <w:spacing w:after="0" w:line="269" w:lineRule="auto"/>
        <w:rPr>
          <w:sz w:val="20"/>
          <w:szCs w:val="20"/>
          <w:color w:val="auto"/>
        </w:rPr>
      </w:pPr>
      <w:r>
        <w:rPr>
          <w:rFonts w:ascii="Arial" w:cs="Arial" w:eastAsia="Arial" w:hAnsi="Arial"/>
          <w:sz w:val="16"/>
          <w:szCs w:val="16"/>
          <w:color w:val="auto"/>
        </w:rPr>
        <w:t>On October 25, 2007, the Company’s Board of Directors approved a restructuring plan (the “Fiscal 2007 Plan”) to reduce operating costs by closing its last remaining facility in Westborough, Massachusetts and consolidating those operations into its Devens, Massachusetts facility. No headcount reductions were associated with the Fiscal 2007 Plan.</w:t>
      </w:r>
    </w:p>
    <w:p>
      <w:pPr>
        <w:spacing w:after="0" w:line="65" w:lineRule="exact"/>
        <w:rPr>
          <w:sz w:val="20"/>
          <w:szCs w:val="20"/>
          <w:color w:val="auto"/>
        </w:rPr>
      </w:pPr>
    </w:p>
    <w:p>
      <w:pPr>
        <w:jc w:val="both"/>
        <w:ind w:firstLine="274"/>
        <w:spacing w:after="0" w:line="262" w:lineRule="auto"/>
        <w:rPr>
          <w:sz w:val="20"/>
          <w:szCs w:val="20"/>
          <w:color w:val="auto"/>
        </w:rPr>
      </w:pPr>
      <w:r>
        <w:rPr>
          <w:rFonts w:ascii="Arial" w:cs="Arial" w:eastAsia="Arial" w:hAnsi="Arial"/>
          <w:sz w:val="16"/>
          <w:szCs w:val="16"/>
          <w:color w:val="auto"/>
        </w:rPr>
        <w:t>Aggregate restructuring charges associated with the Fiscal 2007 Plan were $7.8 million, of which $0.1 million and $0.5 million was recorded during the three and six months ended September 30, 2009, respectively, for additional costs related to the consolidation of the Company’s Massachusetts operations and the closure of its former headquarters facility in Westborough. These additional costs were driven by delays in returning the building to the landlord in its mutually-agreed upon condition. The lease termination date was August 31, 2009. All restructuring charges associated with the Fiscal 2007 Plan have resulted in cash disbursements and have been completed at the end of the second quarter of the fiscal year ending March 31, 2010.</w:t>
      </w:r>
    </w:p>
    <w:p>
      <w:pPr>
        <w:spacing w:after="0" w:line="69" w:lineRule="exact"/>
        <w:rPr>
          <w:sz w:val="20"/>
          <w:szCs w:val="20"/>
          <w:color w:val="auto"/>
        </w:rPr>
      </w:pPr>
    </w:p>
    <w:p>
      <w:pPr>
        <w:jc w:val="both"/>
        <w:ind w:right="20" w:firstLine="312"/>
        <w:spacing w:after="0" w:line="284" w:lineRule="auto"/>
        <w:rPr>
          <w:sz w:val="20"/>
          <w:szCs w:val="20"/>
          <w:color w:val="auto"/>
        </w:rPr>
      </w:pPr>
      <w:r>
        <w:rPr>
          <w:rFonts w:ascii="Arial" w:cs="Arial" w:eastAsia="Arial" w:hAnsi="Arial"/>
          <w:sz w:val="16"/>
          <w:szCs w:val="16"/>
          <w:color w:val="auto"/>
        </w:rPr>
        <w:t>The following table presents the restructuring expense and cash disbursements for the Fiscal 2007 Plan for the three and six months ended September 30, 2009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7"/>
              </w:rPr>
              <w:t>Lease</w:t>
            </w:r>
          </w:p>
        </w:tc>
        <w:tc>
          <w:tcPr>
            <w:tcW w:w="1840" w:type="dxa"/>
            <w:vAlign w:val="bottom"/>
            <w:gridSpan w:val="4"/>
          </w:tcPr>
          <w:p>
            <w:pPr>
              <w:ind w:left="300"/>
              <w:spacing w:after="0"/>
              <w:rPr>
                <w:sz w:val="20"/>
                <w:szCs w:val="20"/>
                <w:color w:val="auto"/>
              </w:rPr>
            </w:pPr>
            <w:r>
              <w:rPr>
                <w:rFonts w:ascii="Arial" w:cs="Arial" w:eastAsia="Arial" w:hAnsi="Arial"/>
                <w:sz w:val="13"/>
                <w:szCs w:val="13"/>
                <w:b w:val="1"/>
                <w:bCs w:val="1"/>
                <w:color w:val="auto"/>
              </w:rPr>
              <w:t>Decontamination and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04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Termination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right"/>
              <w:ind w:right="560"/>
              <w:spacing w:after="0" w:line="134" w:lineRule="exact"/>
              <w:rPr>
                <w:sz w:val="20"/>
                <w:szCs w:val="20"/>
                <w:color w:val="auto"/>
              </w:rPr>
            </w:pPr>
            <w:r>
              <w:rPr>
                <w:rFonts w:ascii="Arial" w:cs="Arial" w:eastAsia="Arial" w:hAnsi="Arial"/>
                <w:sz w:val="13"/>
                <w:szCs w:val="13"/>
                <w:b w:val="1"/>
                <w:bCs w:val="1"/>
                <w:color w:val="auto"/>
                <w:w w:val="98"/>
              </w:rPr>
              <w:t>Other Facility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94"/>
              </w:rPr>
              <w:t>Costs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w w:val="91"/>
              </w:rPr>
              <w:t>Closing Costs</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2009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462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3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Charges to operations</w:t>
            </w:r>
          </w:p>
        </w:tc>
        <w:tc>
          <w:tcPr>
            <w:tcW w:w="14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334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Cash disbursements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(685)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(795)</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199"/>
        </w:trPr>
        <w:tc>
          <w:tcPr>
            <w:tcW w:w="7480" w:type="dxa"/>
            <w:vAlign w:val="bottom"/>
            <w:gridSpan w:val="2"/>
          </w:tcPr>
          <w:p>
            <w:pPr>
              <w:spacing w:after="0"/>
              <w:rPr>
                <w:sz w:val="20"/>
                <w:szCs w:val="20"/>
                <w:color w:val="auto"/>
              </w:rPr>
            </w:pPr>
            <w:r>
              <w:rPr>
                <w:rFonts w:ascii="Arial" w:cs="Arial" w:eastAsia="Arial" w:hAnsi="Arial"/>
                <w:sz w:val="16"/>
                <w:szCs w:val="16"/>
                <w:color w:val="auto"/>
              </w:rPr>
              <w:t>Balance June 30, 2009</w:t>
            </w: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Charges to operations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Cash disbursements</w:t>
            </w:r>
          </w:p>
        </w:tc>
        <w:tc>
          <w:tcPr>
            <w:tcW w:w="1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(222)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(859)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Balance September 30, 2009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Business Segment Information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reports its financial results in two reportable business segments: AMSC Power Systems and AMSC Superconductors.</w:t>
      </w:r>
    </w:p>
    <w:p>
      <w:pPr>
        <w:spacing w:after="0" w:line="109" w:lineRule="exact"/>
        <w:rPr>
          <w:sz w:val="20"/>
          <w:szCs w:val="20"/>
          <w:color w:val="auto"/>
        </w:rPr>
      </w:pPr>
    </w:p>
    <w:p>
      <w:pPr>
        <w:jc w:val="both"/>
        <w:ind w:right="20" w:firstLine="196"/>
        <w:spacing w:after="0" w:line="295" w:lineRule="auto"/>
        <w:rPr>
          <w:sz w:val="20"/>
          <w:szCs w:val="20"/>
          <w:color w:val="auto"/>
        </w:rPr>
      </w:pPr>
      <w:r>
        <w:rPr>
          <w:rFonts w:ascii="Arial" w:cs="Arial" w:eastAsia="Arial" w:hAnsi="Arial"/>
          <w:sz w:val="15"/>
          <w:szCs w:val="15"/>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47" w:lineRule="exact"/>
        <w:rPr>
          <w:sz w:val="20"/>
          <w:szCs w:val="20"/>
          <w:color w:val="auto"/>
        </w:rPr>
      </w:pPr>
    </w:p>
    <w:p>
      <w:pPr>
        <w:jc w:val="both"/>
        <w:ind w:right="20" w:firstLine="248"/>
        <w:spacing w:after="0" w:line="284" w:lineRule="auto"/>
        <w:rPr>
          <w:sz w:val="20"/>
          <w:szCs w:val="20"/>
          <w:color w:val="auto"/>
        </w:rPr>
      </w:pPr>
      <w:r>
        <w:rPr>
          <w:rFonts w:ascii="Arial" w:cs="Arial" w:eastAsia="Arial" w:hAnsi="Arial"/>
          <w:sz w:val="16"/>
          <w:szCs w:val="16"/>
          <w:color w:val="auto"/>
        </w:rPr>
        <w:t>AMSC Superconductors business unit manufactures HTS wire and coils; designs and develops superconductor products, such as power cables, fault current limiters and motors; and manages large-scale superconductor projects.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operating results for the two business segments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jc w:val="center"/>
              <w:ind w:right="840"/>
              <w:spacing w:after="0"/>
              <w:rPr>
                <w:sz w:val="20"/>
                <w:szCs w:val="20"/>
                <w:color w:val="auto"/>
              </w:rPr>
            </w:pPr>
            <w:r>
              <w:rPr>
                <w:rFonts w:ascii="Arial" w:cs="Arial" w:eastAsia="Arial" w:hAnsi="Arial"/>
                <w:sz w:val="13"/>
                <w:szCs w:val="13"/>
                <w:b w:val="1"/>
                <w:bCs w:val="1"/>
                <w:color w:val="auto"/>
                <w:w w:val="89"/>
              </w:rPr>
              <w:t>Three months ended</w:t>
            </w:r>
          </w:p>
        </w:tc>
        <w:tc>
          <w:tcPr>
            <w:tcW w:w="120" w:type="dxa"/>
            <w:vAlign w:val="bottom"/>
          </w:tcPr>
          <w:p>
            <w:pPr>
              <w:spacing w:after="0"/>
              <w:rPr>
                <w:sz w:val="13"/>
                <w:szCs w:val="13"/>
                <w:color w:val="auto"/>
              </w:rPr>
            </w:pPr>
          </w:p>
        </w:tc>
        <w:tc>
          <w:tcPr>
            <w:tcW w:w="1400" w:type="dxa"/>
            <w:vAlign w:val="bottom"/>
            <w:gridSpan w:val="4"/>
          </w:tcPr>
          <w:p>
            <w:pPr>
              <w:jc w:val="center"/>
              <w:ind w:left="306"/>
              <w:spacing w:after="0"/>
              <w:rPr>
                <w:sz w:val="20"/>
                <w:szCs w:val="20"/>
                <w:color w:val="auto"/>
              </w:rPr>
            </w:pPr>
            <w:r>
              <w:rPr>
                <w:rFonts w:ascii="Arial" w:cs="Arial" w:eastAsia="Arial" w:hAnsi="Arial"/>
                <w:sz w:val="13"/>
                <w:szCs w:val="13"/>
                <w:b w:val="1"/>
                <w:bCs w:val="1"/>
                <w:color w:val="auto"/>
                <w:w w:val="87"/>
              </w:rPr>
              <w:t>Six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center"/>
              <w:ind w:left="326"/>
              <w:spacing w:after="0"/>
              <w:rPr>
                <w:sz w:val="20"/>
                <w:szCs w:val="20"/>
                <w:color w:val="auto"/>
              </w:rPr>
            </w:pPr>
            <w:r>
              <w:rPr>
                <w:rFonts w:ascii="Arial" w:cs="Arial" w:eastAsia="Arial" w:hAnsi="Arial"/>
                <w:sz w:val="13"/>
                <w:szCs w:val="13"/>
                <w:b w:val="1"/>
                <w:bCs w:val="1"/>
                <w:color w:val="auto"/>
                <w:w w:val="87"/>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left="326"/>
              <w:spacing w:after="0"/>
              <w:rPr>
                <w:sz w:val="20"/>
                <w:szCs w:val="20"/>
                <w:color w:val="auto"/>
              </w:rPr>
            </w:pPr>
            <w:r>
              <w:rPr>
                <w:rFonts w:ascii="Arial" w:cs="Arial" w:eastAsia="Arial" w:hAnsi="Arial"/>
                <w:sz w:val="13"/>
                <w:szCs w:val="13"/>
                <w:b w:val="1"/>
                <w:bCs w:val="1"/>
                <w:color w:val="auto"/>
                <w:w w:val="89"/>
              </w:rPr>
              <w:t>September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6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2"/>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3"/>
                <w:szCs w:val="13"/>
                <w:b w:val="1"/>
                <w:bCs w:val="1"/>
                <w:color w:val="auto"/>
              </w:rPr>
              <w:t>2009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line="126" w:lineRule="exact"/>
              <w:rPr>
                <w:sz w:val="20"/>
                <w:szCs w:val="20"/>
                <w:color w:val="auto"/>
              </w:rPr>
            </w:pPr>
            <w:r>
              <w:rPr>
                <w:rFonts w:ascii="Arial" w:cs="Arial" w:eastAsia="Arial" w:hAnsi="Arial"/>
                <w:sz w:val="13"/>
                <w:szCs w:val="13"/>
                <w:b w:val="1"/>
                <w:bCs w:val="1"/>
                <w:color w:val="auto"/>
                <w:w w:val="96"/>
              </w:rPr>
              <w:t>2008</w:t>
            </w:r>
          </w:p>
        </w:tc>
        <w:tc>
          <w:tcPr>
            <w:tcW w:w="120" w:type="dxa"/>
            <w:vAlign w:val="bottom"/>
          </w:tcPr>
          <w:p>
            <w:pPr>
              <w:spacing w:after="0"/>
              <w:rPr>
                <w:sz w:val="10"/>
                <w:szCs w:val="10"/>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AMSC Power Systems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71,791</w:t>
            </w: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35,576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142,487</w:t>
            </w:r>
          </w:p>
        </w:tc>
        <w:tc>
          <w:tcPr>
            <w:tcW w:w="3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71,506</w:t>
            </w:r>
          </w:p>
        </w:tc>
      </w:tr>
      <w:tr>
        <w:trPr>
          <w:trHeight w:val="195"/>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AMSC Superconductors</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2,881</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4,799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8,686</w:t>
            </w:r>
          </w:p>
        </w:tc>
      </w:tr>
      <w:tr>
        <w:trPr>
          <w:trHeight w:val="199"/>
        </w:trPr>
        <w:tc>
          <w:tcPr>
            <w:tcW w:w="652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74,672</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40,375</w:t>
            </w:r>
          </w:p>
        </w:tc>
        <w:tc>
          <w:tcPr>
            <w:tcW w:w="6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147,672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80,192</w:t>
            </w:r>
          </w:p>
        </w:tc>
        <w:tc>
          <w:tcPr>
            <w:tcW w:w="12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8"/>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6"/>
          </w:tcPr>
          <w:p>
            <w:pPr>
              <w:jc w:val="center"/>
              <w:ind w:right="840"/>
              <w:spacing w:after="0"/>
              <w:rPr>
                <w:sz w:val="20"/>
                <w:szCs w:val="20"/>
                <w:color w:val="auto"/>
              </w:rPr>
            </w:pPr>
            <w:r>
              <w:rPr>
                <w:rFonts w:ascii="Arial" w:cs="Arial" w:eastAsia="Arial" w:hAnsi="Arial"/>
                <w:sz w:val="13"/>
                <w:szCs w:val="13"/>
                <w:b w:val="1"/>
                <w:bCs w:val="1"/>
                <w:color w:val="auto"/>
                <w:w w:val="89"/>
              </w:rPr>
              <w:t>Three months ended</w:t>
            </w:r>
          </w:p>
        </w:tc>
        <w:tc>
          <w:tcPr>
            <w:tcW w:w="120" w:type="dxa"/>
            <w:vAlign w:val="bottom"/>
          </w:tcPr>
          <w:p>
            <w:pPr>
              <w:spacing w:after="0"/>
              <w:rPr>
                <w:sz w:val="24"/>
                <w:szCs w:val="24"/>
                <w:color w:val="auto"/>
              </w:rPr>
            </w:pPr>
          </w:p>
        </w:tc>
        <w:tc>
          <w:tcPr>
            <w:tcW w:w="1400" w:type="dxa"/>
            <w:vAlign w:val="bottom"/>
            <w:gridSpan w:val="4"/>
          </w:tcPr>
          <w:p>
            <w:pPr>
              <w:jc w:val="center"/>
              <w:ind w:left="306"/>
              <w:spacing w:after="0"/>
              <w:rPr>
                <w:sz w:val="20"/>
                <w:szCs w:val="20"/>
                <w:color w:val="auto"/>
              </w:rPr>
            </w:pPr>
            <w:r>
              <w:rPr>
                <w:rFonts w:ascii="Arial" w:cs="Arial" w:eastAsia="Arial" w:hAnsi="Arial"/>
                <w:sz w:val="13"/>
                <w:szCs w:val="13"/>
                <w:b w:val="1"/>
                <w:bCs w:val="1"/>
                <w:color w:val="auto"/>
                <w:w w:val="87"/>
              </w:rPr>
              <w:t>Six months ended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center"/>
              <w:ind w:left="326"/>
              <w:spacing w:after="0"/>
              <w:rPr>
                <w:sz w:val="20"/>
                <w:szCs w:val="20"/>
                <w:color w:val="auto"/>
              </w:rPr>
            </w:pPr>
            <w:r>
              <w:rPr>
                <w:rFonts w:ascii="Arial" w:cs="Arial" w:eastAsia="Arial" w:hAnsi="Arial"/>
                <w:sz w:val="13"/>
                <w:szCs w:val="13"/>
                <w:b w:val="1"/>
                <w:bCs w:val="1"/>
                <w:color w:val="auto"/>
                <w:w w:val="87"/>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left="326"/>
              <w:spacing w:after="0"/>
              <w:rPr>
                <w:sz w:val="20"/>
                <w:szCs w:val="20"/>
                <w:color w:val="auto"/>
              </w:rPr>
            </w:pPr>
            <w:r>
              <w:rPr>
                <w:rFonts w:ascii="Arial" w:cs="Arial" w:eastAsia="Arial" w:hAnsi="Arial"/>
                <w:sz w:val="13"/>
                <w:szCs w:val="13"/>
                <w:b w:val="1"/>
                <w:bCs w:val="1"/>
                <w:color w:val="auto"/>
                <w:w w:val="89"/>
              </w:rPr>
              <w:t>September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6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2"/>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3"/>
                <w:szCs w:val="13"/>
                <w:b w:val="1"/>
                <w:bCs w:val="1"/>
                <w:color w:val="auto"/>
              </w:rPr>
              <w:t>2009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line="126" w:lineRule="exact"/>
              <w:rPr>
                <w:sz w:val="20"/>
                <w:szCs w:val="20"/>
                <w:color w:val="auto"/>
              </w:rPr>
            </w:pPr>
            <w:r>
              <w:rPr>
                <w:rFonts w:ascii="Arial" w:cs="Arial" w:eastAsia="Arial" w:hAnsi="Arial"/>
                <w:sz w:val="13"/>
                <w:szCs w:val="13"/>
                <w:b w:val="1"/>
                <w:bCs w:val="1"/>
                <w:color w:val="auto"/>
                <w:w w:val="96"/>
              </w:rPr>
              <w:t>2008</w:t>
            </w:r>
          </w:p>
        </w:tc>
        <w:tc>
          <w:tcPr>
            <w:tcW w:w="120" w:type="dxa"/>
            <w:vAlign w:val="bottom"/>
          </w:tcPr>
          <w:p>
            <w:pPr>
              <w:spacing w:after="0"/>
              <w:rPr>
                <w:sz w:val="10"/>
                <w:szCs w:val="10"/>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AMSC Power Systems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19,866</w:t>
            </w: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5,501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35,261</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10,379</w:t>
            </w:r>
          </w:p>
        </w:tc>
      </w:tr>
      <w:tr>
        <w:trPr>
          <w:trHeight w:val="195"/>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AMSC Superconductors</w:t>
            </w:r>
          </w:p>
        </w:tc>
        <w:tc>
          <w:tcPr>
            <w:tcW w:w="1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(5,647)</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(5,892)</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(11,144)</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(11,001)</w:t>
            </w: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Unallocated corporate expenses</w:t>
            </w:r>
          </w:p>
        </w:tc>
        <w:tc>
          <w:tcPr>
            <w:tcW w:w="160" w:type="dxa"/>
            <w:vAlign w:val="bottom"/>
          </w:tcPr>
          <w:p>
            <w:pPr>
              <w:spacing w:after="0"/>
              <w:rPr>
                <w:sz w:val="16"/>
                <w:szCs w:val="16"/>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6"/>
                <w:szCs w:val="16"/>
                <w:color w:val="auto"/>
              </w:rPr>
              <w:t>(3,889)</w:t>
            </w:r>
          </w:p>
        </w:tc>
        <w:tc>
          <w:tcPr>
            <w:tcW w:w="140" w:type="dxa"/>
            <w:vAlign w:val="bottom"/>
          </w:tcPr>
          <w:p>
            <w:pPr>
              <w:spacing w:after="0"/>
              <w:rPr>
                <w:sz w:val="16"/>
                <w:szCs w:val="16"/>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6"/>
                <w:szCs w:val="16"/>
                <w:color w:val="auto"/>
              </w:rPr>
              <w:t>(3,422)</w:t>
            </w: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(7,396)</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(5,879)</w:t>
            </w:r>
          </w:p>
        </w:tc>
      </w:tr>
      <w:tr>
        <w:trPr>
          <w:trHeight w:val="24"/>
        </w:trPr>
        <w:tc>
          <w:tcPr>
            <w:tcW w:w="6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5"/>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10,330</w:t>
            </w: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(3,813)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16,721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(6,501)</w:t>
            </w:r>
          </w:p>
        </w:tc>
      </w:tr>
      <w:tr>
        <w:trPr>
          <w:trHeight w:val="20"/>
        </w:trPr>
        <w:tc>
          <w:tcPr>
            <w:tcW w:w="6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right="20" w:firstLine="221"/>
        <w:spacing w:after="0" w:line="308" w:lineRule="auto"/>
        <w:rPr>
          <w:sz w:val="20"/>
          <w:szCs w:val="20"/>
          <w:color w:val="auto"/>
        </w:rPr>
      </w:pPr>
      <w:r>
        <w:rPr>
          <w:rFonts w:ascii="Arial" w:cs="Arial" w:eastAsia="Arial" w:hAnsi="Arial"/>
          <w:sz w:val="14"/>
          <w:szCs w:val="14"/>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Unallocated corporate expenses include stock-based compensation expense of $3.9 million and $2.9 million for the three months ended September 30, 2009 and 2008, respectively, and $6.9 million and $5.2 million for the six months ended September 30, 2009 and 2008, respectively. Unallocated corporate expenses for the three and six months ended September 30, 2009 included $0.1 million and $0.5 million, respectively, of restructuring charges related primarily to the closure of the Company’s facility in Westborough, Massachusetts.</w:t>
      </w:r>
    </w:p>
    <w:p>
      <w:pPr>
        <w:spacing w:after="0" w:line="41" w:lineRule="exact"/>
        <w:rPr>
          <w:sz w:val="20"/>
          <w:szCs w:val="20"/>
          <w:color w:val="auto"/>
        </w:rPr>
      </w:pPr>
    </w:p>
    <w:p>
      <w:pPr>
        <w:jc w:val="both"/>
        <w:ind w:right="20" w:firstLine="290"/>
        <w:spacing w:after="0" w:line="269" w:lineRule="auto"/>
        <w:rPr>
          <w:sz w:val="20"/>
          <w:szCs w:val="20"/>
          <w:color w:val="auto"/>
        </w:rPr>
      </w:pPr>
      <w:r>
        <w:rPr>
          <w:rFonts w:ascii="Arial" w:cs="Arial" w:eastAsia="Arial" w:hAnsi="Arial"/>
          <w:sz w:val="16"/>
          <w:szCs w:val="16"/>
          <w:color w:val="auto"/>
        </w:rPr>
        <w:t>For the three and six months ended September 30, 2009, a substantial portion of the Company’s revenues was derived from one customer: Sinovel Wind Co., Ltd., a manufacturer of wind turbines based in China. Sales to Sinovel represented 76% and 65% of total revenues for the three and six months ended September 30, 2009, respectively, compared to 63% and 65% for the three and six months ended September 30, 2008, respectively.</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assets for the two business segments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8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March 31,</w:t>
            </w:r>
          </w:p>
        </w:tc>
      </w:tr>
      <w:tr>
        <w:trPr>
          <w:trHeight w:val="154"/>
        </w:trPr>
        <w:tc>
          <w:tcPr>
            <w:tcW w:w="9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3"/>
                <w:szCs w:val="13"/>
                <w:color w:val="auto"/>
              </w:rPr>
            </w:pPr>
          </w:p>
        </w:tc>
      </w:tr>
      <w:tr>
        <w:trPr>
          <w:trHeight w:val="187"/>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AMSC Power Systems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145,839</w:t>
            </w:r>
          </w:p>
        </w:tc>
        <w:tc>
          <w:tcPr>
            <w:tcW w:w="3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$ 136,777</w:t>
            </w:r>
          </w:p>
        </w:tc>
      </w:tr>
      <w:tr>
        <w:trPr>
          <w:trHeight w:val="195"/>
        </w:trPr>
        <w:tc>
          <w:tcPr>
            <w:tcW w:w="9180" w:type="dxa"/>
            <w:vAlign w:val="bottom"/>
          </w:tcPr>
          <w:p>
            <w:pPr>
              <w:spacing w:after="0"/>
              <w:rPr>
                <w:sz w:val="20"/>
                <w:szCs w:val="20"/>
                <w:color w:val="auto"/>
              </w:rPr>
            </w:pPr>
            <w:r>
              <w:rPr>
                <w:rFonts w:ascii="Arial" w:cs="Arial" w:eastAsia="Arial" w:hAnsi="Arial"/>
                <w:sz w:val="16"/>
                <w:szCs w:val="16"/>
                <w:color w:val="auto"/>
              </w:rPr>
              <w:t>AMSC Superconductors</w:t>
            </w: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56,777</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55,122</w:t>
            </w:r>
          </w:p>
        </w:tc>
      </w:tr>
      <w:tr>
        <w:trPr>
          <w:trHeight w:val="195"/>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marketable securities and restricted cash</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141,088</w:t>
            </w:r>
          </w:p>
        </w:tc>
        <w:tc>
          <w:tcPr>
            <w:tcW w:w="3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117,207</w:t>
            </w:r>
          </w:p>
        </w:tc>
      </w:tr>
      <w:tr>
        <w:trPr>
          <w:trHeight w:val="199"/>
        </w:trPr>
        <w:tc>
          <w:tcPr>
            <w:tcW w:w="918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343,704</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$ 309,106</w:t>
            </w:r>
          </w:p>
        </w:tc>
        <w:tc>
          <w:tcPr>
            <w:tcW w:w="120" w:type="dxa"/>
            <w:vAlign w:val="bottom"/>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has performed an evaluation of subsequent events through November 5, 2009, which is the date the financial statements were issued.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215"/>
        <w:spacing w:after="0" w:line="276" w:lineRule="auto"/>
        <w:rPr>
          <w:sz w:val="20"/>
          <w:szCs w:val="20"/>
          <w:color w:val="auto"/>
        </w:rPr>
      </w:pPr>
      <w:r>
        <w:rPr>
          <w:rFonts w:ascii="Arial" w:cs="Arial" w:eastAsia="Arial" w:hAnsi="Arial"/>
          <w:sz w:val="15"/>
          <w:szCs w:val="15"/>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American Superconductor and design, Revolutionizing the Way the World Uses Electricity, AMSC, Powered by AMSC, D-VAR, dSVC, PowerModule, PQ-IVR, Secure Super Grids, Windtec and SuperGEAR are trademarks or registered trademarks of American Superconductor Corporation or its subsidiaries. The Windtec logo and design is a registered European Union Community Trademark. All other brand names, product names, trademarks or service marks appearing in this Quarterly Report on Form 10-Q are the property of their respective holders.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13" w:lineRule="exact"/>
        <w:rPr>
          <w:sz w:val="20"/>
          <w:szCs w:val="20"/>
          <w:color w:val="auto"/>
        </w:rPr>
      </w:pPr>
    </w:p>
    <w:p>
      <w:pPr>
        <w:jc w:val="both"/>
        <w:ind w:firstLine="206"/>
        <w:spacing w:after="0" w:line="283" w:lineRule="auto"/>
        <w:rPr>
          <w:sz w:val="20"/>
          <w:szCs w:val="20"/>
          <w:color w:val="auto"/>
        </w:rPr>
      </w:pPr>
      <w:r>
        <w:rPr>
          <w:rFonts w:ascii="Arial" w:cs="Arial" w:eastAsia="Arial" w:hAnsi="Arial"/>
          <w:sz w:val="15"/>
          <w:szCs w:val="15"/>
          <w:color w:val="auto"/>
        </w:rPr>
        <w:t>American Superconductor Corporation was founded in 1987. We offer an array of proprietary technologies and solutions spanning the electric power infrastructure — from generation to delivery to end use. Our company is a leader in alternative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57" w:lineRule="exact"/>
        <w:rPr>
          <w:sz w:val="20"/>
          <w:szCs w:val="20"/>
          <w:color w:val="auto"/>
        </w:rPr>
      </w:pPr>
    </w:p>
    <w:p>
      <w:pPr>
        <w:jc w:val="both"/>
        <w:ind w:firstLine="375"/>
        <w:spacing w:after="0" w:line="325" w:lineRule="auto"/>
        <w:rPr>
          <w:sz w:val="20"/>
          <w:szCs w:val="20"/>
          <w:color w:val="auto"/>
        </w:rPr>
      </w:pPr>
      <w:r>
        <w:rPr>
          <w:rFonts w:ascii="Arial" w:cs="Arial" w:eastAsia="Arial" w:hAnsi="Arial"/>
          <w:sz w:val="14"/>
          <w:szCs w:val="14"/>
          <w:color w:val="auto"/>
        </w:rPr>
        <w:t>Our company markets two primary, proprietary technologies: programmable power electronic converters and high temperature superconductor (HTS) wires. The programmability and scalability of our power electronic converters differentiates them from most competitive offerings. Our power electronic converters increase the quantity, quality and reliability of electric power that is produced by a renewable source, such as wind, transmitted by electric utilities or consumed by large industrial entities.</w:t>
      </w:r>
    </w:p>
    <w:p>
      <w:pPr>
        <w:spacing w:after="0" w:line="29" w:lineRule="exact"/>
        <w:rPr>
          <w:sz w:val="20"/>
          <w:szCs w:val="20"/>
          <w:color w:val="auto"/>
        </w:rPr>
      </w:pPr>
    </w:p>
    <w:p>
      <w:pPr>
        <w:jc w:val="both"/>
        <w:ind w:firstLine="226"/>
        <w:spacing w:after="0" w:line="264" w:lineRule="auto"/>
        <w:rPr>
          <w:sz w:val="20"/>
          <w:szCs w:val="20"/>
          <w:color w:val="auto"/>
        </w:rPr>
      </w:pPr>
      <w:r>
        <w:rPr>
          <w:rFonts w:ascii="Arial" w:cs="Arial" w:eastAsia="Arial" w:hAnsi="Arial"/>
          <w:sz w:val="16"/>
          <w:szCs w:val="16"/>
          <w:color w:val="auto"/>
        </w:rPr>
        <w:t>Our HTS wire can carry 150 times the electric current of comparatively sized copper wire and therefore increases the electric current carrying capacity of the transmission cables comprising these power grids and provides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w:t>
      </w:r>
    </w:p>
    <w:p>
      <w:pPr>
        <w:spacing w:after="0" w:line="69" w:lineRule="exact"/>
        <w:rPr>
          <w:sz w:val="20"/>
          <w:szCs w:val="20"/>
          <w:color w:val="auto"/>
        </w:rPr>
      </w:pPr>
    </w:p>
    <w:p>
      <w:pPr>
        <w:jc w:val="both"/>
        <w:ind w:firstLine="280"/>
        <w:spacing w:after="0" w:line="260" w:lineRule="auto"/>
        <w:rPr>
          <w:sz w:val="20"/>
          <w:szCs w:val="20"/>
          <w:color w:val="auto"/>
        </w:rPr>
      </w:pPr>
      <w:r>
        <w:rPr>
          <w:rFonts w:ascii="Arial" w:cs="Arial" w:eastAsia="Arial" w:hAnsi="Arial"/>
          <w:sz w:val="16"/>
          <w:szCs w:val="16"/>
          <w:color w:val="auto"/>
        </w:rPr>
        <w:t>Our products are in varying stages of commercialization. Thousands of our power electronic converters have been sold commercially, as part of integrated systems, to electric utilities, wind turbines and other manufacturers and wind farm developers, owners and operators since 1999. We began production of our first generation, or “1G,” HTS wire in 2003, and ceased 1G production in 2006 in favor of second generation or “2G” HTS wire, as discussed below. We started initial production of 344 superconductors, our brand name for 2G HTS wire, in November 2007. The principal applications for HTS wire (power cables, fault current limiters, rotating machines and specialty magnets) are currently in the prototype stage. Some of these prototypes are funded by U.S. government contracts, primarily with the Department of Defense (“DOD”), Department of Energy (“DOE”) and the Department of Homeland Security (“DHS”).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jc w:val="both"/>
        <w:ind w:right="20" w:firstLine="222"/>
        <w:spacing w:after="0" w:line="284" w:lineRule="auto"/>
        <w:rPr>
          <w:sz w:val="20"/>
          <w:szCs w:val="20"/>
          <w:color w:val="auto"/>
        </w:rPr>
      </w:pPr>
      <w:r>
        <w:rPr>
          <w:rFonts w:ascii="Arial" w:cs="Arial" w:eastAsia="Arial" w:hAnsi="Arial"/>
          <w:sz w:val="16"/>
          <w:szCs w:val="16"/>
          <w:color w:val="auto"/>
        </w:rPr>
        <w:t>Our fiscal year begins on April 1 and ends on March 31. This document refers to fiscal 2009, which is defined as the period beginning on April 1, 2009 and concluding on March 31, 2010. The second quarter of fiscal 2009 began on July 1, 2009 and concluded on September 30, 2009.</w:t>
      </w:r>
    </w:p>
    <w:p>
      <w:pPr>
        <w:spacing w:after="0" w:line="53" w:lineRule="exact"/>
        <w:rPr>
          <w:sz w:val="20"/>
          <w:szCs w:val="20"/>
          <w:color w:val="auto"/>
        </w:rPr>
      </w:pPr>
    </w:p>
    <w:p>
      <w:pPr>
        <w:jc w:val="both"/>
        <w:ind w:right="20" w:firstLine="361"/>
        <w:spacing w:after="0" w:line="262" w:lineRule="auto"/>
        <w:rPr>
          <w:sz w:val="20"/>
          <w:szCs w:val="20"/>
          <w:color w:val="auto"/>
        </w:rPr>
      </w:pPr>
      <w:r>
        <w:rPr>
          <w:rFonts w:ascii="Arial" w:cs="Arial" w:eastAsia="Arial" w:hAnsi="Arial"/>
          <w:sz w:val="16"/>
          <w:szCs w:val="16"/>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3" w:lineRule="exact"/>
        <w:rPr>
          <w:sz w:val="20"/>
          <w:szCs w:val="20"/>
          <w:color w:val="auto"/>
        </w:rPr>
      </w:pPr>
    </w:p>
    <w:p>
      <w:pPr>
        <w:jc w:val="both"/>
        <w:ind w:firstLine="284"/>
        <w:spacing w:after="0" w:line="262" w:lineRule="auto"/>
        <w:rPr>
          <w:sz w:val="20"/>
          <w:szCs w:val="20"/>
          <w:color w:val="auto"/>
        </w:rPr>
      </w:pPr>
      <w:r>
        <w:rPr>
          <w:rFonts w:ascii="Arial" w:cs="Arial" w:eastAsia="Arial" w:hAnsi="Arial"/>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second quarter of fiscal 2009 in our critical accounting policies as disclosed in our Form 10-K for fiscal 2008, which ended on March 31, 2009.</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and six months ended September 30, 2009 compared to the three and six months ended September 30, 2008</w:t>
      </w:r>
    </w:p>
    <w:p>
      <w:pPr>
        <w:spacing w:after="0" w:line="109" w:lineRule="exact"/>
        <w:rPr>
          <w:sz w:val="20"/>
          <w:szCs w:val="20"/>
          <w:color w:val="auto"/>
        </w:rPr>
      </w:pPr>
    </w:p>
    <w:p>
      <w:pPr>
        <w:jc w:val="both"/>
        <w:ind w:right="20" w:firstLine="353"/>
        <w:spacing w:after="0" w:line="284" w:lineRule="auto"/>
        <w:rPr>
          <w:sz w:val="20"/>
          <w:szCs w:val="20"/>
          <w:color w:val="auto"/>
        </w:rPr>
      </w:pPr>
      <w:r>
        <w:rPr>
          <w:rFonts w:ascii="Arial" w:cs="Arial" w:eastAsia="Arial" w:hAnsi="Arial"/>
          <w:sz w:val="16"/>
          <w:szCs w:val="16"/>
          <w:color w:val="auto"/>
        </w:rPr>
        <w:t>We operate our business and report our financial results to the Chief Executive Officer in two reportable business segments: AMSC Power Systems and AMSC Superconductors.</w:t>
      </w:r>
    </w:p>
    <w:p>
      <w:pPr>
        <w:spacing w:after="0" w:line="53" w:lineRule="exact"/>
        <w:rPr>
          <w:sz w:val="20"/>
          <w:szCs w:val="20"/>
          <w:color w:val="auto"/>
        </w:rPr>
      </w:pPr>
    </w:p>
    <w:p>
      <w:pPr>
        <w:jc w:val="both"/>
        <w:ind w:right="20" w:firstLine="196"/>
        <w:spacing w:after="0" w:line="295" w:lineRule="auto"/>
        <w:rPr>
          <w:sz w:val="20"/>
          <w:szCs w:val="20"/>
          <w:color w:val="auto"/>
        </w:rPr>
      </w:pPr>
      <w:r>
        <w:rPr>
          <w:rFonts w:ascii="Arial" w:cs="Arial" w:eastAsia="Arial" w:hAnsi="Arial"/>
          <w:sz w:val="15"/>
          <w:szCs w:val="15"/>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47" w:lineRule="exact"/>
        <w:rPr>
          <w:sz w:val="20"/>
          <w:szCs w:val="20"/>
          <w:color w:val="auto"/>
        </w:rPr>
      </w:pPr>
    </w:p>
    <w:p>
      <w:pPr>
        <w:jc w:val="both"/>
        <w:ind w:right="20" w:firstLine="248"/>
        <w:spacing w:after="0" w:line="284" w:lineRule="auto"/>
        <w:rPr>
          <w:sz w:val="20"/>
          <w:szCs w:val="20"/>
          <w:color w:val="auto"/>
        </w:rPr>
      </w:pPr>
      <w:r>
        <w:rPr>
          <w:rFonts w:ascii="Arial" w:cs="Arial" w:eastAsia="Arial" w:hAnsi="Arial"/>
          <w:sz w:val="16"/>
          <w:szCs w:val="16"/>
          <w:color w:val="auto"/>
        </w:rPr>
        <w:t>AMSC Superconductors business unit manufactures HTS wire and coils; designs and develops superconductor products, such as power cables, fault current limiters and motors; and manages large-scale superconductor projects.</w:t>
      </w:r>
    </w:p>
    <w:p>
      <w:pPr>
        <w:spacing w:after="0" w:line="53" w:lineRule="exact"/>
        <w:rPr>
          <w:sz w:val="20"/>
          <w:szCs w:val="20"/>
          <w:color w:val="auto"/>
        </w:rPr>
      </w:pPr>
    </w:p>
    <w:p>
      <w:pPr>
        <w:jc w:val="both"/>
        <w:ind w:right="20" w:firstLine="259"/>
        <w:spacing w:after="0" w:line="258" w:lineRule="auto"/>
        <w:rPr>
          <w:sz w:val="20"/>
          <w:szCs w:val="20"/>
          <w:color w:val="auto"/>
        </w:rPr>
      </w:pPr>
      <w:r>
        <w:rPr>
          <w:rFonts w:ascii="Arial" w:cs="Arial" w:eastAsia="Arial" w:hAnsi="Arial"/>
          <w:sz w:val="16"/>
          <w:szCs w:val="16"/>
          <w:color w:val="auto"/>
        </w:rPr>
        <w:t>During the six months ended September 30, 2009, we corrected an error in fiscal 2008 bonus expense that effectively increased net income in the current fiscal year by $0.3 million. The $0.3 million error consisted of a $0.4 million overstatement of bonus expense and a related $0.1 million understatement of income tax expense in the fourth quarter of the fiscal year ended March 31, 2009. The adjustment of $0.4 million had a de minimis impact on certain balance sheet amounts at March 31, 2009. The impact of correcting this error in the fiscal year ended March 31, 2009 would have increased net income by $0.3 million. Also, we overstated revenue and net income by $0.2 million in the three months ended June 30, 2009. This error was corrected in the three months ended September 30, 2009, We evaluated these errors taking into account both qualitative and quantitative factors and considered the impact of these errors in relation to the first and second quarters of the fiscal year ending March 31, 2010, which is when they were corrected, as well as the periods in which they originated. We believe these errors are immaterial to both the consolidated quarterly and annual financial statements for all periods affected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109" w:lineRule="exact"/>
        <w:rPr>
          <w:sz w:val="20"/>
          <w:szCs w:val="20"/>
          <w:color w:val="auto"/>
        </w:rPr>
      </w:pPr>
    </w:p>
    <w:p>
      <w:pPr>
        <w:jc w:val="both"/>
        <w:ind w:right="20" w:firstLine="200"/>
        <w:spacing w:after="0" w:line="284" w:lineRule="auto"/>
        <w:rPr>
          <w:sz w:val="20"/>
          <w:szCs w:val="20"/>
          <w:color w:val="auto"/>
        </w:rPr>
      </w:pPr>
      <w:r>
        <w:rPr>
          <w:rFonts w:ascii="Arial" w:cs="Arial" w:eastAsia="Arial" w:hAnsi="Arial"/>
          <w:sz w:val="16"/>
          <w:szCs w:val="16"/>
          <w:color w:val="auto"/>
        </w:rPr>
        <w:t>Total revenues increased by 85% and 84% to $74.7 million and $147.7 million for the three and six months ended September 30, 2009 from $40.4 million and $80.2 million for the three and six months ended September 30, 2008. Our revenues are summarized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5"/>
          </w:tcPr>
          <w:p>
            <w:pPr>
              <w:ind w:left="320"/>
              <w:spacing w:after="0"/>
              <w:rPr>
                <w:sz w:val="20"/>
                <w:szCs w:val="20"/>
                <w:color w:val="auto"/>
              </w:rPr>
            </w:pPr>
            <w:r>
              <w:rPr>
                <w:rFonts w:ascii="Arial" w:cs="Arial" w:eastAsia="Arial" w:hAnsi="Arial"/>
                <w:sz w:val="13"/>
                <w:szCs w:val="13"/>
                <w:b w:val="1"/>
                <w:bCs w:val="1"/>
                <w:color w:val="auto"/>
              </w:rPr>
              <w:t>Three months ended</w:t>
            </w: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7"/>
              <w:spacing w:after="0" w:line="126" w:lineRule="exact"/>
              <w:rPr>
                <w:sz w:val="20"/>
                <w:szCs w:val="20"/>
                <w:color w:val="auto"/>
              </w:rPr>
            </w:pPr>
            <w:r>
              <w:rPr>
                <w:rFonts w:ascii="Arial" w:cs="Arial" w:eastAsia="Arial" w:hAnsi="Arial"/>
                <w:sz w:val="13"/>
                <w:szCs w:val="13"/>
                <w:b w:val="1"/>
                <w:bCs w:val="1"/>
                <w:color w:val="auto"/>
              </w:rPr>
              <w:t>2009</w:t>
            </w:r>
          </w:p>
        </w:tc>
        <w:tc>
          <w:tcPr>
            <w:tcW w:w="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3"/>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680" w:type="dxa"/>
            <w:vAlign w:val="bottom"/>
            <w:tcBorders>
              <w:bottom w:val="single" w:sz="8" w:color="auto"/>
            </w:tcBorders>
          </w:tcPr>
          <w:p>
            <w:pPr>
              <w:jc w:val="right"/>
              <w:ind w:right="127"/>
              <w:spacing w:after="0" w:line="126" w:lineRule="exact"/>
              <w:rPr>
                <w:sz w:val="20"/>
                <w:szCs w:val="20"/>
                <w:color w:val="auto"/>
              </w:rPr>
            </w:pPr>
            <w:r>
              <w:rPr>
                <w:rFonts w:ascii="Arial" w:cs="Arial" w:eastAsia="Arial" w:hAnsi="Arial"/>
                <w:sz w:val="13"/>
                <w:szCs w:val="13"/>
                <w:b w:val="1"/>
                <w:bCs w:val="1"/>
                <w:color w:val="auto"/>
              </w:rPr>
              <w:t>2009</w:t>
            </w:r>
          </w:p>
        </w:tc>
        <w:tc>
          <w:tcPr>
            <w:tcW w:w="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3"/>
              <w:spacing w:after="0" w:line="126" w:lineRule="exact"/>
              <w:rPr>
                <w:sz w:val="20"/>
                <w:szCs w:val="20"/>
                <w:color w:val="auto"/>
              </w:rPr>
            </w:pPr>
            <w:r>
              <w:rPr>
                <w:rFonts w:ascii="Arial" w:cs="Arial" w:eastAsia="Arial" w:hAnsi="Arial"/>
                <w:sz w:val="13"/>
                <w:szCs w:val="13"/>
                <w:b w:val="1"/>
                <w:bCs w:val="1"/>
                <w:color w:val="auto"/>
                <w:w w:val="89"/>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r>
              <w:rPr>
                <w:rFonts w:ascii="Arial" w:cs="Arial" w:eastAsia="Arial" w:hAnsi="Arial"/>
                <w:sz w:val="16"/>
                <w:szCs w:val="16"/>
                <w:color w:val="auto"/>
              </w:rPr>
              <w:t>:</w:t>
            </w:r>
          </w:p>
        </w:tc>
        <w:tc>
          <w:tcPr>
            <w:tcW w:w="2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20"/>
                <w:szCs w:val="20"/>
                <w:color w:val="auto"/>
              </w:rPr>
            </w:pPr>
            <w:r>
              <w:rPr>
                <w:rFonts w:ascii="Arial" w:cs="Arial" w:eastAsia="Arial" w:hAnsi="Arial"/>
                <w:sz w:val="16"/>
                <w:szCs w:val="16"/>
                <w:color w:val="auto"/>
              </w:rPr>
              <w:t>AMSC Power Systems</w:t>
            </w:r>
          </w:p>
        </w:tc>
        <w:tc>
          <w:tcPr>
            <w:tcW w:w="30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6"/>
                <w:szCs w:val="16"/>
                <w:color w:val="auto"/>
              </w:rPr>
              <w:t>71,791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35,576</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$ 142,487</w:t>
            </w: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71,506</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AMSC Superconductors</w:t>
            </w:r>
          </w:p>
        </w:tc>
        <w:tc>
          <w:tcPr>
            <w:tcW w:w="2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2,881</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4,799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8,686</w:t>
            </w:r>
          </w:p>
        </w:tc>
        <w:tc>
          <w:tcPr>
            <w:tcW w:w="0" w:type="dxa"/>
            <w:vAlign w:val="bottom"/>
          </w:tcPr>
          <w:p>
            <w:pPr>
              <w:spacing w:after="0"/>
              <w:rPr>
                <w:sz w:val="1"/>
                <w:szCs w:val="1"/>
                <w:color w:val="auto"/>
              </w:rPr>
            </w:pPr>
          </w:p>
        </w:tc>
      </w:tr>
      <w:tr>
        <w:trPr>
          <w:trHeight w:val="199"/>
        </w:trPr>
        <w:tc>
          <w:tcPr>
            <w:tcW w:w="3620" w:type="dxa"/>
            <w:vAlign w:val="bottom"/>
          </w:tcPr>
          <w:p>
            <w:pPr>
              <w:ind w:left="180"/>
              <w:spacing w:after="0"/>
              <w:rPr>
                <w:sz w:val="20"/>
                <w:szCs w:val="20"/>
                <w:color w:val="auto"/>
              </w:rPr>
            </w:pPr>
            <w:r>
              <w:rPr>
                <w:rFonts w:ascii="Arial" w:cs="Arial" w:eastAsia="Arial" w:hAnsi="Arial"/>
                <w:sz w:val="16"/>
                <w:szCs w:val="16"/>
                <w:color w:val="auto"/>
              </w:rPr>
              <w:t>Total</w:t>
            </w:r>
          </w:p>
        </w:tc>
        <w:tc>
          <w:tcPr>
            <w:tcW w:w="29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74,672</w:t>
            </w:r>
          </w:p>
        </w:tc>
        <w:tc>
          <w:tcPr>
            <w:tcW w:w="7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40,375</w:t>
            </w:r>
          </w:p>
        </w:tc>
        <w:tc>
          <w:tcPr>
            <w:tcW w:w="6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$ 147,672</w:t>
            </w:r>
          </w:p>
        </w:tc>
        <w:tc>
          <w:tcPr>
            <w:tcW w:w="6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80,192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900" w:type="dxa"/>
            <w:vAlign w:val="bottom"/>
            <w:vMerge w:val="restart"/>
          </w:tcPr>
          <w:p>
            <w:pPr>
              <w:jc w:val="right"/>
              <w:ind w:right="639"/>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6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62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jc w:val="both"/>
        <w:ind w:right="20" w:firstLine="235"/>
        <w:spacing w:after="0" w:line="276" w:lineRule="auto"/>
        <w:rPr>
          <w:sz w:val="20"/>
          <w:szCs w:val="20"/>
          <w:color w:val="auto"/>
        </w:rPr>
      </w:pPr>
      <w:r>
        <w:rPr>
          <w:rFonts w:ascii="Arial" w:cs="Arial" w:eastAsia="Arial" w:hAnsi="Arial"/>
          <w:sz w:val="15"/>
          <w:szCs w:val="15"/>
          <w:color w:val="auto"/>
        </w:rPr>
        <w:t>Revenues in our AMSC Power Systems business unit consist of revenues from wind turbine electrical systems, wind turbine license and development contracts as well as D-VAR</w:t>
      </w:r>
      <w:r>
        <w:rPr>
          <w:rFonts w:ascii="Arial" w:cs="Arial" w:eastAsia="Arial" w:hAnsi="Arial"/>
          <w:sz w:val="12"/>
          <w:szCs w:val="12"/>
          <w:color w:val="auto"/>
        </w:rPr>
        <w:t>®</w:t>
      </w:r>
      <w:r>
        <w:rPr>
          <w:rFonts w:ascii="Arial" w:cs="Arial" w:eastAsia="Arial" w:hAnsi="Arial"/>
          <w:sz w:val="15"/>
          <w:szCs w:val="15"/>
          <w:color w:val="auto"/>
        </w:rPr>
        <w:t>, D-VAR RT, SVC, and PowerModule™ product sales, service contracts, and consulting arrangements. We also engineer, install and commission our products on a turnkey basis for some customers. Our AMSC Power Systems business unit accounted for 96% of total revenues for both of the three and six month periods ended September 30, 2009, compared to 88% and 89% for the three and six months ended September 30, 2008, respectively. Revenues in the AMSC Power Systems business unit increased 102% and 99% to $71.8 million and $142.5 million in the three and six months ended September 30, 2009, respectively, from $35.6 million and $71.5 million in the three and six months ended September 30, 2008, respectively. The increases in AMSC Power Systems business unit revenues were primarily due to higher sales of wind electrical systems and core components, primarily to customers in China and additionally, for the six months ended September 30, 2009, higher D-VAR</w:t>
      </w:r>
      <w:r>
        <w:rPr>
          <w:rFonts w:ascii="Arial" w:cs="Arial" w:eastAsia="Arial" w:hAnsi="Arial"/>
          <w:sz w:val="12"/>
          <w:szCs w:val="12"/>
          <w:color w:val="auto"/>
        </w:rPr>
        <w:t>®</w:t>
      </w:r>
      <w:r>
        <w:rPr>
          <w:rFonts w:ascii="Arial" w:cs="Arial" w:eastAsia="Arial" w:hAnsi="Arial"/>
          <w:sz w:val="15"/>
          <w:szCs w:val="15"/>
          <w:color w:val="auto"/>
        </w:rPr>
        <w:t xml:space="preserve"> system shipments, as well as shipments of our D-VAR RT products to ACCIONA Energy in Spain. Based on the average Euro and renminbi exchange rates for the second quarter of fiscal 2009, revenue denominated in these foreign currencies translated into U.S. dollars was $0.1 million lower compared to the translation of these revenues using the average exchange rates of these currencies for the second quarter of fiscal 2008.</w:t>
      </w:r>
    </w:p>
    <w:p>
      <w:pPr>
        <w:spacing w:after="0" w:line="66" w:lineRule="exact"/>
        <w:rPr>
          <w:sz w:val="20"/>
          <w:szCs w:val="20"/>
          <w:color w:val="auto"/>
        </w:rPr>
      </w:pPr>
    </w:p>
    <w:p>
      <w:pPr>
        <w:jc w:val="both"/>
        <w:ind w:right="20" w:firstLine="238"/>
        <w:spacing w:after="0" w:line="269" w:lineRule="auto"/>
        <w:rPr>
          <w:sz w:val="20"/>
          <w:szCs w:val="20"/>
          <w:color w:val="auto"/>
        </w:rPr>
      </w:pPr>
      <w:r>
        <w:rPr>
          <w:rFonts w:ascii="Arial" w:cs="Arial" w:eastAsia="Arial" w:hAnsi="Arial"/>
          <w:sz w:val="16"/>
          <w:szCs w:val="16"/>
          <w:color w:val="auto"/>
        </w:rPr>
        <w:t>For the three and six months ended September 30, 2009, a substantial portion of our revenues was derived from one customer: Sinovel Wind Co., Ltd., a manufacturer of wind turbines based in China. Sales to Sinovel represented 76% and 65% of total revenues for the three and six months ended September 30, 2009, respectively, compared to 63% and 65% for the three and six months ended September 30, 2008, respectively.</w:t>
      </w:r>
    </w:p>
    <w:p>
      <w:pPr>
        <w:spacing w:after="0" w:line="65" w:lineRule="exact"/>
        <w:rPr>
          <w:sz w:val="20"/>
          <w:szCs w:val="20"/>
          <w:color w:val="auto"/>
        </w:rPr>
      </w:pPr>
    </w:p>
    <w:p>
      <w:pPr>
        <w:jc w:val="both"/>
        <w:ind w:firstLine="262"/>
        <w:spacing w:after="0" w:line="281" w:lineRule="auto"/>
        <w:rPr>
          <w:sz w:val="20"/>
          <w:szCs w:val="20"/>
          <w:color w:val="auto"/>
        </w:rPr>
      </w:pPr>
      <w:r>
        <w:rPr>
          <w:rFonts w:ascii="Arial" w:cs="Arial" w:eastAsia="Arial" w:hAnsi="Arial"/>
          <w:sz w:val="15"/>
          <w:szCs w:val="15"/>
          <w:color w:val="auto"/>
        </w:rPr>
        <w:t>Revenues in our AMSC Superconductors business unit consist of contract revenues, HTS wire sales, revenues under government-sponsored electric utility projects, and other prototype development contracts. AMSC Superconductors business unit revenue is primarily recorded using the percentage-of-completion method. AMSC Superconductors business unit accounted for 4% of total revenues for both the three and six month periods ended September 30, 2009, compared to 12% and 11% for the three and six months ended September 30, 2008, respectively. AMSC Superconductors business unit revenue decreased 40% to $2.9 million and $5.2 million in the three and six months ended September 30, 2009, respectively, from $4.8 million and $8.7 million for the three and six months ended September 30, 2008, respectively. Revenues from significant AMSC Superconductors government funded contracts are summarized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Revenue Earned</w:t>
            </w:r>
          </w:p>
        </w:tc>
        <w:tc>
          <w:tcPr>
            <w:tcW w:w="23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Revenue Earned for the</w:t>
            </w:r>
          </w:p>
        </w:tc>
        <w:tc>
          <w:tcPr>
            <w:tcW w:w="420" w:type="dxa"/>
            <w:vAlign w:val="bottom"/>
          </w:tcPr>
          <w:p>
            <w:pPr>
              <w:spacing w:after="0"/>
              <w:rPr>
                <w:sz w:val="13"/>
                <w:szCs w:val="13"/>
                <w:color w:val="auto"/>
              </w:rPr>
            </w:pPr>
          </w:p>
        </w:tc>
        <w:tc>
          <w:tcPr>
            <w:tcW w:w="24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Revenue Earned for the</w:t>
            </w: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3"/>
          </w:tcPr>
          <w:p>
            <w:pPr>
              <w:jc w:val="center"/>
              <w:ind w:right="560"/>
              <w:spacing w:after="0" w:line="134" w:lineRule="exact"/>
              <w:rPr>
                <w:sz w:val="20"/>
                <w:szCs w:val="20"/>
                <w:color w:val="auto"/>
              </w:rPr>
            </w:pPr>
            <w:r>
              <w:rPr>
                <w:rFonts w:ascii="Arial" w:cs="Arial" w:eastAsia="Arial" w:hAnsi="Arial"/>
                <w:sz w:val="13"/>
                <w:szCs w:val="13"/>
                <w:b w:val="1"/>
                <w:bCs w:val="1"/>
                <w:color w:val="auto"/>
                <w:w w:val="87"/>
              </w:rPr>
              <w:t>three months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gridSpan w:val="3"/>
          </w:tcPr>
          <w:p>
            <w:pPr>
              <w:jc w:val="center"/>
              <w:ind w:right="800"/>
              <w:spacing w:after="0" w:line="134" w:lineRule="exact"/>
              <w:rPr>
                <w:sz w:val="20"/>
                <w:szCs w:val="20"/>
                <w:color w:val="auto"/>
              </w:rPr>
            </w:pPr>
            <w:r>
              <w:rPr>
                <w:rFonts w:ascii="Arial" w:cs="Arial" w:eastAsia="Arial" w:hAnsi="Arial"/>
                <w:sz w:val="13"/>
                <w:szCs w:val="13"/>
                <w:b w:val="1"/>
                <w:bCs w:val="1"/>
                <w:color w:val="auto"/>
                <w:w w:val="84"/>
              </w:rPr>
              <w:t>six months</w:t>
            </w:r>
          </w:p>
        </w:tc>
        <w:tc>
          <w:tcPr>
            <w:tcW w:w="0" w:type="dxa"/>
            <w:vAlign w:val="bottom"/>
          </w:tcPr>
          <w:p>
            <w:pPr>
              <w:spacing w:after="0"/>
              <w:rPr>
                <w:sz w:val="1"/>
                <w:szCs w:val="1"/>
                <w:color w:val="auto"/>
              </w:rPr>
            </w:pPr>
          </w:p>
        </w:tc>
      </w:tr>
      <w:tr>
        <w:trPr>
          <w:trHeight w:val="154"/>
        </w:trPr>
        <w:tc>
          <w:tcPr>
            <w:tcW w:w="2860" w:type="dxa"/>
            <w:vAlign w:val="bottom"/>
          </w:tcPr>
          <w:p>
            <w:pPr>
              <w:spacing w:after="0"/>
              <w:rPr>
                <w:sz w:val="13"/>
                <w:szCs w:val="13"/>
                <w:color w:val="auto"/>
              </w:rPr>
            </w:pPr>
          </w:p>
        </w:tc>
        <w:tc>
          <w:tcPr>
            <w:tcW w:w="1180" w:type="dxa"/>
            <w:vAlign w:val="bottom"/>
          </w:tcPr>
          <w:p>
            <w:pPr>
              <w:ind w:left="180"/>
              <w:spacing w:after="0"/>
              <w:rPr>
                <w:sz w:val="20"/>
                <w:szCs w:val="20"/>
                <w:color w:val="auto"/>
              </w:rPr>
            </w:pPr>
            <w:r>
              <w:rPr>
                <w:rFonts w:ascii="Arial" w:cs="Arial" w:eastAsia="Arial" w:hAnsi="Arial"/>
                <w:sz w:val="13"/>
                <w:szCs w:val="13"/>
                <w:b w:val="1"/>
                <w:bCs w:val="1"/>
                <w:color w:val="auto"/>
              </w:rPr>
              <w:t>Expected Total</w:t>
            </w:r>
          </w:p>
        </w:tc>
        <w:tc>
          <w:tcPr>
            <w:tcW w:w="420" w:type="dxa"/>
            <w:vAlign w:val="bottom"/>
          </w:tcPr>
          <w:p>
            <w:pPr>
              <w:spacing w:after="0"/>
              <w:rPr>
                <w:sz w:val="13"/>
                <w:szCs w:val="13"/>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through</w:t>
            </w:r>
          </w:p>
        </w:tc>
        <w:tc>
          <w:tcPr>
            <w:tcW w:w="5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3"/>
                <w:szCs w:val="13"/>
                <w:b w:val="1"/>
                <w:bCs w:val="1"/>
                <w:color w:val="auto"/>
                <w:w w:val="88"/>
              </w:rPr>
              <w:t>ended September 30,</w:t>
            </w:r>
          </w:p>
        </w:tc>
        <w:tc>
          <w:tcPr>
            <w:tcW w:w="420" w:type="dxa"/>
            <w:vAlign w:val="bottom"/>
          </w:tcPr>
          <w:p>
            <w:pPr>
              <w:spacing w:after="0"/>
              <w:rPr>
                <w:sz w:val="13"/>
                <w:szCs w:val="13"/>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ended September 30,</w:t>
            </w: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1180" w:type="dxa"/>
            <w:vAlign w:val="bottom"/>
          </w:tcPr>
          <w:p>
            <w:pPr>
              <w:ind w:left="180"/>
              <w:spacing w:after="0" w:line="126" w:lineRule="exact"/>
              <w:rPr>
                <w:sz w:val="20"/>
                <w:szCs w:val="20"/>
                <w:color w:val="auto"/>
              </w:rPr>
            </w:pPr>
            <w:r>
              <w:rPr>
                <w:rFonts w:ascii="Arial" w:cs="Arial" w:eastAsia="Arial" w:hAnsi="Arial"/>
                <w:sz w:val="13"/>
                <w:szCs w:val="13"/>
                <w:b w:val="1"/>
                <w:bCs w:val="1"/>
                <w:color w:val="auto"/>
              </w:rPr>
              <w:t>Contract Value</w:t>
            </w:r>
          </w:p>
        </w:tc>
        <w:tc>
          <w:tcPr>
            <w:tcW w:w="420" w:type="dxa"/>
            <w:vAlign w:val="bottom"/>
          </w:tcPr>
          <w:p>
            <w:pPr>
              <w:spacing w:after="0"/>
              <w:rPr>
                <w:sz w:val="10"/>
                <w:szCs w:val="10"/>
                <w:color w:val="auto"/>
              </w:rPr>
            </w:pPr>
          </w:p>
        </w:tc>
        <w:tc>
          <w:tcPr>
            <w:tcW w:w="1800" w:type="dxa"/>
            <w:vAlign w:val="bottom"/>
            <w:gridSpan w:val="2"/>
          </w:tcPr>
          <w:p>
            <w:pPr>
              <w:jc w:val="center"/>
              <w:ind w:right="420"/>
              <w:spacing w:after="0" w:line="126" w:lineRule="exact"/>
              <w:rPr>
                <w:sz w:val="20"/>
                <w:szCs w:val="20"/>
                <w:color w:val="auto"/>
              </w:rPr>
            </w:pPr>
            <w:r>
              <w:rPr>
                <w:rFonts w:ascii="Arial" w:cs="Arial" w:eastAsia="Arial" w:hAnsi="Arial"/>
                <w:sz w:val="13"/>
                <w:szCs w:val="13"/>
                <w:b w:val="1"/>
                <w:bCs w:val="1"/>
                <w:color w:val="auto"/>
                <w:w w:val="90"/>
              </w:rPr>
              <w:t>September 30, 2009</w:t>
            </w:r>
          </w:p>
        </w:tc>
        <w:tc>
          <w:tcPr>
            <w:tcW w:w="56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2009</w:t>
            </w:r>
          </w:p>
        </w:tc>
        <w:tc>
          <w:tcPr>
            <w:tcW w:w="1760" w:type="dxa"/>
            <w:vAlign w:val="bottom"/>
            <w:gridSpan w:val="3"/>
          </w:tcPr>
          <w:p>
            <w:pPr>
              <w:jc w:val="right"/>
              <w:ind w:right="360"/>
              <w:spacing w:after="0" w:line="126" w:lineRule="exact"/>
              <w:rPr>
                <w:sz w:val="20"/>
                <w:szCs w:val="20"/>
                <w:color w:val="auto"/>
              </w:rPr>
            </w:pPr>
            <w:r>
              <w:rPr>
                <w:rFonts w:ascii="Arial" w:cs="Arial" w:eastAsia="Arial" w:hAnsi="Arial"/>
                <w:sz w:val="13"/>
                <w:szCs w:val="13"/>
                <w:b w:val="1"/>
                <w:bCs w:val="1"/>
                <w:color w:val="auto"/>
              </w:rPr>
              <w:t>2008</w:t>
            </w:r>
          </w:p>
        </w:tc>
        <w:tc>
          <w:tcPr>
            <w:tcW w:w="420" w:type="dxa"/>
            <w:vAlign w:val="bottom"/>
          </w:tcPr>
          <w:p>
            <w:pPr>
              <w:spacing w:after="0"/>
              <w:rPr>
                <w:sz w:val="10"/>
                <w:szCs w:val="10"/>
                <w:color w:val="auto"/>
              </w:rPr>
            </w:pPr>
          </w:p>
        </w:tc>
        <w:tc>
          <w:tcPr>
            <w:tcW w:w="780" w:type="dxa"/>
            <w:vAlign w:val="bottom"/>
          </w:tcPr>
          <w:p>
            <w:pPr>
              <w:jc w:val="right"/>
              <w:ind w:right="115"/>
              <w:spacing w:after="0" w:line="126" w:lineRule="exact"/>
              <w:rPr>
                <w:sz w:val="20"/>
                <w:szCs w:val="20"/>
                <w:color w:val="auto"/>
              </w:rPr>
            </w:pPr>
            <w:r>
              <w:rPr>
                <w:rFonts w:ascii="Arial" w:cs="Arial" w:eastAsia="Arial" w:hAnsi="Arial"/>
                <w:sz w:val="13"/>
                <w:szCs w:val="13"/>
                <w:b w:val="1"/>
                <w:bCs w:val="1"/>
                <w:color w:val="auto"/>
              </w:rPr>
              <w:t>2009</w:t>
            </w:r>
          </w:p>
        </w:tc>
        <w:tc>
          <w:tcPr>
            <w:tcW w:w="1660" w:type="dxa"/>
            <w:vAlign w:val="bottom"/>
            <w:gridSpan w:val="3"/>
          </w:tcPr>
          <w:p>
            <w:pPr>
              <w:jc w:val="right"/>
              <w:ind w:right="360"/>
              <w:spacing w:after="0" w:line="126" w:lineRule="exact"/>
              <w:rPr>
                <w:sz w:val="20"/>
                <w:szCs w:val="20"/>
                <w:color w:val="auto"/>
              </w:rPr>
            </w:pPr>
            <w:r>
              <w:rPr>
                <w:rFonts w:ascii="Arial" w:cs="Arial" w:eastAsia="Arial" w:hAnsi="Arial"/>
                <w:sz w:val="13"/>
                <w:szCs w:val="13"/>
                <w:b w:val="1"/>
                <w:bCs w:val="1"/>
                <w:color w:val="auto"/>
              </w:rPr>
              <w:t>2008</w:t>
            </w:r>
          </w:p>
        </w:tc>
        <w:tc>
          <w:tcPr>
            <w:tcW w:w="0" w:type="dxa"/>
            <w:vAlign w:val="bottom"/>
          </w:tcPr>
          <w:p>
            <w:pPr>
              <w:spacing w:after="0"/>
              <w:rPr>
                <w:sz w:val="1"/>
                <w:szCs w:val="1"/>
                <w:color w:val="auto"/>
              </w:rPr>
            </w:pPr>
          </w:p>
        </w:tc>
      </w:tr>
      <w:tr>
        <w:trPr>
          <w:trHeight w:val="187"/>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Project Name</w:t>
            </w:r>
          </w:p>
        </w:tc>
        <w:tc>
          <w:tcPr>
            <w:tcW w:w="11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20"/>
                <w:szCs w:val="20"/>
                <w:color w:val="auto"/>
              </w:rPr>
            </w:pPr>
            <w:r>
              <w:rPr>
                <w:rFonts w:ascii="Arial" w:cs="Arial" w:eastAsia="Arial" w:hAnsi="Arial"/>
                <w:sz w:val="16"/>
                <w:szCs w:val="16"/>
                <w:color w:val="auto"/>
              </w:rPr>
              <w:t>HYDRA</w:t>
            </w:r>
          </w:p>
        </w:tc>
        <w:tc>
          <w:tcPr>
            <w:tcW w:w="1180" w:type="dxa"/>
            <w:vAlign w:val="bottom"/>
          </w:tcPr>
          <w:p>
            <w:pPr>
              <w:jc w:val="right"/>
              <w:ind w:right="284"/>
              <w:spacing w:after="0"/>
              <w:rPr>
                <w:sz w:val="20"/>
                <w:szCs w:val="20"/>
                <w:color w:val="auto"/>
              </w:rPr>
            </w:pPr>
            <w:r>
              <w:rPr>
                <w:rFonts w:ascii="Arial" w:cs="Arial" w:eastAsia="Arial" w:hAnsi="Arial"/>
                <w:sz w:val="16"/>
                <w:szCs w:val="16"/>
                <w:color w:val="auto"/>
              </w:rPr>
              <w:t>$24,908</w:t>
            </w:r>
          </w:p>
        </w:tc>
        <w:tc>
          <w:tcPr>
            <w:tcW w:w="1800" w:type="dxa"/>
            <w:vAlign w:val="bottom"/>
            <w:gridSpan w:val="2"/>
          </w:tcPr>
          <w:p>
            <w:pPr>
              <w:jc w:val="right"/>
              <w:ind w:right="395"/>
              <w:spacing w:after="0"/>
              <w:rPr>
                <w:sz w:val="20"/>
                <w:szCs w:val="20"/>
                <w:color w:val="auto"/>
              </w:rPr>
            </w:pPr>
            <w:r>
              <w:rPr>
                <w:rFonts w:ascii="Arial" w:cs="Arial" w:eastAsia="Arial" w:hAnsi="Arial"/>
                <w:sz w:val="16"/>
                <w:szCs w:val="16"/>
                <w:color w:val="auto"/>
              </w:rPr>
              <w:t>$ 8,681</w:t>
            </w:r>
          </w:p>
        </w:tc>
        <w:tc>
          <w:tcPr>
            <w:tcW w:w="4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$565</w:t>
            </w:r>
          </w:p>
        </w:tc>
        <w:tc>
          <w:tcPr>
            <w:tcW w:w="1760" w:type="dxa"/>
            <w:vAlign w:val="bottom"/>
            <w:gridSpan w:val="3"/>
          </w:tcPr>
          <w:p>
            <w:pPr>
              <w:jc w:val="right"/>
              <w:ind w:right="300"/>
              <w:spacing w:after="0"/>
              <w:rPr>
                <w:sz w:val="20"/>
                <w:szCs w:val="20"/>
                <w:color w:val="auto"/>
              </w:rPr>
            </w:pPr>
            <w:r>
              <w:rPr>
                <w:rFonts w:ascii="Arial" w:cs="Arial" w:eastAsia="Arial" w:hAnsi="Arial"/>
                <w:sz w:val="16"/>
                <w:szCs w:val="16"/>
                <w:color w:val="auto"/>
              </w:rPr>
              <w:t>$1,398</w:t>
            </w:r>
          </w:p>
        </w:tc>
        <w:tc>
          <w:tcPr>
            <w:tcW w:w="1200" w:type="dxa"/>
            <w:vAlign w:val="bottom"/>
            <w:gridSpan w:val="2"/>
          </w:tcPr>
          <w:p>
            <w:pPr>
              <w:jc w:val="right"/>
              <w:ind w:right="55"/>
              <w:spacing w:after="0"/>
              <w:rPr>
                <w:sz w:val="20"/>
                <w:szCs w:val="20"/>
                <w:color w:val="auto"/>
              </w:rPr>
            </w:pPr>
            <w:r>
              <w:rPr>
                <w:rFonts w:ascii="Arial" w:cs="Arial" w:eastAsia="Arial" w:hAnsi="Arial"/>
                <w:sz w:val="16"/>
                <w:szCs w:val="16"/>
                <w:color w:val="auto"/>
              </w:rPr>
              <w:t>$  829</w:t>
            </w:r>
          </w:p>
        </w:tc>
        <w:tc>
          <w:tcPr>
            <w:tcW w:w="1660" w:type="dxa"/>
            <w:vAlign w:val="bottom"/>
            <w:gridSpan w:val="3"/>
          </w:tcPr>
          <w:p>
            <w:pPr>
              <w:jc w:val="right"/>
              <w:ind w:right="320"/>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LIPA I and II</w:t>
            </w:r>
          </w:p>
        </w:tc>
        <w:tc>
          <w:tcPr>
            <w:tcW w:w="118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39,958</w:t>
            </w:r>
          </w:p>
        </w:tc>
        <w:tc>
          <w:tcPr>
            <w:tcW w:w="1800" w:type="dxa"/>
            <w:vAlign w:val="bottom"/>
            <w:gridSpan w:val="2"/>
            <w:shd w:val="clear" w:color="auto" w:fill="CCEEFF"/>
          </w:tcPr>
          <w:p>
            <w:pPr>
              <w:jc w:val="right"/>
              <w:ind w:right="395"/>
              <w:spacing w:after="0"/>
              <w:rPr>
                <w:sz w:val="20"/>
                <w:szCs w:val="20"/>
                <w:color w:val="auto"/>
              </w:rPr>
            </w:pPr>
            <w:r>
              <w:rPr>
                <w:rFonts w:ascii="Arial" w:cs="Arial" w:eastAsia="Arial" w:hAnsi="Arial"/>
                <w:sz w:val="16"/>
                <w:szCs w:val="16"/>
                <w:color w:val="auto"/>
              </w:rPr>
              <w:t>32,374</w:t>
            </w: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457</w:t>
            </w:r>
          </w:p>
        </w:tc>
        <w:tc>
          <w:tcPr>
            <w:tcW w:w="1200" w:type="dxa"/>
            <w:vAlign w:val="bottom"/>
            <w:gridSpan w:val="2"/>
            <w:shd w:val="clear" w:color="auto" w:fill="CCEEFF"/>
          </w:tcPr>
          <w:p>
            <w:pPr>
              <w:jc w:val="right"/>
              <w:ind w:right="55"/>
              <w:spacing w:after="0"/>
              <w:rPr>
                <w:sz w:val="20"/>
                <w:szCs w:val="20"/>
                <w:color w:val="auto"/>
              </w:rPr>
            </w:pPr>
            <w:r>
              <w:rPr>
                <w:rFonts w:ascii="Arial" w:cs="Arial" w:eastAsia="Arial" w:hAnsi="Arial"/>
                <w:sz w:val="16"/>
                <w:szCs w:val="16"/>
                <w:color w:val="auto"/>
              </w:rPr>
              <w:t>1,639</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20"/>
                <w:szCs w:val="20"/>
                <w:color w:val="auto"/>
              </w:rPr>
            </w:pPr>
            <w:r>
              <w:rPr>
                <w:rFonts w:ascii="Arial" w:cs="Arial" w:eastAsia="Arial" w:hAnsi="Arial"/>
                <w:sz w:val="16"/>
                <w:szCs w:val="16"/>
                <w:color w:val="auto"/>
              </w:rPr>
              <w:t>DOE-FCL</w:t>
            </w:r>
          </w:p>
        </w:tc>
        <w:tc>
          <w:tcPr>
            <w:tcW w:w="1180" w:type="dxa"/>
            <w:vAlign w:val="bottom"/>
          </w:tcPr>
          <w:p>
            <w:pPr>
              <w:jc w:val="right"/>
              <w:ind w:right="284"/>
              <w:spacing w:after="0"/>
              <w:rPr>
                <w:sz w:val="20"/>
                <w:szCs w:val="20"/>
                <w:color w:val="auto"/>
              </w:rPr>
            </w:pPr>
            <w:r>
              <w:rPr>
                <w:rFonts w:ascii="Arial" w:cs="Arial" w:eastAsia="Arial" w:hAnsi="Arial"/>
                <w:sz w:val="16"/>
                <w:szCs w:val="16"/>
                <w:color w:val="auto"/>
              </w:rPr>
              <w:t>7,898</w:t>
            </w:r>
          </w:p>
        </w:tc>
        <w:tc>
          <w:tcPr>
            <w:tcW w:w="1800" w:type="dxa"/>
            <w:vAlign w:val="bottom"/>
            <w:gridSpan w:val="2"/>
          </w:tcPr>
          <w:p>
            <w:pPr>
              <w:jc w:val="right"/>
              <w:ind w:right="395"/>
              <w:spacing w:after="0"/>
              <w:rPr>
                <w:sz w:val="20"/>
                <w:szCs w:val="20"/>
                <w:color w:val="auto"/>
              </w:rPr>
            </w:pPr>
            <w:r>
              <w:rPr>
                <w:rFonts w:ascii="Arial" w:cs="Arial" w:eastAsia="Arial" w:hAnsi="Arial"/>
                <w:sz w:val="16"/>
                <w:szCs w:val="16"/>
                <w:color w:val="auto"/>
              </w:rPr>
              <w:t>3,580</w:t>
            </w:r>
          </w:p>
        </w:tc>
        <w:tc>
          <w:tcPr>
            <w:tcW w:w="4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515</w:t>
            </w:r>
          </w:p>
        </w:tc>
        <w:tc>
          <w:tcPr>
            <w:tcW w:w="1760" w:type="dxa"/>
            <w:vAlign w:val="bottom"/>
            <w:gridSpan w:val="3"/>
          </w:tcPr>
          <w:p>
            <w:pPr>
              <w:jc w:val="right"/>
              <w:ind w:right="300"/>
              <w:spacing w:after="0"/>
              <w:rPr>
                <w:sz w:val="20"/>
                <w:szCs w:val="20"/>
                <w:color w:val="auto"/>
              </w:rPr>
            </w:pPr>
            <w:r>
              <w:rPr>
                <w:rFonts w:ascii="Arial" w:cs="Arial" w:eastAsia="Arial" w:hAnsi="Arial"/>
                <w:sz w:val="16"/>
                <w:szCs w:val="16"/>
                <w:color w:val="auto"/>
              </w:rPr>
              <w:t>688</w:t>
            </w:r>
          </w:p>
        </w:tc>
        <w:tc>
          <w:tcPr>
            <w:tcW w:w="1200" w:type="dxa"/>
            <w:vAlign w:val="bottom"/>
            <w:gridSpan w:val="2"/>
          </w:tcPr>
          <w:p>
            <w:pPr>
              <w:jc w:val="right"/>
              <w:ind w:right="55"/>
              <w:spacing w:after="0"/>
              <w:rPr>
                <w:sz w:val="20"/>
                <w:szCs w:val="20"/>
                <w:color w:val="auto"/>
              </w:rPr>
            </w:pPr>
            <w:r>
              <w:rPr>
                <w:rFonts w:ascii="Arial" w:cs="Arial" w:eastAsia="Arial" w:hAnsi="Arial"/>
                <w:sz w:val="16"/>
                <w:szCs w:val="16"/>
                <w:color w:val="auto"/>
              </w:rPr>
              <w:t>577</w:t>
            </w:r>
          </w:p>
        </w:tc>
        <w:tc>
          <w:tcPr>
            <w:tcW w:w="1660" w:type="dxa"/>
            <w:vAlign w:val="bottom"/>
            <w:gridSpan w:val="3"/>
          </w:tcPr>
          <w:p>
            <w:pPr>
              <w:jc w:val="right"/>
              <w:ind w:right="320"/>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NAVSEA Motor Study</w:t>
            </w:r>
          </w:p>
        </w:tc>
        <w:tc>
          <w:tcPr>
            <w:tcW w:w="118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6,410</w:t>
            </w:r>
          </w:p>
        </w:tc>
        <w:tc>
          <w:tcPr>
            <w:tcW w:w="1800" w:type="dxa"/>
            <w:vAlign w:val="bottom"/>
            <w:gridSpan w:val="2"/>
            <w:shd w:val="clear" w:color="auto" w:fill="CCEEFF"/>
          </w:tcPr>
          <w:p>
            <w:pPr>
              <w:jc w:val="right"/>
              <w:ind w:right="395"/>
              <w:spacing w:after="0"/>
              <w:rPr>
                <w:sz w:val="20"/>
                <w:szCs w:val="20"/>
                <w:color w:val="auto"/>
              </w:rPr>
            </w:pPr>
            <w:r>
              <w:rPr>
                <w:rFonts w:ascii="Arial" w:cs="Arial" w:eastAsia="Arial" w:hAnsi="Arial"/>
                <w:sz w:val="16"/>
                <w:szCs w:val="16"/>
                <w:color w:val="auto"/>
              </w:rPr>
              <w:t>5,954</w:t>
            </w: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1,792</w:t>
            </w:r>
          </w:p>
        </w:tc>
        <w:tc>
          <w:tcPr>
            <w:tcW w:w="1200" w:type="dxa"/>
            <w:vAlign w:val="bottom"/>
            <w:gridSpan w:val="2"/>
            <w:shd w:val="clear" w:color="auto" w:fill="CCEEFF"/>
          </w:tcPr>
          <w:p>
            <w:pPr>
              <w:jc w:val="right"/>
              <w:ind w:right="55"/>
              <w:spacing w:after="0"/>
              <w:rPr>
                <w:sz w:val="20"/>
                <w:szCs w:val="20"/>
                <w:color w:val="auto"/>
              </w:rPr>
            </w:pPr>
            <w:r>
              <w:rPr>
                <w:rFonts w:ascii="Arial" w:cs="Arial" w:eastAsia="Arial" w:hAnsi="Arial"/>
                <w:sz w:val="16"/>
                <w:szCs w:val="16"/>
                <w:color w:val="auto"/>
              </w:rPr>
              <w:t>74</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20" w:firstLine="205"/>
        <w:spacing w:after="0" w:line="284" w:lineRule="auto"/>
        <w:rPr>
          <w:sz w:val="20"/>
          <w:szCs w:val="20"/>
          <w:color w:val="auto"/>
        </w:rPr>
      </w:pPr>
      <w:r>
        <w:rPr>
          <w:rFonts w:ascii="Arial" w:cs="Arial" w:eastAsia="Arial" w:hAnsi="Arial"/>
          <w:sz w:val="16"/>
          <w:szCs w:val="16"/>
          <w:color w:val="auto"/>
        </w:rPr>
        <w:t>These significant projects represented 72% and 60% of AMSC Superconductors business unit revenue for the three and six months ended September 30, 2009, respectively, compared to 90% and 85% for the three and six months ended September 30, 2008, respectively.</w:t>
      </w:r>
    </w:p>
    <w:p>
      <w:pPr>
        <w:spacing w:after="0" w:line="53" w:lineRule="exact"/>
        <w:rPr>
          <w:sz w:val="20"/>
          <w:szCs w:val="20"/>
          <w:color w:val="auto"/>
        </w:rPr>
      </w:pPr>
    </w:p>
    <w:p>
      <w:pPr>
        <w:jc w:val="both"/>
        <w:ind w:right="20" w:firstLine="264"/>
        <w:spacing w:after="0" w:line="258" w:lineRule="auto"/>
        <w:rPr>
          <w:sz w:val="20"/>
          <w:szCs w:val="20"/>
          <w:color w:val="auto"/>
        </w:rPr>
      </w:pPr>
      <w:r>
        <w:rPr>
          <w:rFonts w:ascii="Arial" w:cs="Arial" w:eastAsia="Arial" w:hAnsi="Arial"/>
          <w:sz w:val="16"/>
          <w:szCs w:val="16"/>
          <w:color w:val="auto"/>
        </w:rPr>
        <w:t>The decrease in AMSC Superconductors business unit revenue for the three and six months ended September 30, 2009 was driven primarily by lower HYDRA project revenues due to delays in project milestones and the completion of the NAVSEA Motor Study. We recognize superconductor cable project revenues from the Project HYDRA contract with Consolidated Edison, Inc., which is being funded by the U.S. Department of Homeland Security (“DHS”). DHS is expected to invest up to a total of $24.9 million in the development of a new high temperature superconductor power grid technology to enable Secure Super Grids™. Secure Super Grids utilize customized HTS wires, superconductor power cables and ancillary controls to deliver more power through the grid while also being able to suppress power surges that can disrupt service. Of the total $24.9 million in funding expected from DHS, it has committed funding of $16.3 million to us as of September 30, 2009. We recognized $0.6 million in revenue related to the Project HYDRA during the second quarter of fiscal 2009, compared to $1.4 million in the same period of fiscal 2008. Consolidated Edison and Southwire Company are subcontractors to us on this project.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jc w:val="both"/>
        <w:ind w:firstLine="263"/>
        <w:spacing w:after="0" w:line="264" w:lineRule="auto"/>
        <w:rPr>
          <w:sz w:val="20"/>
          <w:szCs w:val="20"/>
          <w:color w:val="auto"/>
        </w:rPr>
      </w:pPr>
      <w:r>
        <w:rPr>
          <w:rFonts w:ascii="Arial" w:cs="Arial" w:eastAsia="Arial" w:hAnsi="Arial"/>
          <w:sz w:val="16"/>
          <w:szCs w:val="16"/>
          <w:color w:val="auto"/>
        </w:rPr>
        <w:t>LIPA I is a project to install an HTS power cable system at transmission voltage using our first generation HTS wire for the Long Island Power Authority. LIPA II is a project to install an HTS power cable utilizing our second generation HTS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69" w:lineRule="exact"/>
        <w:rPr>
          <w:sz w:val="20"/>
          <w:szCs w:val="20"/>
          <w:color w:val="auto"/>
        </w:rPr>
      </w:pPr>
    </w:p>
    <w:p>
      <w:pPr>
        <w:jc w:val="both"/>
        <w:ind w:right="20" w:firstLine="260"/>
        <w:spacing w:after="0" w:line="269" w:lineRule="auto"/>
        <w:rPr>
          <w:sz w:val="20"/>
          <w:szCs w:val="20"/>
          <w:color w:val="auto"/>
        </w:rPr>
      </w:pPr>
      <w:r>
        <w:rPr>
          <w:rFonts w:ascii="Arial" w:cs="Arial" w:eastAsia="Arial" w:hAnsi="Arial"/>
          <w:sz w:val="16"/>
          <w:szCs w:val="16"/>
          <w:color w:val="auto"/>
        </w:rPr>
        <w:t>Revenues from our DOE-FCL project in the second quarter were partially the result of additional funding received in July 2009 resulting in revenue of $0.2 million for costs incurred in the quarter ended June 30, 2009. The decrease in LIPA project revenue is related to the completion of LIPA I and the 1</w:t>
      </w:r>
      <w:r>
        <w:rPr>
          <w:rFonts w:ascii="Arial" w:cs="Arial" w:eastAsia="Arial" w:hAnsi="Arial"/>
          <w:sz w:val="13"/>
          <w:szCs w:val="13"/>
          <w:color w:val="auto"/>
        </w:rPr>
        <w:t>st</w:t>
      </w:r>
      <w:r>
        <w:rPr>
          <w:rFonts w:ascii="Arial" w:cs="Arial" w:eastAsia="Arial" w:hAnsi="Arial"/>
          <w:sz w:val="16"/>
          <w:szCs w:val="16"/>
          <w:color w:val="auto"/>
        </w:rPr>
        <w:t xml:space="preserve"> phase of LIPA II coming to a conclusion.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Cost-sharing funding</w:t>
      </w:r>
    </w:p>
    <w:p>
      <w:pPr>
        <w:spacing w:after="0" w:line="109" w:lineRule="exact"/>
        <w:rPr>
          <w:sz w:val="20"/>
          <w:szCs w:val="20"/>
          <w:color w:val="auto"/>
        </w:rPr>
      </w:pPr>
    </w:p>
    <w:p>
      <w:pPr>
        <w:jc w:val="both"/>
        <w:ind w:right="20" w:firstLine="209"/>
        <w:spacing w:after="0" w:line="279" w:lineRule="auto"/>
        <w:rPr>
          <w:sz w:val="20"/>
          <w:szCs w:val="20"/>
          <w:color w:val="auto"/>
        </w:rPr>
      </w:pPr>
      <w:r>
        <w:rPr>
          <w:rFonts w:ascii="Arial" w:cs="Arial" w:eastAsia="Arial" w:hAnsi="Arial"/>
          <w:sz w:val="15"/>
          <w:szCs w:val="15"/>
          <w:color w:val="auto"/>
        </w:rPr>
        <w:t>In addition to reported revenues, we also received funding of $0.4 million and $1.2 million for the three and six months ended September 30, 2009, respectively, under U.S. government cost-sharing agreements with the U.S. Air Force and DOE, compared to $0.4 million and $1.3 million for the three and six months ended September 30, 2008, respectively. The slight decrease in cost-sharing funding is primarily due to the DOE Wire Initiative program nearing completion. All of our cost-sharing agreements provide funding in support of development work on 344 superconductors being done in our AMSC Superconductors business unit. We anticipate that a portion of our funding in the future will continue to come from cost-sharing agreements as we execute joint programs with government agencies. Funding from government cost-sharing agreements is recorded as an offset to research and development (“R&amp;D”) and selling, general and administrative (“SG&amp;A”) expenses, rather than as revenue. As of September 30, 2009, we anticipate recognizing an additional $0.7 million offset to R&amp;D and SG&amp;A expenses related to these cost-sharing agreements over the next 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Revenues and Gross Margin</w:t>
      </w:r>
    </w:p>
    <w:p>
      <w:pPr>
        <w:spacing w:after="0" w:line="10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5"/>
          <w:szCs w:val="15"/>
          <w:color w:val="auto"/>
        </w:rPr>
        <w:t>Cost of revenues increased by 54% and 66% to $45.6 million and $96.1 million for the three and six months ended September 30, 2009, respectively, compared to $29.7 million and $57.9 million for the three and six months ended September 30, 2008, respectively. Gross margin was 38.9% and 35.0% for the three and six months ended September 30, 2009, respectively, compared to 26.5% and 27.8%, respectively, for the same periods of fiscal 2008. The increases in gross margin in the three and six months ended September 30, 2009 as compared to the same periods in fiscal 2008 were due primarily to a higher volume of wind turbine core electrical component shipments and a higher percentage of higher-margin AMSC Power Systems business unit sales as compared to AMSC Superconductor business unit sales.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09" w:lineRule="exact"/>
        <w:rPr>
          <w:sz w:val="20"/>
          <w:szCs w:val="20"/>
          <w:color w:val="auto"/>
        </w:rPr>
      </w:pPr>
    </w:p>
    <w:p>
      <w:pPr>
        <w:jc w:val="both"/>
        <w:ind w:right="20" w:firstLine="203"/>
        <w:spacing w:after="0" w:line="284"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6"/>
          </w:tcPr>
          <w:p>
            <w:pPr>
              <w:ind w:left="3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2"/>
                <w:szCs w:val="12"/>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6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2"/>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2"/>
              <w:spacing w:after="0" w:line="126" w:lineRule="exact"/>
              <w:rPr>
                <w:sz w:val="20"/>
                <w:szCs w:val="20"/>
                <w:color w:val="auto"/>
              </w:rPr>
            </w:pPr>
            <w:r>
              <w:rPr>
                <w:rFonts w:ascii="Arial" w:cs="Arial" w:eastAsia="Arial" w:hAnsi="Arial"/>
                <w:sz w:val="13"/>
                <w:szCs w:val="13"/>
                <w:b w:val="1"/>
                <w:bCs w:val="1"/>
                <w:color w:val="auto"/>
                <w:w w:val="89"/>
              </w:rPr>
              <w:t>2008</w:t>
            </w:r>
          </w:p>
        </w:tc>
        <w:tc>
          <w:tcPr>
            <w:tcW w:w="120" w:type="dxa"/>
            <w:vAlign w:val="bottom"/>
          </w:tcPr>
          <w:p>
            <w:pPr>
              <w:spacing w:after="0"/>
              <w:rPr>
                <w:sz w:val="10"/>
                <w:szCs w:val="10"/>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R&amp;D expenses per Consolidated Statements of Operations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5,416</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4,688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9,944</w:t>
            </w:r>
          </w:p>
        </w:tc>
        <w:tc>
          <w:tcPr>
            <w:tcW w:w="3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9,601</w:t>
            </w: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R&amp;D expenditures reclassified as costs of revenue</w:t>
            </w:r>
          </w:p>
        </w:tc>
        <w:tc>
          <w:tcPr>
            <w:tcW w:w="1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1,360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5,562</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2,847</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10,055</w:t>
            </w:r>
          </w:p>
        </w:tc>
      </w:tr>
      <w:tr>
        <w:trPr>
          <w:trHeight w:val="195"/>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R&amp;D expenditures offset by cost-sharing funding</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236</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617</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677</w:t>
            </w:r>
          </w:p>
        </w:tc>
      </w:tr>
      <w:tr>
        <w:trPr>
          <w:trHeight w:val="199"/>
        </w:trPr>
        <w:tc>
          <w:tcPr>
            <w:tcW w:w="6520" w:type="dxa"/>
            <w:vAlign w:val="bottom"/>
          </w:tcPr>
          <w:p>
            <w:pPr>
              <w:ind w:left="180"/>
              <w:spacing w:after="0"/>
              <w:rPr>
                <w:sz w:val="20"/>
                <w:szCs w:val="20"/>
                <w:color w:val="auto"/>
              </w:rPr>
            </w:pPr>
            <w:r>
              <w:rPr>
                <w:rFonts w:ascii="Arial" w:cs="Arial" w:eastAsia="Arial" w:hAnsi="Arial"/>
                <w:sz w:val="16"/>
                <w:szCs w:val="16"/>
                <w:color w:val="auto"/>
              </w:rPr>
              <w:t>Aggregated R&amp;D expenses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7,003</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10,486</w:t>
            </w:r>
          </w:p>
        </w:tc>
        <w:tc>
          <w:tcPr>
            <w:tcW w:w="6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13,408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20,333</w:t>
            </w:r>
          </w:p>
        </w:tc>
        <w:tc>
          <w:tcPr>
            <w:tcW w:w="12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firstLine="209"/>
        <w:spacing w:after="0" w:line="302" w:lineRule="auto"/>
        <w:rPr>
          <w:sz w:val="20"/>
          <w:szCs w:val="20"/>
          <w:color w:val="auto"/>
        </w:rPr>
      </w:pPr>
      <w:r>
        <w:rPr>
          <w:rFonts w:ascii="Arial" w:cs="Arial" w:eastAsia="Arial" w:hAnsi="Arial"/>
          <w:sz w:val="14"/>
          <w:szCs w:val="14"/>
          <w:color w:val="auto"/>
        </w:rPr>
        <w:t>R&amp;D expenses (exclusive of amounts classified as costs of revenue and amounts offset by cost-sharing funding) increased by 16% and 4% to $5.4 million and $9.9 million, or 7% of revenue, for each of the three and six months ended September 30, 2009, respectively, from $4.7 million and $9.6 million, or 12% of revenue for each of the three and six months ended September 30, 2008, respectively. The increases in R&amp;D expenses were driven primarily by increased headcount and related labor spending, as well as added material and overhead spending to support new product development in our Power Systems business unit. The decreases in R&amp;D expenditures reclassified to costs of revenue were a result of decreased efforts under our government funded contracts in our AMSC Superconductors business unit compared to the prior year periods. Aggregated R&amp;D expenses, which include amounts classified as costs of revenue and amounts offset by cost-sharing funding, decreased 33% and 34% to $7.0 million and $13.4 million, or 9% of revenue, for each of the three and six months ended September 30, 2009, respectively, compared to $10.5 million and $20.3 million, or 26% and 25% of revenue,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three and six months ended September 30, 2008, respectively. The decreases in fiscal 2009 were driven primarily by the net impact of the factors described above.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Selling, general, and administrative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portion of the SG&amp;A expenditures related to externally funded development contracts has been classified as costs of revenue (rather than as SG&amp;A expenses).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Additionally, a portion of SG&amp;A expenses was offset by cost-sharing funding. Our SG&amp;A expenditures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ind w:left="3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6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2"/>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2"/>
              <w:spacing w:after="0" w:line="126" w:lineRule="exact"/>
              <w:rPr>
                <w:sz w:val="20"/>
                <w:szCs w:val="20"/>
                <w:color w:val="auto"/>
              </w:rPr>
            </w:pPr>
            <w:r>
              <w:rPr>
                <w:rFonts w:ascii="Arial" w:cs="Arial" w:eastAsia="Arial" w:hAnsi="Arial"/>
                <w:sz w:val="13"/>
                <w:szCs w:val="13"/>
                <w:b w:val="1"/>
                <w:bCs w:val="1"/>
                <w:color w:val="auto"/>
                <w:w w:val="89"/>
              </w:rPr>
              <w:t>2008</w:t>
            </w:r>
          </w:p>
        </w:tc>
        <w:tc>
          <w:tcPr>
            <w:tcW w:w="120" w:type="dxa"/>
            <w:vAlign w:val="bottom"/>
          </w:tcPr>
          <w:p>
            <w:pPr>
              <w:spacing w:after="0"/>
              <w:rPr>
                <w:sz w:val="10"/>
                <w:szCs w:val="10"/>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SG&amp;A expenses per Consolidated Statements of Operations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12,712</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8,849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23,597</w:t>
            </w:r>
          </w:p>
        </w:tc>
        <w:tc>
          <w:tcPr>
            <w:tcW w:w="5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17,742</w:t>
            </w: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SG&amp;A expenditures reclassified as costs of revenue</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6"/>
                <w:szCs w:val="16"/>
                <w:color w:val="auto"/>
              </w:rPr>
              <w:t>335</w:t>
            </w:r>
          </w:p>
        </w:tc>
        <w:tc>
          <w:tcPr>
            <w:tcW w:w="16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127</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460</w:t>
            </w:r>
          </w:p>
        </w:tc>
      </w:tr>
      <w:tr>
        <w:trPr>
          <w:trHeight w:val="195"/>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SG&amp;A expenditures offset by cost sharing funding</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538</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w:t>
            </w:r>
          </w:p>
        </w:tc>
      </w:tr>
      <w:tr>
        <w:trPr>
          <w:trHeight w:val="199"/>
        </w:trPr>
        <w:tc>
          <w:tcPr>
            <w:tcW w:w="6520" w:type="dxa"/>
            <w:vAlign w:val="bottom"/>
          </w:tcPr>
          <w:p>
            <w:pPr>
              <w:ind w:left="180"/>
              <w:spacing w:after="0"/>
              <w:rPr>
                <w:sz w:val="20"/>
                <w:szCs w:val="20"/>
                <w:color w:val="auto"/>
              </w:rPr>
            </w:pPr>
            <w:r>
              <w:rPr>
                <w:rFonts w:ascii="Arial" w:cs="Arial" w:eastAsia="Arial" w:hAnsi="Arial"/>
                <w:sz w:val="16"/>
                <w:szCs w:val="16"/>
                <w:color w:val="auto"/>
              </w:rPr>
              <w:t>Aggregated SG&amp;A expenses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12,983</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9,390</w:t>
            </w:r>
          </w:p>
        </w:tc>
        <w:tc>
          <w:tcPr>
            <w:tcW w:w="6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24,262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18,792</w:t>
            </w:r>
          </w:p>
        </w:tc>
        <w:tc>
          <w:tcPr>
            <w:tcW w:w="12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right="20" w:firstLine="317"/>
        <w:spacing w:after="0" w:line="278" w:lineRule="auto"/>
        <w:rPr>
          <w:sz w:val="20"/>
          <w:szCs w:val="20"/>
          <w:color w:val="auto"/>
        </w:rPr>
      </w:pPr>
      <w:r>
        <w:rPr>
          <w:rFonts w:ascii="Arial" w:cs="Arial" w:eastAsia="Arial" w:hAnsi="Arial"/>
          <w:sz w:val="15"/>
          <w:szCs w:val="15"/>
          <w:color w:val="auto"/>
        </w:rPr>
        <w:t>SG&amp;A expenses (exclusive of amounts classified as costs of revenue and amounts offset by cost-sharing funding) increased by 44% and 33% to $12.7 million and $23.6 million, or 17% and 16% of revenue, in the three and six months ended September 30, 2009, respectively, from $8.8 million and $17.7 million, or 22% of revenue, for each of the three and six months ended September 30, 2008, respectively. For the three and six months ended September 30, 2009, the increases in SG&amp;A expenses were due primarily to higher stock-based compensation expense and higher labor and related costs driven by headcount growth, partially offset by a reduction of $0.4 million and $1.1 million, respectively, in bad debt expense as a result of payments received and improved expectations for realizing a recovery on certain past due accounts. For these same reasons, Aggregated SG&amp;A expenses, which include amounts classified as costs of revenue and amounts offset by cost sharing funding, increased 38% and 29% to $13.0 million and $24.3 million, or 17% and 16% of revenue, for the three and six months ended September 30, 2009, respectively, from $9.4 million and $18.8 million, or 23% of revenue, for each of the three and six months ended September 30, 2008, respectively.</w:t>
      </w:r>
    </w:p>
    <w:p>
      <w:pPr>
        <w:spacing w:after="0" w:line="6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acquisition related intangibles</w:t>
      </w:r>
    </w:p>
    <w:p>
      <w:pPr>
        <w:spacing w:after="0" w:line="109" w:lineRule="exact"/>
        <w:rPr>
          <w:sz w:val="20"/>
          <w:szCs w:val="20"/>
          <w:color w:val="auto"/>
        </w:rPr>
      </w:pPr>
    </w:p>
    <w:p>
      <w:pPr>
        <w:jc w:val="both"/>
        <w:ind w:right="20" w:firstLine="223"/>
        <w:spacing w:after="0" w:line="325" w:lineRule="auto"/>
        <w:rPr>
          <w:sz w:val="20"/>
          <w:szCs w:val="20"/>
          <w:color w:val="auto"/>
        </w:rPr>
      </w:pPr>
      <w:r>
        <w:rPr>
          <w:rFonts w:ascii="Arial" w:cs="Arial" w:eastAsia="Arial" w:hAnsi="Arial"/>
          <w:sz w:val="14"/>
          <w:szCs w:val="14"/>
          <w:color w:val="auto"/>
        </w:rPr>
        <w:t>We recorded $0.5 million and $0.9 million in the three and six months ended September 30, 2009, respectively, compared to $0.5 million and $1.0 million in the three and six months ended September 30, 2008, respectively, in amortization expense related to our contractual relationships/backlog, customer relationships, core technology and know-how, trade names and trademark intangible assets. These intangible assets are a result of our AMSC Windtec GmbH and Power Quality Systems, Inc.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and impairments</w:t>
      </w:r>
    </w:p>
    <w:p>
      <w:pPr>
        <w:spacing w:after="0" w:line="109" w:lineRule="exact"/>
        <w:rPr>
          <w:sz w:val="20"/>
          <w:szCs w:val="20"/>
          <w:color w:val="auto"/>
        </w:rPr>
      </w:pPr>
    </w:p>
    <w:p>
      <w:pPr>
        <w:jc w:val="both"/>
        <w:ind w:right="20" w:firstLine="262"/>
        <w:spacing w:after="0" w:line="269" w:lineRule="auto"/>
        <w:rPr>
          <w:sz w:val="20"/>
          <w:szCs w:val="20"/>
          <w:color w:val="auto"/>
        </w:rPr>
      </w:pPr>
      <w:r>
        <w:rPr>
          <w:rFonts w:ascii="Arial" w:cs="Arial" w:eastAsia="Arial" w:hAnsi="Arial"/>
          <w:sz w:val="16"/>
          <w:szCs w:val="16"/>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65" w:lineRule="exact"/>
        <w:rPr>
          <w:sz w:val="20"/>
          <w:szCs w:val="20"/>
          <w:color w:val="auto"/>
        </w:rPr>
      </w:pPr>
    </w:p>
    <w:p>
      <w:pPr>
        <w:jc w:val="both"/>
        <w:ind w:right="20" w:firstLine="274"/>
        <w:spacing w:after="0" w:line="264" w:lineRule="auto"/>
        <w:rPr>
          <w:sz w:val="20"/>
          <w:szCs w:val="20"/>
          <w:color w:val="auto"/>
        </w:rPr>
      </w:pPr>
      <w:r>
        <w:rPr>
          <w:rFonts w:ascii="Arial" w:cs="Arial" w:eastAsia="Arial" w:hAnsi="Arial"/>
          <w:sz w:val="16"/>
          <w:szCs w:val="16"/>
          <w:color w:val="auto"/>
        </w:rPr>
        <w:t>Aggregate restructuring charges associated with the Fiscal 2007 Plan were $7.8 million, of which $0.1 million and $0.5 million was recorded during the three and six months ended September 30, 2009, respectively. In the three and six months ended September 30, 2008, $0.5 million was recorded related to the closure of our Westborough, Massachusetts facility. All restructuring charges associated with the Fiscal 2007 Plan have resulted in cash disbursements and have been completed at the end of the second quarter of the fiscal year ending March 31, 2010.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 (loss)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operating income (loss) is summarized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jc w:val="right"/>
              <w:ind w:right="1119"/>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6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6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3"/>
                <w:szCs w:val="13"/>
                <w:b w:val="1"/>
                <w:bCs w:val="1"/>
                <w:color w:val="auto"/>
              </w:rPr>
              <w:t>2009</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2"/>
              <w:spacing w:after="0" w:line="126" w:lineRule="exact"/>
              <w:rPr>
                <w:sz w:val="20"/>
                <w:szCs w:val="20"/>
                <w:color w:val="auto"/>
              </w:rPr>
            </w:pPr>
            <w:r>
              <w:rPr>
                <w:rFonts w:ascii="Arial" w:cs="Arial" w:eastAsia="Arial" w:hAnsi="Arial"/>
                <w:sz w:val="13"/>
                <w:szCs w:val="13"/>
                <w:b w:val="1"/>
                <w:bCs w:val="1"/>
                <w:color w:val="auto"/>
              </w:rPr>
              <w:t>2008</w:t>
            </w:r>
          </w:p>
        </w:tc>
        <w:tc>
          <w:tcPr>
            <w:tcW w:w="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3"/>
                <w:szCs w:val="13"/>
                <w:b w:val="1"/>
                <w:bCs w:val="1"/>
                <w:color w:val="auto"/>
              </w:rPr>
              <w:t>2009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line="126" w:lineRule="exact"/>
              <w:rPr>
                <w:sz w:val="20"/>
                <w:szCs w:val="20"/>
                <w:color w:val="auto"/>
              </w:rPr>
            </w:pPr>
            <w:r>
              <w:rPr>
                <w:rFonts w:ascii="Arial" w:cs="Arial" w:eastAsia="Arial" w:hAnsi="Arial"/>
                <w:sz w:val="13"/>
                <w:szCs w:val="13"/>
                <w:b w:val="1"/>
                <w:bCs w:val="1"/>
                <w:color w:val="auto"/>
                <w:w w:val="96"/>
              </w:rPr>
              <w:t>2008</w:t>
            </w:r>
          </w:p>
        </w:tc>
        <w:tc>
          <w:tcPr>
            <w:tcW w:w="120" w:type="dxa"/>
            <w:vAlign w:val="bottom"/>
          </w:tcPr>
          <w:p>
            <w:pPr>
              <w:spacing w:after="0"/>
              <w:rPr>
                <w:sz w:val="10"/>
                <w:szCs w:val="10"/>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AMSC Power Systems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19,866</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5,501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35,261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98"/>
              </w:rPr>
              <w:t>10,379</w:t>
            </w:r>
          </w:p>
        </w:tc>
      </w:tr>
      <w:tr>
        <w:trPr>
          <w:trHeight w:val="195"/>
        </w:trPr>
        <w:tc>
          <w:tcPr>
            <w:tcW w:w="6520" w:type="dxa"/>
            <w:vAlign w:val="bottom"/>
          </w:tcPr>
          <w:p>
            <w:pPr>
              <w:spacing w:after="0"/>
              <w:rPr>
                <w:sz w:val="20"/>
                <w:szCs w:val="20"/>
                <w:color w:val="auto"/>
              </w:rPr>
            </w:pPr>
            <w:r>
              <w:rPr>
                <w:rFonts w:ascii="Arial" w:cs="Arial" w:eastAsia="Arial" w:hAnsi="Arial"/>
                <w:sz w:val="16"/>
                <w:szCs w:val="16"/>
                <w:color w:val="auto"/>
              </w:rPr>
              <w:t>AMSC Superconductors</w:t>
            </w:r>
          </w:p>
        </w:tc>
        <w:tc>
          <w:tcPr>
            <w:tcW w:w="160" w:type="dxa"/>
            <w:vAlign w:val="bottom"/>
          </w:tcPr>
          <w:p>
            <w:pPr>
              <w:spacing w:after="0"/>
              <w:rPr>
                <w:sz w:val="16"/>
                <w:szCs w:val="16"/>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6"/>
                <w:szCs w:val="16"/>
                <w:color w:val="auto"/>
              </w:rPr>
              <w:t>(5,647)</w:t>
            </w:r>
          </w:p>
        </w:tc>
        <w:tc>
          <w:tcPr>
            <w:tcW w:w="140" w:type="dxa"/>
            <w:vAlign w:val="bottom"/>
          </w:tcPr>
          <w:p>
            <w:pPr>
              <w:spacing w:after="0"/>
              <w:rPr>
                <w:sz w:val="16"/>
                <w:szCs w:val="16"/>
                <w:color w:val="auto"/>
              </w:rPr>
            </w:pPr>
          </w:p>
        </w:tc>
        <w:tc>
          <w:tcPr>
            <w:tcW w:w="1240" w:type="dxa"/>
            <w:vAlign w:val="bottom"/>
            <w:gridSpan w:val="2"/>
          </w:tcPr>
          <w:p>
            <w:pPr>
              <w:jc w:val="right"/>
              <w:ind w:right="599"/>
              <w:spacing w:after="0"/>
              <w:rPr>
                <w:sz w:val="20"/>
                <w:szCs w:val="20"/>
                <w:color w:val="auto"/>
              </w:rPr>
            </w:pPr>
            <w:r>
              <w:rPr>
                <w:rFonts w:ascii="Arial" w:cs="Arial" w:eastAsia="Arial" w:hAnsi="Arial"/>
                <w:sz w:val="16"/>
                <w:szCs w:val="16"/>
                <w:color w:val="auto"/>
              </w:rPr>
              <w:t>(5,892)</w:t>
            </w:r>
          </w:p>
        </w:tc>
        <w:tc>
          <w:tcPr>
            <w:tcW w:w="1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(11,144)</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0"/>
              </w:rPr>
              <w:t>(11,001)</w:t>
            </w:r>
          </w:p>
        </w:tc>
      </w:tr>
      <w:tr>
        <w:trPr>
          <w:trHeight w:val="195"/>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Unallocated corporate expenses</w:t>
            </w:r>
          </w:p>
        </w:tc>
        <w:tc>
          <w:tcPr>
            <w:tcW w:w="1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(3,889)</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(3,422)</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(7,396)</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(5,879)</w:t>
            </w:r>
          </w:p>
        </w:tc>
      </w:tr>
      <w:tr>
        <w:trPr>
          <w:trHeight w:val="199"/>
        </w:trPr>
        <w:tc>
          <w:tcPr>
            <w:tcW w:w="652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10,330</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680" w:type="dxa"/>
            <w:vAlign w:val="bottom"/>
          </w:tcPr>
          <w:p>
            <w:pPr>
              <w:jc w:val="right"/>
              <w:ind w:right="5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16,721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right="20" w:firstLine="338"/>
        <w:spacing w:after="0" w:line="269" w:lineRule="auto"/>
        <w:rPr>
          <w:sz w:val="20"/>
          <w:szCs w:val="20"/>
          <w:color w:val="auto"/>
        </w:rPr>
      </w:pPr>
      <w:r>
        <w:rPr>
          <w:rFonts w:ascii="Arial" w:cs="Arial" w:eastAsia="Arial" w:hAnsi="Arial"/>
          <w:sz w:val="16"/>
          <w:szCs w:val="16"/>
          <w:color w:val="auto"/>
        </w:rPr>
        <w:t>AMSC Power Systems operating income increased to $19.9 million and $35.3 million in the three and six months ended September 30, 2009, respectively, from $5.5 million and $10.4 million in the three and six months ended September 30, 2008, respectively. The increase in the three and six months ended September 30, 2009 was primarily the result of higher sales and margins, as described above.</w:t>
      </w:r>
    </w:p>
    <w:p>
      <w:pPr>
        <w:spacing w:after="0" w:line="65" w:lineRule="exact"/>
        <w:rPr>
          <w:sz w:val="20"/>
          <w:szCs w:val="20"/>
          <w:color w:val="auto"/>
        </w:rPr>
      </w:pPr>
    </w:p>
    <w:p>
      <w:pPr>
        <w:jc w:val="both"/>
        <w:ind w:right="20" w:firstLine="203"/>
        <w:spacing w:after="0" w:line="313" w:lineRule="auto"/>
        <w:rPr>
          <w:sz w:val="20"/>
          <w:szCs w:val="20"/>
          <w:color w:val="auto"/>
        </w:rPr>
      </w:pPr>
      <w:r>
        <w:rPr>
          <w:rFonts w:ascii="Arial" w:cs="Arial" w:eastAsia="Arial" w:hAnsi="Arial"/>
          <w:sz w:val="14"/>
          <w:szCs w:val="14"/>
          <w:color w:val="auto"/>
        </w:rPr>
        <w:t>AMSC Superconductors operating loss decreased to $5.6 million from $5.9 million for the three months ended September 30, 2009 and 2008, respectively, and increased to $11.1 million from $11.0 million in the six months ended September 30, 2009 and 2008, respectively. The decrease in operating loss for the three months ended September 30, 2009 is primarily due to lower subcontractor costs compared to the same quarter in the previous fiscal year. The slight increase in operating loss for the six months ended September 30, 2009 is primarily a result of lower revenue offset by reduced subcontractor costs compared to the six months ended September 30, 2008.</w:t>
      </w:r>
    </w:p>
    <w:p>
      <w:pPr>
        <w:spacing w:after="0" w:line="39" w:lineRule="exact"/>
        <w:rPr>
          <w:sz w:val="20"/>
          <w:szCs w:val="20"/>
          <w:color w:val="auto"/>
        </w:rPr>
      </w:pPr>
    </w:p>
    <w:p>
      <w:pPr>
        <w:jc w:val="both"/>
        <w:ind w:right="20" w:firstLine="312"/>
        <w:spacing w:after="0" w:line="284" w:lineRule="auto"/>
        <w:rPr>
          <w:sz w:val="20"/>
          <w:szCs w:val="20"/>
          <w:color w:val="auto"/>
        </w:rPr>
      </w:pPr>
      <w:r>
        <w:rPr>
          <w:rFonts w:ascii="Arial" w:cs="Arial" w:eastAsia="Arial" w:hAnsi="Arial"/>
          <w:sz w:val="16"/>
          <w:szCs w:val="16"/>
          <w:color w:val="auto"/>
        </w:rPr>
        <w:t>Unallocated corporate expenses include stock-based compensation expense of $3.9 million and $6.9 million in the three and six months ended September 30, 2009, respectively, compared to $2.9 million and $5.2 million in the three and six months ended September 30, 2008,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Non-operating expenses/Interest income</w:t>
      </w:r>
    </w:p>
    <w:p>
      <w:pPr>
        <w:spacing w:after="0" w:line="109" w:lineRule="exact"/>
        <w:rPr>
          <w:sz w:val="20"/>
          <w:szCs w:val="20"/>
          <w:color w:val="auto"/>
        </w:rPr>
      </w:pPr>
    </w:p>
    <w:p>
      <w:pPr>
        <w:jc w:val="both"/>
        <w:ind w:right="20" w:firstLine="241"/>
        <w:spacing w:after="0" w:line="319" w:lineRule="auto"/>
        <w:rPr>
          <w:sz w:val="20"/>
          <w:szCs w:val="20"/>
          <w:color w:val="auto"/>
        </w:rPr>
      </w:pPr>
      <w:r>
        <w:rPr>
          <w:rFonts w:ascii="Arial" w:cs="Arial" w:eastAsia="Arial" w:hAnsi="Arial"/>
          <w:sz w:val="15"/>
          <w:szCs w:val="15"/>
          <w:color w:val="auto"/>
        </w:rPr>
        <w:t>Interest income decreased to $0.2 million and $0.4 million in the three and six months ended September 30, 2009, respectively, from $0.8 million and $1.6 million in the same periods of fiscal 2008, primarily due to lower interest rates, as we are investing in more conservative assets due to the current economic environment.</w:t>
      </w:r>
    </w:p>
    <w:p>
      <w:pPr>
        <w:spacing w:after="0" w:line="30" w:lineRule="exact"/>
        <w:rPr>
          <w:sz w:val="20"/>
          <w:szCs w:val="20"/>
          <w:color w:val="auto"/>
        </w:rPr>
      </w:pPr>
    </w:p>
    <w:p>
      <w:pPr>
        <w:jc w:val="both"/>
        <w:ind w:firstLine="260"/>
        <w:spacing w:after="0" w:line="283" w:lineRule="auto"/>
        <w:rPr>
          <w:sz w:val="20"/>
          <w:szCs w:val="20"/>
          <w:color w:val="auto"/>
        </w:rPr>
      </w:pPr>
      <w:r>
        <w:rPr>
          <w:rFonts w:ascii="Arial" w:cs="Arial" w:eastAsia="Arial" w:hAnsi="Arial"/>
          <w:sz w:val="15"/>
          <w:szCs w:val="15"/>
          <w:color w:val="auto"/>
        </w:rPr>
        <w:t>Other income/(expense), net, was expense of $0.9 million and $2.8 million in the three and six months ended September 30, 2009, respectively, compared to income of $0.5 million and expense of $2.0 million for the three and six months ended September 30, 2008, respectively. Other expense, net, for the three and six months ended September 30, 2009 primarily relates to net foreign currency translation losses and net realized and unrealized gains and losses on hedging contracts. Other expense, net, for the second quarter of fiscal 2008 included a $1.1 million gain for the mark-to-market adjustments on the exercise of an outstanding warrant. Amounts charged to expense from mark-to-market adjustments on the warrant were $1.3 million in the six months ended September 30, 2008.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09" w:lineRule="exact"/>
        <w:rPr>
          <w:sz w:val="20"/>
          <w:szCs w:val="20"/>
          <w:color w:val="auto"/>
        </w:rPr>
      </w:pPr>
    </w:p>
    <w:p>
      <w:pPr>
        <w:jc w:val="both"/>
        <w:ind w:right="20" w:firstLine="284"/>
        <w:spacing w:after="0" w:line="295" w:lineRule="auto"/>
        <w:rPr>
          <w:sz w:val="20"/>
          <w:szCs w:val="20"/>
          <w:color w:val="auto"/>
        </w:rPr>
      </w:pPr>
      <w:r>
        <w:rPr>
          <w:rFonts w:ascii="Arial" w:cs="Arial" w:eastAsia="Arial" w:hAnsi="Arial"/>
          <w:sz w:val="15"/>
          <w:szCs w:val="15"/>
          <w:color w:val="auto"/>
        </w:rPr>
        <w:t>In the three and six months ended September 30, 2009, we recorded income tax expense of $5.3 million and $8.2 million, respectively, compared to $1.5 million and $3.3 million in the three and six months ended September 30, 2008, respectively. Income tax expense in all periods was driven primarily by income generated in foreign jurisdictions. We incurred losses in the U.S. during the three and six months of fiscal 2009 and 2008, and in China during the first quarter of fiscal 2008.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jc w:val="both"/>
        <w:ind w:right="20" w:firstLine="278"/>
        <w:spacing w:after="0" w:line="284" w:lineRule="auto"/>
        <w:rPr>
          <w:sz w:val="20"/>
          <w:szCs w:val="20"/>
          <w:color w:val="auto"/>
        </w:rPr>
      </w:pPr>
      <w:r>
        <w:rPr>
          <w:rFonts w:ascii="Arial" w:cs="Arial" w:eastAsia="Arial" w:hAnsi="Arial"/>
          <w:sz w:val="16"/>
          <w:szCs w:val="16"/>
          <w:color w:val="auto"/>
        </w:rPr>
        <w:t>At September 30, 2009, we had cash, cash equivalents, marketable securities and restricted cash of $141.1 million compared to $117.2 million at March 31, 2009, an increase of $23.9 million. Our cash and cash equivalents, marketable securities and restricted cash are summarized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8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March 31,</w:t>
            </w:r>
          </w:p>
        </w:tc>
      </w:tr>
      <w:tr>
        <w:trPr>
          <w:trHeight w:val="154"/>
        </w:trPr>
        <w:tc>
          <w:tcPr>
            <w:tcW w:w="9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3"/>
                <w:szCs w:val="13"/>
                <w:color w:val="auto"/>
              </w:rPr>
            </w:pPr>
          </w:p>
        </w:tc>
      </w:tr>
      <w:tr>
        <w:trPr>
          <w:trHeight w:val="187"/>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86,752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70,674</w:t>
            </w:r>
          </w:p>
        </w:tc>
      </w:tr>
      <w:tr>
        <w:trPr>
          <w:trHeight w:val="195"/>
        </w:trPr>
        <w:tc>
          <w:tcPr>
            <w:tcW w:w="9180" w:type="dxa"/>
            <w:vAlign w:val="bottom"/>
          </w:tcPr>
          <w:p>
            <w:pPr>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46,304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39,255</w:t>
            </w:r>
          </w:p>
        </w:tc>
      </w:tr>
      <w:tr>
        <w:trPr>
          <w:trHeight w:val="195"/>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7,278</w:t>
            </w:r>
          </w:p>
        </w:tc>
      </w:tr>
      <w:tr>
        <w:trPr>
          <w:trHeight w:val="199"/>
        </w:trPr>
        <w:tc>
          <w:tcPr>
            <w:tcW w:w="9180" w:type="dxa"/>
            <w:vAlign w:val="bottom"/>
          </w:tcPr>
          <w:p>
            <w:pPr>
              <w:ind w:left="180"/>
              <w:spacing w:after="0"/>
              <w:rPr>
                <w:sz w:val="20"/>
                <w:szCs w:val="20"/>
                <w:color w:val="auto"/>
              </w:rPr>
            </w:pPr>
            <w:r>
              <w:rPr>
                <w:rFonts w:ascii="Arial" w:cs="Arial" w:eastAsia="Arial" w:hAnsi="Arial"/>
                <w:sz w:val="16"/>
                <w:szCs w:val="16"/>
                <w:color w:val="auto"/>
              </w:rPr>
              <w:t>Total cash, cash equivalents, marketable securities and restricted cash</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141,088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117,207</w:t>
            </w:r>
          </w:p>
        </w:tc>
        <w:tc>
          <w:tcPr>
            <w:tcW w:w="120" w:type="dxa"/>
            <w:vAlign w:val="bottom"/>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right="20" w:firstLine="204"/>
        <w:spacing w:after="0" w:line="284" w:lineRule="auto"/>
        <w:rPr>
          <w:sz w:val="20"/>
          <w:szCs w:val="20"/>
          <w:color w:val="auto"/>
        </w:rPr>
      </w:pPr>
      <w:r>
        <w:rPr>
          <w:rFonts w:ascii="Arial" w:cs="Arial" w:eastAsia="Arial" w:hAnsi="Arial"/>
          <w:sz w:val="16"/>
          <w:szCs w:val="16"/>
          <w:color w:val="auto"/>
        </w:rPr>
        <w:t>The increase in cash and cash equivalents, marketable securities and restricted cash at September 30, 2009 from March 31, 2009 was primarily due to a greater collection of receivables, primarily for collections from large shipments close to the end of the first quarter.</w:t>
      </w:r>
    </w:p>
    <w:p>
      <w:pPr>
        <w:spacing w:after="0" w:line="53" w:lineRule="exact"/>
        <w:rPr>
          <w:sz w:val="20"/>
          <w:szCs w:val="20"/>
          <w:color w:val="auto"/>
        </w:rPr>
      </w:pPr>
    </w:p>
    <w:p>
      <w:pPr>
        <w:jc w:val="both"/>
        <w:ind w:right="20" w:firstLine="305"/>
        <w:spacing w:after="0" w:line="269" w:lineRule="auto"/>
        <w:rPr>
          <w:sz w:val="20"/>
          <w:szCs w:val="20"/>
          <w:color w:val="auto"/>
        </w:rPr>
      </w:pPr>
      <w:r>
        <w:rPr>
          <w:rFonts w:ascii="Arial" w:cs="Arial" w:eastAsia="Arial" w:hAnsi="Arial"/>
          <w:sz w:val="16"/>
          <w:szCs w:val="16"/>
          <w:color w:val="auto"/>
        </w:rPr>
        <w:t>For the six months ended September 30, 2009, net cash provided by operating activities was $21.7 million compared to net cash provided by operating activities of $3.5 million in the six months ended September 30, 2008. The increase in cash provided by operations is due primarily to increases in net income of $16.3 million and cash generated from working capital of $3.5 million, due primarily to reduced inventories.</w:t>
      </w:r>
    </w:p>
    <w:p>
      <w:pPr>
        <w:spacing w:after="0" w:line="65" w:lineRule="exact"/>
        <w:rPr>
          <w:sz w:val="20"/>
          <w:szCs w:val="20"/>
          <w:color w:val="auto"/>
        </w:rPr>
      </w:pPr>
    </w:p>
    <w:p>
      <w:pPr>
        <w:jc w:val="both"/>
        <w:ind w:right="20" w:firstLine="253"/>
        <w:spacing w:after="0" w:line="319" w:lineRule="auto"/>
        <w:rPr>
          <w:sz w:val="20"/>
          <w:szCs w:val="20"/>
          <w:color w:val="auto"/>
        </w:rPr>
      </w:pPr>
      <w:r>
        <w:rPr>
          <w:rFonts w:ascii="Arial" w:cs="Arial" w:eastAsia="Arial" w:hAnsi="Arial"/>
          <w:sz w:val="15"/>
          <w:szCs w:val="15"/>
          <w:color w:val="auto"/>
        </w:rPr>
        <w:t>For the six months ended September 30, 2009, net cash used in investing activities was $11.9 million compared to $25.8 million in the six months ended September 30, 2008. The decrease in cash used in investing activities was driven primarily by a net reduction in marketable securities during the first six months of fiscal 2009.</w:t>
      </w:r>
    </w:p>
    <w:p>
      <w:pPr>
        <w:spacing w:after="0" w:line="30" w:lineRule="exact"/>
        <w:rPr>
          <w:sz w:val="20"/>
          <w:szCs w:val="20"/>
          <w:color w:val="auto"/>
        </w:rPr>
      </w:pPr>
    </w:p>
    <w:p>
      <w:pPr>
        <w:jc w:val="both"/>
        <w:ind w:right="20" w:firstLine="259"/>
        <w:spacing w:after="0" w:line="284" w:lineRule="auto"/>
        <w:rPr>
          <w:sz w:val="20"/>
          <w:szCs w:val="20"/>
          <w:color w:val="auto"/>
        </w:rPr>
      </w:pPr>
      <w:r>
        <w:rPr>
          <w:rFonts w:ascii="Arial" w:cs="Arial" w:eastAsia="Arial" w:hAnsi="Arial"/>
          <w:sz w:val="16"/>
          <w:szCs w:val="16"/>
          <w:color w:val="auto"/>
        </w:rPr>
        <w:t>For the six months ended September 30, 2009, cash provided by financing activities was $4.1 million compared to $12.0 million in the same period of fiscal 2008. The decrease was due to a reduction in proceeds from the exercise of employee stock options.</w:t>
      </w:r>
    </w:p>
    <w:p>
      <w:pPr>
        <w:spacing w:after="0" w:line="53" w:lineRule="exact"/>
        <w:rPr>
          <w:sz w:val="20"/>
          <w:szCs w:val="20"/>
          <w:color w:val="auto"/>
        </w:rPr>
      </w:pPr>
    </w:p>
    <w:p>
      <w:pPr>
        <w:jc w:val="both"/>
        <w:ind w:right="20" w:firstLine="334"/>
        <w:spacing w:after="0" w:line="269" w:lineRule="auto"/>
        <w:rPr>
          <w:sz w:val="20"/>
          <w:szCs w:val="20"/>
          <w:color w:val="auto"/>
        </w:rPr>
      </w:pPr>
      <w:r>
        <w:rPr>
          <w:rFonts w:ascii="Arial" w:cs="Arial" w:eastAsia="Arial" w:hAnsi="Arial"/>
          <w:sz w:val="16"/>
          <w:szCs w:val="16"/>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at least the next twelve months.</w:t>
      </w:r>
    </w:p>
    <w:p>
      <w:pPr>
        <w:spacing w:after="0" w:line="65" w:lineRule="exact"/>
        <w:rPr>
          <w:sz w:val="20"/>
          <w:szCs w:val="20"/>
          <w:color w:val="auto"/>
        </w:rPr>
      </w:pPr>
    </w:p>
    <w:p>
      <w:pPr>
        <w:jc w:val="both"/>
        <w:ind w:firstLine="331"/>
        <w:spacing w:after="0" w:line="284" w:lineRule="auto"/>
        <w:rPr>
          <w:sz w:val="20"/>
          <w:szCs w:val="20"/>
          <w:color w:val="auto"/>
        </w:rPr>
      </w:pPr>
      <w:r>
        <w:rPr>
          <w:rFonts w:ascii="Arial" w:cs="Arial" w:eastAsia="Arial" w:hAnsi="Arial"/>
          <w:sz w:val="16"/>
          <w:szCs w:val="16"/>
          <w:color w:val="auto"/>
        </w:rPr>
        <w:t>We also have unused, unsecured lines of credit of €0.5 million (approximately $0.7 million), which is available until September 30, 2010, and CNY 17.8 million (approximately $2.6 million) which is available until June 30, 2012.</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possibility exists that we may pursue additional acquisition and joint venture opportunities in the future that may affect liquidity and capital resource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09" w:lineRule="exact"/>
        <w:rPr>
          <w:sz w:val="20"/>
          <w:szCs w:val="20"/>
          <w:color w:val="auto"/>
        </w:rPr>
      </w:pPr>
    </w:p>
    <w:p>
      <w:pPr>
        <w:jc w:val="both"/>
        <w:ind w:right="20" w:firstLine="202"/>
        <w:spacing w:after="0" w:line="269" w:lineRule="auto"/>
        <w:rPr>
          <w:sz w:val="20"/>
          <w:szCs w:val="20"/>
          <w:color w:val="auto"/>
        </w:rPr>
      </w:pPr>
      <w:r>
        <w:rPr>
          <w:rFonts w:ascii="Arial" w:cs="Arial" w:eastAsia="Arial" w:hAnsi="Arial"/>
          <w:sz w:val="16"/>
          <w:szCs w:val="16"/>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65" w:lineRule="exact"/>
        <w:rPr>
          <w:sz w:val="20"/>
          <w:szCs w:val="20"/>
          <w:color w:val="auto"/>
        </w:rPr>
      </w:pPr>
    </w:p>
    <w:p>
      <w:pPr>
        <w:jc w:val="both"/>
        <w:ind w:right="20" w:firstLine="232"/>
        <w:spacing w:after="0" w:line="269" w:lineRule="auto"/>
        <w:rPr>
          <w:sz w:val="20"/>
          <w:szCs w:val="20"/>
          <w:color w:val="auto"/>
        </w:rPr>
      </w:pPr>
      <w:r>
        <w:rPr>
          <w:rFonts w:ascii="Arial" w:cs="Arial" w:eastAsia="Arial" w:hAnsi="Arial"/>
          <w:sz w:val="16"/>
          <w:szCs w:val="16"/>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September 30, 2009, there were no recorded performance-based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09" w:lineRule="exact"/>
        <w:rPr>
          <w:sz w:val="20"/>
          <w:szCs w:val="20"/>
          <w:color w:val="auto"/>
        </w:rPr>
      </w:pPr>
    </w:p>
    <w:p>
      <w:pPr>
        <w:jc w:val="both"/>
        <w:ind w:right="20" w:firstLine="242"/>
        <w:spacing w:after="0" w:line="260" w:lineRule="auto"/>
        <w:rPr>
          <w:sz w:val="20"/>
          <w:szCs w:val="20"/>
          <w:color w:val="auto"/>
        </w:rPr>
      </w:pPr>
      <w:r>
        <w:rPr>
          <w:rFonts w:ascii="Arial" w:cs="Arial" w:eastAsia="Arial" w:hAnsi="Arial"/>
          <w:sz w:val="16"/>
          <w:szCs w:val="16"/>
          <w:color w:val="auto"/>
        </w:rPr>
        <w:t>In June 2008, the Financial Accounting Standards Boards (“FASB”) issued guidance in determining whether instruments granted in share-based payment transactions are participating securities for purposes of calculating earnings per share. Under the provisions of this standard, unvested awards of share-based payments with non-forfeitable rights to receive dividends or dividend equivalents are considered participating securities for purposes of calculating earnings per share. This accounting standard is effective for financial statements issued for fiscal years beginning after December 15, 2008, and interim periods within those years. We adopted this standard on April 1, 2009. The adoption required us to modify its prior year weighted average number of shares outstanding but did not have a material effect on our financial condition or results of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jc w:val="both"/>
        <w:ind w:firstLine="203"/>
        <w:spacing w:after="0" w:line="279" w:lineRule="auto"/>
        <w:rPr>
          <w:sz w:val="20"/>
          <w:szCs w:val="20"/>
          <w:color w:val="auto"/>
        </w:rPr>
      </w:pPr>
      <w:r>
        <w:rPr>
          <w:rFonts w:ascii="Arial" w:cs="Arial" w:eastAsia="Arial" w:hAnsi="Arial"/>
          <w:sz w:val="15"/>
          <w:szCs w:val="15"/>
          <w:color w:val="auto"/>
        </w:rPr>
        <w:t>In April 2009, the FASB issued a standard which amends and clarifies a previous standard for business combinations, to address application issues on initial recognition and measurement, subsequent measurement and accounting, and disclosure of assets and liabilities arising from contingencies in a business combination. Under this standard, an acquirer is required to recognize at fair value an asset acquired or liability assumed in a business combination that arises from a contingency if the acquisition date fair value can be determined during the measurement period. If the acquisition date fair value cannot be determined, the acquirer applies the recognition criteria in accounting for contingencies, and a reasonable estimation of the amount of a loss, to determine whether the contingency should be recognized as of the acquisition date or after it. The adoption of this standard could materially change the accounting for business combinations consummated subsequent to its effective date of April 1, 2009. On April 1, 2009, we adopted the provisions of this standard and the results of adoption did not have a material effect on our financial condition or results of operations.</w:t>
      </w:r>
    </w:p>
    <w:p>
      <w:pPr>
        <w:spacing w:after="0" w:line="61" w:lineRule="exact"/>
        <w:rPr>
          <w:sz w:val="20"/>
          <w:szCs w:val="20"/>
          <w:color w:val="auto"/>
        </w:rPr>
      </w:pPr>
    </w:p>
    <w:p>
      <w:pPr>
        <w:jc w:val="both"/>
        <w:ind w:firstLine="233"/>
        <w:spacing w:after="0" w:line="269" w:lineRule="auto"/>
        <w:rPr>
          <w:sz w:val="20"/>
          <w:szCs w:val="20"/>
          <w:color w:val="auto"/>
        </w:rPr>
      </w:pPr>
      <w:r>
        <w:rPr>
          <w:rFonts w:ascii="Arial" w:cs="Arial" w:eastAsia="Arial" w:hAnsi="Arial"/>
          <w:sz w:val="16"/>
          <w:szCs w:val="16"/>
          <w:color w:val="auto"/>
        </w:rPr>
        <w:t>In June 2009, the FASB issued the FASB Accounting Standards Codification (“Codification”). The Codification will become the single source for all authoritative GAAP recognized by the FASB to be applied for financial statements issued for periods ending after September 15, 2009. The Codification does not change GAAP and will not have an effect on our financial condition or results of operations.</w:t>
      </w:r>
    </w:p>
    <w:p>
      <w:pPr>
        <w:spacing w:after="0" w:line="6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6"/>
          <w:szCs w:val="16"/>
          <w:color w:val="auto"/>
        </w:rPr>
        <w:t>In July 2009, the FASB issued new guidance for all U.S. GAAP financial statements for public and private companies, which significantly amends the existing consolidation accounting model for variable interest entities, and includes extensive new disclosure requirements. This new guidance is effective for fiscal years (and interim periods in those fiscal years) beginning after November 15, 2009. We do not currently have a variable interest entity and do not expect this standard to have a material impact on our financial condition or results of operations.</w:t>
      </w:r>
    </w:p>
    <w:p>
      <w:pPr>
        <w:spacing w:after="0" w:line="69" w:lineRule="exact"/>
        <w:rPr>
          <w:sz w:val="20"/>
          <w:szCs w:val="20"/>
          <w:color w:val="auto"/>
        </w:rPr>
      </w:pPr>
    </w:p>
    <w:p>
      <w:pPr>
        <w:jc w:val="both"/>
        <w:ind w:firstLine="277"/>
        <w:spacing w:after="0" w:line="283" w:lineRule="auto"/>
        <w:rPr>
          <w:sz w:val="20"/>
          <w:szCs w:val="20"/>
          <w:color w:val="auto"/>
        </w:rPr>
      </w:pPr>
      <w:r>
        <w:rPr>
          <w:rFonts w:ascii="Arial" w:cs="Arial" w:eastAsia="Arial" w:hAnsi="Arial"/>
          <w:sz w:val="15"/>
          <w:szCs w:val="15"/>
          <w:color w:val="auto"/>
        </w:rPr>
        <w:t>In September 2009, the Emerging Issues Task Force issued new rules pertaining to the accounting for revenue arrangements with multiple deliverables. The new rules provide an alternative method for establishing fair value of a deliverable when vendor specific objective evidence cannot be determined. The guidance provides for the determination of the best estimate of selling price of separate deliverables and allows the allocation of arrangement consideration using this relative selling price model. The guidance supersedes the prior multiple element revenue arrangement accounting rules that are currently used by us. The new guidance can be prospectively applied beginning January 1, 2011 or can be early or retrospectively adopted. We are currently evaluating the impact of adopting the guidance.</w:t>
      </w:r>
    </w:p>
    <w:p>
      <w:pPr>
        <w:spacing w:after="0" w:line="57" w:lineRule="exact"/>
        <w:rPr>
          <w:sz w:val="20"/>
          <w:szCs w:val="20"/>
          <w:color w:val="auto"/>
        </w:rPr>
      </w:pPr>
    </w:p>
    <w:p>
      <w:pPr>
        <w:jc w:val="both"/>
        <w:ind w:firstLine="271"/>
        <w:spacing w:after="0" w:line="264" w:lineRule="auto"/>
        <w:rPr>
          <w:sz w:val="20"/>
          <w:szCs w:val="20"/>
          <w:color w:val="auto"/>
        </w:rPr>
      </w:pPr>
      <w:r>
        <w:rPr>
          <w:rFonts w:ascii="Arial" w:cs="Arial" w:eastAsia="Arial" w:hAnsi="Arial"/>
          <w:sz w:val="16"/>
          <w:szCs w:val="16"/>
          <w:color w:val="auto"/>
        </w:rPr>
        <w:t>In September 2009, the FASB amended its rules pertaining to certain revenue arrangements that include software elements, to remove from its scope tangible products containing software components and non-software components that function together to deliver the product’s essential functionality. The accounting change is effective for fiscal years beginning on or after June 15, 2010, with early adoption permitted. Adoption may either be on a prospective basis or by retrospective application. We are currently evaluating the impact of adopting the guidance.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jc w:val="both"/>
        <w:ind w:right="20" w:firstLine="253"/>
        <w:spacing w:after="0" w:line="284"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109" w:lineRule="exact"/>
        <w:rPr>
          <w:sz w:val="20"/>
          <w:szCs w:val="20"/>
          <w:color w:val="auto"/>
        </w:rPr>
      </w:pPr>
    </w:p>
    <w:p>
      <w:pPr>
        <w:jc w:val="both"/>
        <w:ind w:firstLine="228"/>
        <w:spacing w:after="0" w:line="262" w:lineRule="auto"/>
        <w:rPr>
          <w:sz w:val="20"/>
          <w:szCs w:val="20"/>
          <w:color w:val="auto"/>
        </w:rPr>
      </w:pPr>
      <w:r>
        <w:rPr>
          <w:rFonts w:ascii="Arial" w:cs="Arial" w:eastAsia="Arial" w:hAnsi="Arial"/>
          <w:sz w:val="16"/>
          <w:szCs w:val="16"/>
          <w:color w:val="auto"/>
        </w:rPr>
        <w:t>Our exposure to market risk through financial instruments, such as investments in marketable securities, is limited to interest rate risk and is not material. Our investments in marketable securities consist primarily of corporate debt instruments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109" w:lineRule="exact"/>
        <w:rPr>
          <w:sz w:val="20"/>
          <w:szCs w:val="20"/>
          <w:color w:val="auto"/>
        </w:rPr>
      </w:pPr>
    </w:p>
    <w:p>
      <w:pPr>
        <w:jc w:val="both"/>
        <w:ind w:right="20" w:firstLine="209"/>
        <w:spacing w:after="0" w:line="269" w:lineRule="auto"/>
        <w:rPr>
          <w:sz w:val="20"/>
          <w:szCs w:val="20"/>
          <w:color w:val="auto"/>
        </w:rPr>
      </w:pPr>
      <w:r>
        <w:rPr>
          <w:rFonts w:ascii="Arial" w:cs="Arial" w:eastAsia="Arial" w:hAnsi="Arial"/>
          <w:sz w:val="16"/>
          <w:szCs w:val="16"/>
          <w:color w:val="auto"/>
        </w:rPr>
        <w:t>Our earnings and cash flows are subject to fluctuations due to changes in foreign currency exchange rates. Our most significant foreign currency exposures relate to Austria and China. We enter into various hedging transactions to manage this risk. We do not enter into or hold foreign currency derivative financial instruments for trading or speculative purposes.</w:t>
      </w:r>
    </w:p>
    <w:p>
      <w:pPr>
        <w:spacing w:after="0" w:line="65" w:lineRule="exact"/>
        <w:rPr>
          <w:sz w:val="20"/>
          <w:szCs w:val="20"/>
          <w:color w:val="auto"/>
        </w:rPr>
      </w:pPr>
    </w:p>
    <w:p>
      <w:pPr>
        <w:jc w:val="both"/>
        <w:ind w:right="20" w:firstLine="213"/>
        <w:spacing w:after="0" w:line="260" w:lineRule="auto"/>
        <w:rPr>
          <w:sz w:val="20"/>
          <w:szCs w:val="20"/>
          <w:color w:val="auto"/>
        </w:rPr>
      </w:pPr>
      <w:r>
        <w:rPr>
          <w:rFonts w:ascii="Arial" w:cs="Arial" w:eastAsia="Arial" w:hAnsi="Arial"/>
          <w:sz w:val="16"/>
          <w:szCs w:val="16"/>
          <w:color w:val="auto"/>
        </w:rPr>
        <w:t>The functional currency of all our foreign entities is the U.S. dollar, except for our wholly-owned Austrian subsidiary, AMSC Windtec GmbH, for which the local currency (Euro) is the functional currency, and our wholly-owned Chinese subsidiary, Suzhou AMSC Super Conductor Co., Ltd., for which the local currency (renminbi) is the functional currency. We monitor foreign currency exposures and hedge currency risk when deemed appropriate. Cumulative translation adjustments are excluded from net loss and reported as a separate component of stockholders’ equity. Foreign currency transaction and translation losses were $3.0 million for the six months ended September 30, 2009. Future operating results could be impacted by material foreign currency fluctuations. In the future, should foreign currency fluctuations become material, management will review options to limit the financial impact to our operations.</w:t>
      </w:r>
    </w:p>
    <w:p>
      <w:pPr>
        <w:spacing w:after="0" w:line="73" w:lineRule="exact"/>
        <w:rPr>
          <w:sz w:val="20"/>
          <w:szCs w:val="20"/>
          <w:color w:val="auto"/>
        </w:rPr>
      </w:pPr>
    </w:p>
    <w:p>
      <w:pPr>
        <w:jc w:val="both"/>
        <w:ind w:right="20" w:firstLine="299"/>
        <w:spacing w:after="0" w:line="283" w:lineRule="auto"/>
        <w:rPr>
          <w:sz w:val="20"/>
          <w:szCs w:val="20"/>
          <w:color w:val="auto"/>
        </w:rPr>
      </w:pPr>
      <w:r>
        <w:rPr>
          <w:rFonts w:ascii="Arial" w:cs="Arial" w:eastAsia="Arial" w:hAnsi="Arial"/>
          <w:sz w:val="15"/>
          <w:szCs w:val="15"/>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currency options to manage the foreign currency exposures that exist as part of our ongoing business operations. The contracts primarily are denominated in Euros and have maturities of less than three months. On September 30, 2009, we had a contract outstanding to hedge the Company’s wholly-owned Austrian subsidiary, AMSC Windtec GmbH (“Windtec”) USD exposure, with a nominal value of $15.6 million which expired on October 30, 2009. The forward contract sold US dollars and bought Euros at $1.4663.</w:t>
      </w:r>
    </w:p>
    <w:p>
      <w:pPr>
        <w:spacing w:after="0" w:line="57" w:lineRule="exact"/>
        <w:rPr>
          <w:sz w:val="20"/>
          <w:szCs w:val="20"/>
          <w:color w:val="auto"/>
        </w:rPr>
      </w:pPr>
    </w:p>
    <w:p>
      <w:pPr>
        <w:jc w:val="both"/>
        <w:ind w:right="20" w:firstLine="222"/>
        <w:spacing w:after="0" w:line="284" w:lineRule="auto"/>
        <w:rPr>
          <w:sz w:val="20"/>
          <w:szCs w:val="20"/>
          <w:color w:val="auto"/>
        </w:rPr>
      </w:pPr>
      <w:r>
        <w:rPr>
          <w:rFonts w:ascii="Arial" w:cs="Arial" w:eastAsia="Arial" w:hAnsi="Arial"/>
          <w:sz w:val="16"/>
          <w:szCs w:val="16"/>
          <w:color w:val="auto"/>
        </w:rPr>
        <w:t>Generally, we do not designate currency option contracts as hedges for accounting purposes, and changes in the fair value of these instruments are recognized immediately in earnings. Gains and losses on these contracts are included in other expense, net.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0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of September 30, 2009.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of September 30, 2009, our chief executive officer and chief financial officer concluded that, as of such date, our disclosure controls and procedures were effective at the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09" w:lineRule="exact"/>
        <w:rPr>
          <w:sz w:val="20"/>
          <w:szCs w:val="20"/>
          <w:color w:val="auto"/>
        </w:rPr>
      </w:pPr>
    </w:p>
    <w:p>
      <w:pPr>
        <w:ind w:firstLine="315"/>
        <w:spacing w:after="0" w:line="284"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September 30, 2009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jc w:val="both"/>
        <w:ind w:firstLine="209"/>
        <w:spacing w:after="0" w:line="269"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risks and uncertainties described in our annual report on Form 10-K for the year ended March 31, 2009 in addition to the other information included in this quarterly report. If any of the risks actually occurs, our business, financial condition or results of operations would likely suffer. In that case, the trading price of our common stock could fall.</w:t>
      </w:r>
    </w:p>
    <w:p>
      <w:pPr>
        <w:spacing w:after="0" w:line="65" w:lineRule="exact"/>
        <w:rPr>
          <w:sz w:val="20"/>
          <w:szCs w:val="20"/>
          <w:color w:val="auto"/>
        </w:rPr>
      </w:pPr>
    </w:p>
    <w:p>
      <w:pPr>
        <w:jc w:val="both"/>
        <w:ind w:firstLine="227"/>
        <w:spacing w:after="0" w:line="319" w:lineRule="auto"/>
        <w:rPr>
          <w:sz w:val="20"/>
          <w:szCs w:val="20"/>
          <w:color w:val="auto"/>
        </w:rPr>
      </w:pPr>
      <w:r>
        <w:rPr>
          <w:rFonts w:ascii="Arial" w:cs="Arial" w:eastAsia="Arial" w:hAnsi="Arial"/>
          <w:sz w:val="15"/>
          <w:szCs w:val="15"/>
          <w:color w:val="auto"/>
        </w:rPr>
        <w:t>As of September 30, 2009, there have not been any material changes to the risk factors disclosed in our Annual Report on Form 10-K for the fiscal year ended March 31, 2009, although we may disclose changes to such risk factors or disclose additional risk factors from time to time in our future filings with the SEC.</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13" w:lineRule="exact"/>
        <w:rPr>
          <w:sz w:val="20"/>
          <w:szCs w:val="20"/>
          <w:color w:val="auto"/>
        </w:rPr>
      </w:pPr>
    </w:p>
    <w:p>
      <w:pPr>
        <w:jc w:val="both"/>
        <w:ind w:firstLine="203"/>
        <w:spacing w:after="0" w:line="284" w:lineRule="auto"/>
        <w:rPr>
          <w:sz w:val="20"/>
          <w:szCs w:val="20"/>
          <w:color w:val="auto"/>
        </w:rPr>
      </w:pPr>
      <w:r>
        <w:rPr>
          <w:rFonts w:ascii="Arial" w:cs="Arial" w:eastAsia="Arial" w:hAnsi="Arial"/>
          <w:sz w:val="16"/>
          <w:szCs w:val="16"/>
          <w:color w:val="auto"/>
        </w:rPr>
        <w:t>See the Exhibit Index on the page immediately preceding the exhibits for a list of exhibits filed as part of this quarterly report, which Exhibit Index is incorporated herein by this reference.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113" w:lineRule="exact"/>
        <w:rPr>
          <w:sz w:val="20"/>
          <w:szCs w:val="20"/>
          <w:color w:val="auto"/>
        </w:rPr>
      </w:pPr>
    </w:p>
    <w:p>
      <w:pPr>
        <w:ind w:right="20" w:firstLine="222"/>
        <w:spacing w:after="0" w:line="28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AMERICAN SUPERCONDUCTOR CORPORATION</w:t>
            </w:r>
          </w:p>
        </w:tc>
        <w:tc>
          <w:tcPr>
            <w:tcW w:w="1720" w:type="dxa"/>
            <w:vAlign w:val="bottom"/>
          </w:tcPr>
          <w:p>
            <w:pPr>
              <w:spacing w:after="0"/>
              <w:rPr>
                <w:sz w:val="17"/>
                <w:szCs w:val="17"/>
                <w:color w:val="auto"/>
              </w:rPr>
            </w:pPr>
          </w:p>
        </w:tc>
      </w:tr>
      <w:tr>
        <w:trPr>
          <w:trHeight w:val="391"/>
        </w:trPr>
        <w:tc>
          <w:tcPr>
            <w:tcW w:w="5480" w:type="dxa"/>
            <w:vAlign w:val="bottom"/>
          </w:tcPr>
          <w:p>
            <w:pPr>
              <w:spacing w:after="0"/>
              <w:rPr>
                <w:sz w:val="20"/>
                <w:szCs w:val="20"/>
                <w:color w:val="auto"/>
              </w:rPr>
            </w:pPr>
            <w:r>
              <w:rPr>
                <w:rFonts w:ascii="Arial" w:cs="Arial" w:eastAsia="Arial" w:hAnsi="Arial"/>
                <w:sz w:val="16"/>
                <w:szCs w:val="16"/>
                <w:color w:val="auto"/>
              </w:rPr>
              <w:t>Date: November 5, 2009</w:t>
            </w:r>
          </w:p>
        </w:tc>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A. HENRY</w:t>
            </w:r>
          </w:p>
        </w:tc>
        <w:tc>
          <w:tcPr>
            <w:tcW w:w="1720" w:type="dxa"/>
            <w:vAlign w:val="bottom"/>
          </w:tcPr>
          <w:p>
            <w:pPr>
              <w:spacing w:after="0"/>
              <w:rPr>
                <w:sz w:val="24"/>
                <w:szCs w:val="24"/>
                <w:color w:val="auto"/>
              </w:rPr>
            </w:pPr>
          </w:p>
        </w:tc>
      </w:tr>
      <w:tr>
        <w:trPr>
          <w:trHeight w:val="175"/>
        </w:trPr>
        <w:tc>
          <w:tcPr>
            <w:tcW w:w="5480" w:type="dxa"/>
            <w:vAlign w:val="bottom"/>
          </w:tcPr>
          <w:p>
            <w:pPr>
              <w:spacing w:after="0"/>
              <w:rPr>
                <w:sz w:val="15"/>
                <w:szCs w:val="15"/>
                <w:color w:val="auto"/>
              </w:rPr>
            </w:pPr>
          </w:p>
        </w:tc>
        <w:tc>
          <w:tcPr>
            <w:tcW w:w="4240" w:type="dxa"/>
            <w:vAlign w:val="bottom"/>
          </w:tcPr>
          <w:p>
            <w:pPr>
              <w:spacing w:after="0" w:line="175" w:lineRule="exact"/>
              <w:rPr>
                <w:sz w:val="20"/>
                <w:szCs w:val="20"/>
                <w:color w:val="auto"/>
              </w:rPr>
            </w:pPr>
            <w:r>
              <w:rPr>
                <w:rFonts w:ascii="Arial" w:cs="Arial" w:eastAsia="Arial" w:hAnsi="Arial"/>
                <w:sz w:val="16"/>
                <w:szCs w:val="16"/>
                <w:color w:val="auto"/>
              </w:rPr>
              <w:t>David A. Henry</w:t>
            </w:r>
          </w:p>
        </w:tc>
        <w:tc>
          <w:tcPr>
            <w:tcW w:w="1720" w:type="dxa"/>
            <w:vAlign w:val="bottom"/>
          </w:tcPr>
          <w:p>
            <w:pPr>
              <w:spacing w:after="0"/>
              <w:rPr>
                <w:sz w:val="15"/>
                <w:szCs w:val="15"/>
                <w:color w:val="auto"/>
              </w:rPr>
            </w:pPr>
          </w:p>
        </w:tc>
      </w:tr>
      <w:tr>
        <w:trPr>
          <w:trHeight w:val="195"/>
        </w:trPr>
        <w:tc>
          <w:tcPr>
            <w:tcW w:w="548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Senior Vice President and Chief Financial Officer (Principal</w:t>
            </w:r>
          </w:p>
        </w:tc>
        <w:tc>
          <w:tcPr>
            <w:tcW w:w="1720" w:type="dxa"/>
            <w:vAlign w:val="bottom"/>
          </w:tcPr>
          <w:p>
            <w:pPr>
              <w:spacing w:after="0"/>
              <w:rPr>
                <w:sz w:val="16"/>
                <w:szCs w:val="16"/>
                <w:color w:val="auto"/>
              </w:rPr>
            </w:pPr>
          </w:p>
        </w:tc>
      </w:tr>
      <w:tr>
        <w:trPr>
          <w:trHeight w:val="207"/>
        </w:trPr>
        <w:tc>
          <w:tcPr>
            <w:tcW w:w="548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Financial and Accounting Officer)</w:t>
            </w:r>
          </w:p>
        </w:tc>
        <w:tc>
          <w:tcPr>
            <w:tcW w:w="1720" w:type="dxa"/>
            <w:vAlign w:val="bottom"/>
          </w:tcPr>
          <w:p>
            <w:pPr>
              <w:spacing w:after="0"/>
              <w:rPr>
                <w:sz w:val="17"/>
                <w:szCs w:val="17"/>
                <w:color w:val="auto"/>
              </w:rPr>
            </w:pPr>
          </w:p>
        </w:tc>
      </w:tr>
      <w:tr>
        <w:trPr>
          <w:trHeight w:val="366"/>
        </w:trPr>
        <w:tc>
          <w:tcPr>
            <w:tcW w:w="5480" w:type="dxa"/>
            <w:vAlign w:val="bottom"/>
          </w:tcPr>
          <w:p>
            <w:pPr>
              <w:spacing w:after="0"/>
              <w:rPr>
                <w:sz w:val="24"/>
                <w:szCs w:val="24"/>
                <w:color w:val="auto"/>
              </w:rPr>
            </w:pPr>
          </w:p>
        </w:tc>
        <w:tc>
          <w:tcPr>
            <w:tcW w:w="4240" w:type="dxa"/>
            <w:vAlign w:val="bottom"/>
          </w:tcPr>
          <w:p>
            <w:pPr>
              <w:ind w:left="160"/>
              <w:spacing w:after="0"/>
              <w:rPr>
                <w:sz w:val="20"/>
                <w:szCs w:val="20"/>
                <w:color w:val="auto"/>
              </w:rPr>
            </w:pPr>
            <w:r>
              <w:rPr>
                <w:rFonts w:ascii="Arial" w:cs="Arial" w:eastAsia="Arial" w:hAnsi="Arial"/>
                <w:sz w:val="16"/>
                <w:szCs w:val="16"/>
                <w:color w:val="auto"/>
              </w:rPr>
              <w:t>27</w:t>
            </w:r>
          </w:p>
        </w:tc>
        <w:tc>
          <w:tcPr>
            <w:tcW w:w="1720" w:type="dxa"/>
            <w:vAlign w:val="bottom"/>
          </w:tcPr>
          <w:p>
            <w:pPr>
              <w:spacing w:after="0"/>
              <w:rPr>
                <w:sz w:val="24"/>
                <w:szCs w:val="24"/>
                <w:color w:val="auto"/>
              </w:rPr>
            </w:pPr>
          </w:p>
        </w:tc>
      </w:tr>
      <w:tr>
        <w:trPr>
          <w:trHeight w:val="204"/>
        </w:trPr>
        <w:tc>
          <w:tcPr>
            <w:tcW w:w="5480" w:type="dxa"/>
            <w:vAlign w:val="bottom"/>
            <w:tcBorders>
              <w:bottom w:val="single" w:sz="8" w:color="808080"/>
            </w:tcBorders>
          </w:tcPr>
          <w:p>
            <w:pPr>
              <w:spacing w:after="0"/>
              <w:rPr>
                <w:sz w:val="17"/>
                <w:szCs w:val="17"/>
                <w:color w:val="auto"/>
              </w:rPr>
            </w:pPr>
          </w:p>
        </w:tc>
        <w:tc>
          <w:tcPr>
            <w:tcW w:w="42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2" w:right="219" w:bottom="1440" w:gutter="0" w:footer="0" w:header="0"/>
        </w:sectPr>
      </w:pPr>
    </w:p>
    <w:bookmarkStart w:id="28" w:name="page29"/>
    <w:bookmarkEnd w:id="28"/>
    <w:p>
      <w:pPr>
        <w:ind w:left="2"/>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4"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tcPr>
          <w:p>
            <w:pPr>
              <w:ind w:left="3700"/>
              <w:spacing w:after="0"/>
              <w:rPr>
                <w:sz w:val="20"/>
                <w:szCs w:val="20"/>
                <w:color w:val="auto"/>
              </w:rPr>
            </w:pPr>
            <w:r>
              <w:rPr>
                <w:rFonts w:ascii="Arial" w:cs="Arial" w:eastAsia="Arial" w:hAnsi="Arial"/>
                <w:sz w:val="16"/>
                <w:szCs w:val="16"/>
                <w:b w:val="1"/>
                <w:bCs w:val="1"/>
                <w:color w:val="auto"/>
              </w:rPr>
              <w:t>EXHIBIT INDEX</w:t>
            </w:r>
          </w:p>
        </w:tc>
      </w:tr>
      <w:tr>
        <w:trPr>
          <w:trHeight w:val="330"/>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24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Description</w:t>
            </w:r>
          </w:p>
        </w:tc>
      </w:tr>
      <w:tr>
        <w:trPr>
          <w:trHeight w:val="203"/>
        </w:trPr>
        <w:tc>
          <w:tcPr>
            <w:tcW w:w="1140" w:type="dxa"/>
            <w:vAlign w:val="bottom"/>
          </w:tcPr>
          <w:p>
            <w:pPr>
              <w:spacing w:after="0"/>
              <w:rPr>
                <w:sz w:val="20"/>
                <w:szCs w:val="20"/>
                <w:color w:val="auto"/>
              </w:rPr>
            </w:pPr>
            <w:r>
              <w:rPr>
                <w:rFonts w:ascii="Arial" w:cs="Arial" w:eastAsia="Arial" w:hAnsi="Arial"/>
                <w:sz w:val="16"/>
                <w:szCs w:val="16"/>
                <w:b w:val="1"/>
                <w:bCs w:val="1"/>
                <w:color w:val="auto"/>
              </w:rPr>
              <w:t>10.1</w:t>
            </w:r>
          </w:p>
        </w:tc>
        <w:tc>
          <w:tcPr>
            <w:tcW w:w="240" w:type="dxa"/>
            <w:vAlign w:val="bottom"/>
          </w:tcPr>
          <w:p>
            <w:pPr>
              <w:spacing w:after="0"/>
              <w:rPr>
                <w:sz w:val="17"/>
                <w:szCs w:val="17"/>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rPr>
              <w:t>Executive Severance Agreement dated as of September 8, 2009 between the Registrant and Susan J. DiCecco.</w:t>
            </w:r>
          </w:p>
        </w:tc>
      </w:tr>
      <w:tr>
        <w:trPr>
          <w:trHeight w:val="374"/>
        </w:trPr>
        <w:tc>
          <w:tcPr>
            <w:tcW w:w="1140" w:type="dxa"/>
            <w:vAlign w:val="bottom"/>
          </w:tcPr>
          <w:p>
            <w:pPr>
              <w:spacing w:after="0"/>
              <w:rPr>
                <w:sz w:val="20"/>
                <w:szCs w:val="20"/>
                <w:color w:val="auto"/>
              </w:rPr>
            </w:pPr>
            <w:r>
              <w:rPr>
                <w:rFonts w:ascii="Arial" w:cs="Arial" w:eastAsia="Arial" w:hAnsi="Arial"/>
                <w:sz w:val="16"/>
                <w:szCs w:val="16"/>
                <w:b w:val="1"/>
                <w:bCs w:val="1"/>
                <w:color w:val="auto"/>
              </w:rPr>
              <w:t>10.2</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rPr>
              <w:t>2007 Stock Incentive Plan, as amended (1).</w:t>
            </w:r>
          </w:p>
        </w:tc>
      </w:tr>
      <w:tr>
        <w:trPr>
          <w:trHeight w:val="375"/>
        </w:trPr>
        <w:tc>
          <w:tcPr>
            <w:tcW w:w="1140" w:type="dxa"/>
            <w:vAlign w:val="bottom"/>
          </w:tcPr>
          <w:p>
            <w:pPr>
              <w:spacing w:after="0"/>
              <w:rPr>
                <w:sz w:val="20"/>
                <w:szCs w:val="20"/>
                <w:color w:val="auto"/>
              </w:rPr>
            </w:pPr>
            <w:r>
              <w:rPr>
                <w:rFonts w:ascii="Arial" w:cs="Arial" w:eastAsia="Arial" w:hAnsi="Arial"/>
                <w:sz w:val="16"/>
                <w:szCs w:val="16"/>
                <w:b w:val="1"/>
                <w:bCs w:val="1"/>
                <w:color w:val="auto"/>
              </w:rPr>
              <w:t>31.1</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w w:val="92"/>
              </w:rPr>
              <w:t>Chief Executive Officer—Certification pursuant to Rule 13a-14(a) or Rule 15d-14(a) of the Securities Exchange Act of 1934, as adopted pursuant</w:t>
            </w:r>
          </w:p>
        </w:tc>
      </w:tr>
      <w:tr>
        <w:trPr>
          <w:trHeight w:val="211"/>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rPr>
              <w:t>to Section 302 of the Sarbanes-Oxley Act of 2002.</w:t>
            </w:r>
          </w:p>
        </w:tc>
      </w:tr>
      <w:tr>
        <w:trPr>
          <w:trHeight w:val="375"/>
        </w:trPr>
        <w:tc>
          <w:tcPr>
            <w:tcW w:w="1140" w:type="dxa"/>
            <w:vAlign w:val="bottom"/>
          </w:tcPr>
          <w:p>
            <w:pPr>
              <w:spacing w:after="0"/>
              <w:rPr>
                <w:sz w:val="20"/>
                <w:szCs w:val="20"/>
                <w:color w:val="auto"/>
              </w:rPr>
            </w:pPr>
            <w:r>
              <w:rPr>
                <w:rFonts w:ascii="Arial" w:cs="Arial" w:eastAsia="Arial" w:hAnsi="Arial"/>
                <w:sz w:val="16"/>
                <w:szCs w:val="16"/>
                <w:b w:val="1"/>
                <w:bCs w:val="1"/>
                <w:color w:val="auto"/>
              </w:rPr>
              <w:t>31.2</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w w:val="92"/>
              </w:rPr>
              <w:t>Chief Financial Officer—Certification pursuant to Rule 13a-14(a) or Rule 15d-14(a) of the Securities Exchange Act of 1934, as adopted pursuant</w:t>
            </w:r>
          </w:p>
        </w:tc>
      </w:tr>
      <w:tr>
        <w:trPr>
          <w:trHeight w:val="211"/>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rPr>
              <w:t>to Section 302 of the Sarbanes-Oxley Act of 2002.</w:t>
            </w:r>
          </w:p>
        </w:tc>
      </w:tr>
      <w:tr>
        <w:trPr>
          <w:trHeight w:val="375"/>
        </w:trPr>
        <w:tc>
          <w:tcPr>
            <w:tcW w:w="1140" w:type="dxa"/>
            <w:vAlign w:val="bottom"/>
          </w:tcPr>
          <w:p>
            <w:pPr>
              <w:spacing w:after="0"/>
              <w:rPr>
                <w:sz w:val="20"/>
                <w:szCs w:val="20"/>
                <w:color w:val="auto"/>
              </w:rPr>
            </w:pPr>
            <w:r>
              <w:rPr>
                <w:rFonts w:ascii="Arial" w:cs="Arial" w:eastAsia="Arial" w:hAnsi="Arial"/>
                <w:sz w:val="16"/>
                <w:szCs w:val="16"/>
                <w:b w:val="1"/>
                <w:bCs w:val="1"/>
                <w:color w:val="auto"/>
              </w:rPr>
              <w:t>32.1</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w w:val="97"/>
              </w:rPr>
              <w:t>Chief Executive Officer—Certification pursuant to Rule 13a-14(b) or Rule 15d-14(b) of the Securities Exchange Act of 1934 and 18 U.S.C.</w:t>
            </w:r>
          </w:p>
        </w:tc>
      </w:tr>
      <w:tr>
        <w:trPr>
          <w:trHeight w:val="211"/>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rPr>
              <w:t>Section 1350, as adopted pursuant to Section 906 of the Sarbanes-Oxley Act of 2002.</w:t>
            </w:r>
          </w:p>
        </w:tc>
      </w:tr>
      <w:tr>
        <w:trPr>
          <w:trHeight w:val="375"/>
        </w:trPr>
        <w:tc>
          <w:tcPr>
            <w:tcW w:w="1140" w:type="dxa"/>
            <w:vAlign w:val="bottom"/>
          </w:tcPr>
          <w:p>
            <w:pPr>
              <w:spacing w:after="0"/>
              <w:rPr>
                <w:sz w:val="20"/>
                <w:szCs w:val="20"/>
                <w:color w:val="auto"/>
              </w:rPr>
            </w:pPr>
            <w:r>
              <w:rPr>
                <w:rFonts w:ascii="Arial" w:cs="Arial" w:eastAsia="Arial" w:hAnsi="Arial"/>
                <w:sz w:val="16"/>
                <w:szCs w:val="16"/>
                <w:b w:val="1"/>
                <w:bCs w:val="1"/>
                <w:color w:val="auto"/>
              </w:rPr>
              <w:t>32.2</w:t>
            </w:r>
          </w:p>
        </w:tc>
        <w:tc>
          <w:tcPr>
            <w:tcW w:w="2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w w:val="97"/>
              </w:rPr>
              <w:t>Chief Financial Officer—Certification pursuant to Rule 13a-14(b) or Rule 15d-14(b) of the Securities Exchange Act of 1934 and 18 U.S.C.</w:t>
            </w:r>
          </w:p>
        </w:tc>
      </w:tr>
      <w:tr>
        <w:trPr>
          <w:trHeight w:val="211"/>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6"/>
                <w:szCs w:val="16"/>
                <w:b w:val="1"/>
                <w:bCs w:val="1"/>
                <w:color w:val="auto"/>
              </w:rPr>
              <w:t>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3093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310" w:lineRule="exact"/>
        <w:rPr>
          <w:sz w:val="20"/>
          <w:szCs w:val="20"/>
          <w:color w:val="auto"/>
        </w:rPr>
      </w:pPr>
    </w:p>
    <w:p>
      <w:pPr>
        <w:ind w:left="442" w:right="20" w:hanging="442"/>
        <w:spacing w:after="0" w:line="284" w:lineRule="auto"/>
        <w:tabs>
          <w:tab w:leader="none" w:pos="442"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filed with the Securities and Exchange Commission (the “Commission”) on August 12, 2009 (Commission File No. 000-19672)</w:t>
      </w:r>
    </w:p>
    <w:p>
      <w:pPr>
        <w:spacing w:after="0" w:line="11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2"/>
          </w:cols>
          <w:pgMar w:left="238" w:top="392" w:right="21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10.1</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SUPERCONDUCTOR CORPORATION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Executive Severance Agreement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THIS EXECUTIVE SEVERANCE AGREEMENT by and between American Superconductor Corporation, a Delaware corporation (the “Company”), and Susan J.</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DiCecco (the “Executive”) is made as of September 8, 2009 (the “Effective Date”).</w:t>
      </w:r>
    </w:p>
    <w:p>
      <w:pPr>
        <w:spacing w:after="0" w:line="97"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53" w:lineRule="exact"/>
        <w:rPr>
          <w:sz w:val="20"/>
          <w:szCs w:val="20"/>
          <w:color w:val="auto"/>
        </w:rPr>
      </w:pPr>
    </w:p>
    <w:p>
      <w:pPr>
        <w:ind w:right="20" w:firstLine="215"/>
        <w:spacing w:after="0" w:line="284" w:lineRule="auto"/>
        <w:rPr>
          <w:sz w:val="20"/>
          <w:szCs w:val="20"/>
          <w:color w:val="auto"/>
        </w:rPr>
      </w:pPr>
      <w:r>
        <w:rPr>
          <w:rFonts w:ascii="Arial" w:cs="Arial" w:eastAsia="Arial" w:hAnsi="Arial"/>
          <w:sz w:val="16"/>
          <w:szCs w:val="16"/>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53" w:lineRule="exact"/>
        <w:rPr>
          <w:sz w:val="20"/>
          <w:szCs w:val="20"/>
          <w:color w:val="auto"/>
        </w:rPr>
      </w:pPr>
    </w:p>
    <w:p>
      <w:pPr>
        <w:ind w:right="20" w:firstLine="311"/>
        <w:spacing w:after="0" w:line="319" w:lineRule="auto"/>
        <w:rPr>
          <w:sz w:val="20"/>
          <w:szCs w:val="20"/>
          <w:color w:val="auto"/>
        </w:rPr>
      </w:pPr>
      <w:r>
        <w:rPr>
          <w:rFonts w:ascii="Arial" w:cs="Arial" w:eastAsia="Arial" w:hAnsi="Arial"/>
          <w:sz w:val="15"/>
          <w:szCs w:val="15"/>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auto"/>
        </w:rPr>
        <w:t>Key Definitions</w:t>
      </w:r>
      <w:r>
        <w:rPr>
          <w:rFonts w:ascii="Arial" w:cs="Arial" w:eastAsia="Arial" w:hAnsi="Arial"/>
          <w:sz w:val="16"/>
          <w:szCs w:val="16"/>
          <w:color w:val="auto"/>
        </w:rPr>
        <w: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used herein, the following terms shall have the following respective meanings:</w:t>
      </w:r>
    </w:p>
    <w:p>
      <w:pPr>
        <w:spacing w:after="0" w:line="109" w:lineRule="exact"/>
        <w:rPr>
          <w:sz w:val="20"/>
          <w:szCs w:val="20"/>
          <w:color w:val="auto"/>
        </w:rPr>
      </w:pPr>
    </w:p>
    <w:p>
      <w:pPr>
        <w:ind w:left="620" w:hanging="21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an event or occurrence set forth in any one or more of subsections (a) through (c) below:</w:t>
      </w:r>
    </w:p>
    <w:p>
      <w:pPr>
        <w:spacing w:after="0" w:line="108" w:lineRule="exact"/>
        <w:rPr>
          <w:rFonts w:ascii="Arial" w:cs="Arial" w:eastAsia="Arial" w:hAnsi="Arial"/>
          <w:sz w:val="16"/>
          <w:szCs w:val="16"/>
          <w:color w:val="auto"/>
        </w:rPr>
      </w:pPr>
    </w:p>
    <w:p>
      <w:pPr>
        <w:jc w:val="both"/>
        <w:ind w:right="20" w:firstLine="724"/>
        <w:spacing w:after="0" w:line="259" w:lineRule="auto"/>
        <w:tabs>
          <w:tab w:leader="none" w:pos="1000" w:val="left"/>
        </w:tabs>
        <w:numPr>
          <w:ilvl w:val="2"/>
          <w:numId w:val="4"/>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pacing w:after="0" w:line="74" w:lineRule="exact"/>
        <w:rPr>
          <w:rFonts w:ascii="Arial" w:cs="Arial" w:eastAsia="Arial" w:hAnsi="Arial"/>
          <w:sz w:val="16"/>
          <w:szCs w:val="16"/>
          <w:color w:val="auto"/>
        </w:rPr>
      </w:pPr>
    </w:p>
    <w:p>
      <w:pPr>
        <w:jc w:val="both"/>
        <w:ind w:right="20" w:firstLine="643"/>
        <w:spacing w:after="0" w:line="264" w:lineRule="auto"/>
        <w:tabs>
          <w:tab w:leader="none" w:pos="90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6503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0" w:name="page31"/>
    <w:bookmarkEnd w:id="30"/>
    <w:p>
      <w:pPr>
        <w:jc w:val="both"/>
        <w:ind w:right="20"/>
        <w:spacing w:after="0" w:line="269" w:lineRule="auto"/>
        <w:rPr>
          <w:sz w:val="20"/>
          <w:szCs w:val="20"/>
          <w:color w:val="auto"/>
        </w:rPr>
      </w:pPr>
      <w:r>
        <w:rPr>
          <w:rFonts w:ascii="Arial" w:cs="Arial" w:eastAsia="Arial" w:hAnsi="Arial"/>
          <w:sz w:val="16"/>
          <w:szCs w:val="16"/>
          <w:color w:val="auto"/>
        </w:rPr>
        <w:t xml:space="preserve">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65" w:lineRule="exact"/>
        <w:rPr>
          <w:sz w:val="20"/>
          <w:szCs w:val="20"/>
          <w:color w:val="auto"/>
        </w:rPr>
      </w:pPr>
    </w:p>
    <w:p>
      <w:pPr>
        <w:jc w:val="both"/>
        <w:ind w:firstLine="632"/>
        <w:spacing w:after="0" w:line="278" w:lineRule="auto"/>
        <w:tabs>
          <w:tab w:leader="none" w:pos="894" w:val="left"/>
        </w:tabs>
        <w:numPr>
          <w:ilvl w:val="2"/>
          <w:numId w:val="5"/>
        </w:numPr>
        <w:rPr>
          <w:rFonts w:ascii="Arial" w:cs="Arial" w:eastAsia="Arial" w:hAnsi="Arial"/>
          <w:sz w:val="15"/>
          <w:szCs w:val="15"/>
          <w:color w:val="auto"/>
        </w:rPr>
      </w:pPr>
      <w:r>
        <w:rPr>
          <w:rFonts w:ascii="Arial" w:cs="Arial" w:eastAsia="Arial" w:hAnsi="Arial"/>
          <w:sz w:val="15"/>
          <w:szCs w:val="15"/>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61" w:lineRule="exact"/>
        <w:rPr>
          <w:rFonts w:ascii="Arial" w:cs="Arial" w:eastAsia="Arial" w:hAnsi="Arial"/>
          <w:sz w:val="15"/>
          <w:szCs w:val="15"/>
          <w:color w:val="auto"/>
        </w:rPr>
      </w:pPr>
    </w:p>
    <w:p>
      <w:pPr>
        <w:ind w:left="640" w:hanging="23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 Date</w:t>
      </w:r>
      <w:r>
        <w:rPr>
          <w:rFonts w:ascii="Arial" w:cs="Arial" w:eastAsia="Arial" w:hAnsi="Arial"/>
          <w:sz w:val="16"/>
          <w:szCs w:val="16"/>
          <w:color w:val="auto"/>
        </w:rPr>
        <w:t>” means the first date during the Term (as defined in Section 2) on which a Change in Control occurs.</w:t>
      </w:r>
    </w:p>
    <w:p>
      <w:pPr>
        <w:spacing w:after="0" w:line="108" w:lineRule="exact"/>
        <w:rPr>
          <w:rFonts w:ascii="Arial" w:cs="Arial" w:eastAsia="Arial" w:hAnsi="Arial"/>
          <w:sz w:val="16"/>
          <w:szCs w:val="16"/>
          <w:color w:val="auto"/>
        </w:rPr>
      </w:pPr>
    </w:p>
    <w:p>
      <w:pPr>
        <w:ind w:left="620" w:hanging="216"/>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w:t>
      </w:r>
    </w:p>
    <w:p>
      <w:pPr>
        <w:spacing w:after="0" w:line="108" w:lineRule="exact"/>
        <w:rPr>
          <w:rFonts w:ascii="Arial" w:cs="Arial" w:eastAsia="Arial" w:hAnsi="Arial"/>
          <w:sz w:val="16"/>
          <w:szCs w:val="16"/>
          <w:color w:val="auto"/>
        </w:rPr>
      </w:pPr>
    </w:p>
    <w:p>
      <w:pPr>
        <w:jc w:val="both"/>
        <w:ind w:right="20" w:firstLine="631"/>
        <w:spacing w:after="0" w:line="264" w:lineRule="auto"/>
        <w:tabs>
          <w:tab w:leader="none" w:pos="901" w:val="left"/>
        </w:tabs>
        <w:numPr>
          <w:ilvl w:val="2"/>
          <w:numId w:val="6"/>
        </w:numPr>
        <w:rPr>
          <w:rFonts w:ascii="Arial" w:cs="Arial" w:eastAsia="Arial" w:hAnsi="Arial"/>
          <w:sz w:val="16"/>
          <w:szCs w:val="16"/>
          <w:color w:val="auto"/>
        </w:rPr>
      </w:pPr>
      <w:r>
        <w:rPr>
          <w:rFonts w:ascii="Arial" w:cs="Arial" w:eastAsia="Arial" w:hAnsi="Arial"/>
          <w:sz w:val="16"/>
          <w:szCs w:val="16"/>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68" w:lineRule="exact"/>
        <w:rPr>
          <w:rFonts w:ascii="Arial" w:cs="Arial" w:eastAsia="Arial" w:hAnsi="Arial"/>
          <w:sz w:val="16"/>
          <w:szCs w:val="16"/>
          <w:color w:val="auto"/>
        </w:rPr>
      </w:pPr>
    </w:p>
    <w:p>
      <w:pPr>
        <w:jc w:val="both"/>
        <w:ind w:right="20" w:firstLine="649"/>
        <w:spacing w:after="0" w:line="269" w:lineRule="auto"/>
        <w:tabs>
          <w:tab w:leader="none" w:pos="911" w:val="left"/>
        </w:tabs>
        <w:numPr>
          <w:ilvl w:val="3"/>
          <w:numId w:val="6"/>
        </w:numPr>
        <w:rPr>
          <w:rFonts w:ascii="Arial" w:cs="Arial" w:eastAsia="Arial" w:hAnsi="Arial"/>
          <w:sz w:val="16"/>
          <w:szCs w:val="16"/>
          <w:color w:val="auto"/>
        </w:rPr>
      </w:pPr>
      <w:r>
        <w:rPr>
          <w:rFonts w:ascii="Arial" w:cs="Arial" w:eastAsia="Arial" w:hAnsi="Arial"/>
          <w:sz w:val="16"/>
          <w:szCs w:val="16"/>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64" w:lineRule="exact"/>
        <w:rPr>
          <w:rFonts w:ascii="Arial" w:cs="Arial" w:eastAsia="Arial" w:hAnsi="Arial"/>
          <w:sz w:val="16"/>
          <w:szCs w:val="16"/>
          <w:color w:val="auto"/>
        </w:rPr>
      </w:pPr>
    </w:p>
    <w:p>
      <w:pPr>
        <w:ind w:left="640" w:hanging="23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without the Executive’s written consent, of any of the following events or circumstances:</w:t>
      </w:r>
    </w:p>
    <w:p>
      <w:pPr>
        <w:spacing w:after="0" w:line="108" w:lineRule="exact"/>
        <w:rPr>
          <w:rFonts w:ascii="Arial" w:cs="Arial" w:eastAsia="Arial" w:hAnsi="Arial"/>
          <w:sz w:val="16"/>
          <w:szCs w:val="16"/>
          <w:color w:val="auto"/>
        </w:rPr>
      </w:pPr>
    </w:p>
    <w:p>
      <w:pPr>
        <w:ind w:left="880" w:hanging="273"/>
        <w:spacing w:after="0"/>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material diminution in the Executive’s base compensation; or</w:t>
      </w:r>
    </w:p>
    <w:p>
      <w:pPr>
        <w:spacing w:after="0" w:line="108" w:lineRule="exact"/>
        <w:rPr>
          <w:rFonts w:ascii="Arial" w:cs="Arial" w:eastAsia="Arial" w:hAnsi="Arial"/>
          <w:sz w:val="16"/>
          <w:szCs w:val="16"/>
          <w:color w:val="auto"/>
        </w:rPr>
      </w:pPr>
    </w:p>
    <w:p>
      <w:pPr>
        <w:ind w:left="860" w:hanging="253"/>
        <w:spacing w:after="0"/>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material diminution in the Executive’s authority, duties, or responsibilities; or</w:t>
      </w:r>
    </w:p>
    <w:p>
      <w:pPr>
        <w:spacing w:after="0" w:line="108" w:lineRule="exact"/>
        <w:rPr>
          <w:rFonts w:ascii="Arial" w:cs="Arial" w:eastAsia="Arial" w:hAnsi="Arial"/>
          <w:sz w:val="16"/>
          <w:szCs w:val="16"/>
          <w:color w:val="auto"/>
        </w:rPr>
      </w:pPr>
    </w:p>
    <w:p>
      <w:pPr>
        <w:ind w:left="860" w:hanging="253"/>
        <w:spacing w:after="0"/>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material change in the geographic location at which the Executive must perform his duties;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59" w:right="219" w:bottom="1440" w:gutter="0" w:footer="0" w:header="0"/>
        </w:sectPr>
      </w:pPr>
    </w:p>
    <w:bookmarkStart w:id="31" w:name="page32"/>
    <w:bookmarkEnd w:id="31"/>
    <w:p>
      <w:pPr>
        <w:ind w:left="600"/>
        <w:spacing w:after="0"/>
        <w:rPr>
          <w:sz w:val="20"/>
          <w:szCs w:val="20"/>
          <w:color w:val="auto"/>
        </w:rPr>
      </w:pPr>
      <w:r>
        <w:rPr>
          <w:rFonts w:ascii="Arial" w:cs="Arial" w:eastAsia="Arial" w:hAnsi="Arial"/>
          <w:sz w:val="16"/>
          <w:szCs w:val="16"/>
          <w:color w:val="auto"/>
        </w:rPr>
        <w:t>(D) any other action or inaction of the Company which constitutes a material breach by the Company of this Agreement.</w:t>
      </w:r>
    </w:p>
    <w:p>
      <w:pPr>
        <w:spacing w:after="0" w:line="109" w:lineRule="exact"/>
        <w:rPr>
          <w:sz w:val="20"/>
          <w:szCs w:val="20"/>
          <w:color w:val="auto"/>
        </w:rPr>
      </w:pPr>
    </w:p>
    <w:p>
      <w:pPr>
        <w:jc w:val="both"/>
        <w:ind w:firstLine="222"/>
        <w:spacing w:after="0" w:line="260"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“Cure Period”).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73" w:lineRule="exact"/>
        <w:rPr>
          <w:sz w:val="20"/>
          <w:szCs w:val="20"/>
          <w:color w:val="auto"/>
        </w:rPr>
      </w:pPr>
    </w:p>
    <w:p>
      <w:pPr>
        <w:jc w:val="both"/>
        <w:ind w:right="20" w:firstLine="415"/>
        <w:spacing w:after="0" w:line="269" w:lineRule="auto"/>
        <w:tabs>
          <w:tab w:leader="none" w:pos="640" w:val="left"/>
        </w:tabs>
        <w:numPr>
          <w:ilvl w:val="3"/>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64" w:lineRule="exact"/>
        <w:rPr>
          <w:rFonts w:ascii="Arial" w:cs="Arial" w:eastAsia="Arial" w:hAnsi="Arial"/>
          <w:sz w:val="16"/>
          <w:szCs w:val="16"/>
          <w:color w:val="auto"/>
        </w:rPr>
      </w:pPr>
    </w:p>
    <w:p>
      <w:pPr>
        <w:ind w:left="600" w:hanging="196"/>
        <w:spacing w:after="0"/>
        <w:tabs>
          <w:tab w:leader="none" w:pos="600" w:val="left"/>
        </w:tabs>
        <w:numPr>
          <w:ilvl w:val="2"/>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12 months immediately following the Date of Termination (as defined in Section 3.2(a) below).</w:t>
      </w:r>
    </w:p>
    <w:p>
      <w:pPr>
        <w:spacing w:after="0" w:line="108" w:lineRule="exact"/>
        <w:rPr>
          <w:rFonts w:ascii="Arial" w:cs="Arial" w:eastAsia="Arial" w:hAnsi="Arial"/>
          <w:sz w:val="16"/>
          <w:szCs w:val="16"/>
          <w:color w:val="auto"/>
        </w:rPr>
      </w:pPr>
    </w:p>
    <w:p>
      <w:pPr>
        <w:jc w:val="both"/>
        <w:ind w:right="20" w:firstLine="237"/>
        <w:spacing w:after="0" w:line="281" w:lineRule="auto"/>
        <w:tabs>
          <w:tab w:leader="none" w:pos="402" w:val="left"/>
        </w:tabs>
        <w:numPr>
          <w:ilvl w:val="1"/>
          <w:numId w:val="9"/>
        </w:numPr>
        <w:rPr>
          <w:rFonts w:ascii="Arial" w:cs="Arial" w:eastAsia="Arial" w:hAnsi="Arial"/>
          <w:sz w:val="15"/>
          <w:szCs w:val="15"/>
          <w:b w:val="1"/>
          <w:bCs w:val="1"/>
          <w:color w:val="auto"/>
        </w:rPr>
      </w:pPr>
      <w:r>
        <w:rPr>
          <w:rFonts w:ascii="Arial" w:cs="Arial" w:eastAsia="Arial" w:hAnsi="Arial"/>
          <w:sz w:val="15"/>
          <w:szCs w:val="15"/>
          <w:u w:val="single" w:color="auto"/>
          <w:color w:val="auto"/>
        </w:rPr>
        <w:t>Term of Agreement</w:t>
      </w:r>
      <w:r>
        <w:rPr>
          <w:rFonts w:ascii="Arial" w:cs="Arial" w:eastAsia="Arial" w:hAnsi="Arial"/>
          <w:sz w:val="15"/>
          <w:szCs w:val="15"/>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commencing on April 1, 2011 and each April 1 thereafter (each hereinafter referred to as a “Renewal Date”), the Term shall be automatically extended for one additional year so as to terminate one year from such Renewal Date, unless at least 90 days prior to such Renewal Date, the Company shall have given the Executive written notice that the Term will not be extended.</w:t>
      </w:r>
    </w:p>
    <w:p>
      <w:pPr>
        <w:spacing w:after="0" w:line="57" w:lineRule="exact"/>
        <w:rPr>
          <w:rFonts w:ascii="Arial" w:cs="Arial" w:eastAsia="Arial" w:hAnsi="Arial"/>
          <w:sz w:val="15"/>
          <w:szCs w:val="15"/>
          <w:b w:val="1"/>
          <w:bCs w:val="1"/>
          <w:color w:val="auto"/>
        </w:rPr>
      </w:pPr>
    </w:p>
    <w:p>
      <w:pPr>
        <w:ind w:left="360" w:hanging="159"/>
        <w:spacing w:after="0"/>
        <w:tabs>
          <w:tab w:leader="none" w:pos="360" w:val="left"/>
        </w:tabs>
        <w:numPr>
          <w:ilvl w:val="0"/>
          <w:numId w:val="10"/>
        </w:numPr>
        <w:rPr>
          <w:rFonts w:ascii="Arial" w:cs="Arial" w:eastAsia="Arial" w:hAnsi="Arial"/>
          <w:sz w:val="16"/>
          <w:szCs w:val="16"/>
          <w:b w:val="1"/>
          <w:bCs w:val="1"/>
          <w:color w:val="auto"/>
        </w:rPr>
      </w:pPr>
      <w:r>
        <w:rPr>
          <w:rFonts w:ascii="Arial" w:cs="Arial" w:eastAsia="Arial" w:hAnsi="Arial"/>
          <w:sz w:val="16"/>
          <w:szCs w:val="16"/>
          <w:u w:val="single" w:color="auto"/>
          <w:color w:val="auto"/>
        </w:rPr>
        <w:t>Employment Status; Termination Following Change in Control</w:t>
      </w:r>
      <w:r>
        <w:rPr>
          <w:rFonts w:ascii="Arial" w:cs="Arial" w:eastAsia="Arial" w:hAnsi="Arial"/>
          <w:sz w:val="16"/>
          <w:szCs w:val="16"/>
          <w:color w:val="auto"/>
        </w:rPr>
        <w:t>.</w:t>
      </w:r>
    </w:p>
    <w:p>
      <w:pPr>
        <w:spacing w:after="0" w:line="108" w:lineRule="exact"/>
        <w:rPr>
          <w:rFonts w:ascii="Arial" w:cs="Arial" w:eastAsia="Arial" w:hAnsi="Arial"/>
          <w:sz w:val="16"/>
          <w:szCs w:val="16"/>
          <w:b w:val="1"/>
          <w:bCs w:val="1"/>
          <w:color w:val="auto"/>
        </w:rPr>
      </w:pPr>
    </w:p>
    <w:p>
      <w:pPr>
        <w:jc w:val="both"/>
        <w:ind w:right="20" w:firstLine="559"/>
        <w:spacing w:after="0" w:line="269" w:lineRule="auto"/>
        <w:tabs>
          <w:tab w:leader="none" w:pos="798" w:val="left"/>
        </w:tabs>
        <w:numPr>
          <w:ilvl w:val="4"/>
          <w:numId w:val="10"/>
        </w:numPr>
        <w:rPr>
          <w:rFonts w:ascii="Arial" w:cs="Arial" w:eastAsia="Arial" w:hAnsi="Arial"/>
          <w:sz w:val="16"/>
          <w:szCs w:val="16"/>
          <w:color w:val="auto"/>
        </w:rPr>
      </w:pPr>
      <w:r>
        <w:rPr>
          <w:rFonts w:ascii="Arial" w:cs="Arial" w:eastAsia="Arial" w:hAnsi="Arial"/>
          <w:sz w:val="16"/>
          <w:szCs w:val="16"/>
          <w:u w:val="single" w:color="auto"/>
          <w:color w:val="auto"/>
        </w:rPr>
        <w:t>Not an Employment Contract</w:t>
      </w:r>
      <w:r>
        <w:rPr>
          <w:rFonts w:ascii="Arial" w:cs="Arial" w:eastAsia="Arial" w:hAnsi="Arial"/>
          <w:sz w:val="16"/>
          <w:szCs w:val="16"/>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64" w:lineRule="exact"/>
        <w:rPr>
          <w:rFonts w:ascii="Arial" w:cs="Arial" w:eastAsia="Arial" w:hAnsi="Arial"/>
          <w:sz w:val="16"/>
          <w:szCs w:val="16"/>
          <w:color w:val="auto"/>
        </w:rPr>
      </w:pPr>
    </w:p>
    <w:p>
      <w:pPr>
        <w:ind w:left="640" w:hanging="236"/>
        <w:spacing w:after="0"/>
        <w:tabs>
          <w:tab w:leader="none" w:pos="640" w:val="left"/>
        </w:tabs>
        <w:numPr>
          <w:ilvl w:val="3"/>
          <w:numId w:val="1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jc w:val="both"/>
        <w:ind w:right="20" w:firstLine="607"/>
        <w:spacing w:after="0" w:line="264" w:lineRule="auto"/>
        <w:tabs>
          <w:tab w:leader="none" w:pos="867" w:val="left"/>
        </w:tabs>
        <w:numPr>
          <w:ilvl w:val="5"/>
          <w:numId w:val="10"/>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59" w:right="219" w:bottom="1440" w:gutter="0" w:footer="0" w:header="0"/>
        </w:sectPr>
      </w:pPr>
    </w:p>
    <w:bookmarkStart w:id="32" w:name="page33"/>
    <w:bookmarkEnd w:id="32"/>
    <w:p>
      <w:pPr>
        <w:jc w:val="both"/>
        <w:spacing w:after="0" w:line="262" w:lineRule="auto"/>
        <w:rPr>
          <w:sz w:val="20"/>
          <w:szCs w:val="20"/>
          <w:color w:val="auto"/>
        </w:rPr>
      </w:pPr>
      <w:r>
        <w:rPr>
          <w:rFonts w:ascii="Arial" w:cs="Arial" w:eastAsia="Arial" w:hAnsi="Arial"/>
          <w:sz w:val="16"/>
          <w:szCs w:val="16"/>
          <w:color w:val="auto"/>
        </w:rPr>
        <w:t>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69" w:lineRule="exact"/>
        <w:rPr>
          <w:sz w:val="20"/>
          <w:szCs w:val="20"/>
          <w:color w:val="auto"/>
        </w:rPr>
      </w:pPr>
    </w:p>
    <w:p>
      <w:pPr>
        <w:jc w:val="both"/>
        <w:ind w:firstLine="612"/>
        <w:spacing w:after="0" w:line="269" w:lineRule="auto"/>
        <w:tabs>
          <w:tab w:leader="none" w:pos="869"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64" w:lineRule="exact"/>
        <w:rPr>
          <w:rFonts w:ascii="Arial" w:cs="Arial" w:eastAsia="Arial" w:hAnsi="Arial"/>
          <w:sz w:val="16"/>
          <w:szCs w:val="16"/>
          <w:color w:val="auto"/>
        </w:rPr>
      </w:pPr>
    </w:p>
    <w:p>
      <w:pPr>
        <w:ind w:left="920" w:hanging="259"/>
        <w:spacing w:after="0"/>
        <w:tabs>
          <w:tab w:leader="none" w:pos="920" w:val="left"/>
        </w:tabs>
        <w:numPr>
          <w:ilvl w:val="3"/>
          <w:numId w:val="11"/>
        </w:numPr>
        <w:rPr>
          <w:rFonts w:ascii="Arial" w:cs="Arial" w:eastAsia="Arial" w:hAnsi="Arial"/>
          <w:sz w:val="14"/>
          <w:szCs w:val="14"/>
          <w:color w:val="auto"/>
        </w:rPr>
      </w:pPr>
      <w:r>
        <w:rPr>
          <w:rFonts w:ascii="Arial" w:cs="Arial" w:eastAsia="Arial" w:hAnsi="Arial"/>
          <w:sz w:val="14"/>
          <w:szCs w:val="14"/>
          <w:color w:val="auto"/>
        </w:rPr>
        <w:t>Any Notice of Termination for Cause given by the Company must be given within 90 days of the occurrence of the event(s) or circumstance(s) that constitute(s)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Cause.</w:t>
      </w:r>
    </w:p>
    <w:p>
      <w:pPr>
        <w:spacing w:after="0" w:line="97" w:lineRule="exact"/>
        <w:rPr>
          <w:rFonts w:ascii="Arial" w:cs="Arial" w:eastAsia="Arial" w:hAnsi="Arial"/>
          <w:sz w:val="14"/>
          <w:szCs w:val="14"/>
          <w:color w:val="auto"/>
        </w:rPr>
      </w:pPr>
    </w:p>
    <w:p>
      <w:pPr>
        <w:ind w:right="20" w:firstLine="782"/>
        <w:spacing w:after="0" w:line="284" w:lineRule="auto"/>
        <w:tabs>
          <w:tab w:leader="none" w:pos="1053" w:val="left"/>
        </w:tabs>
        <w:numPr>
          <w:ilvl w:val="4"/>
          <w:numId w:val="11"/>
        </w:numPr>
        <w:rPr>
          <w:rFonts w:ascii="Arial" w:cs="Arial" w:eastAsia="Arial" w:hAnsi="Arial"/>
          <w:sz w:val="16"/>
          <w:szCs w:val="16"/>
          <w:color w:val="auto"/>
        </w:rPr>
      </w:pPr>
      <w:r>
        <w:rPr>
          <w:rFonts w:ascii="Arial" w:cs="Arial" w:eastAsia="Arial" w:hAnsi="Arial"/>
          <w:sz w:val="16"/>
          <w:szCs w:val="16"/>
          <w:color w:val="auto"/>
        </w:rPr>
        <w:t>Any Notice of Termination for Good Reason given by the Executive must be given within 90 days of the occurrence of the event(s) or circumstance(s) that constitute(s) Good Reason.</w:t>
      </w:r>
    </w:p>
    <w:p>
      <w:pPr>
        <w:spacing w:after="0" w:line="52" w:lineRule="exact"/>
        <w:rPr>
          <w:rFonts w:ascii="Arial" w:cs="Arial" w:eastAsia="Arial" w:hAnsi="Arial"/>
          <w:sz w:val="16"/>
          <w:szCs w:val="16"/>
          <w:color w:val="auto"/>
        </w:rPr>
      </w:pPr>
    </w:p>
    <w:p>
      <w:pPr>
        <w:ind w:left="360" w:hanging="159"/>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u w:val="single" w:color="auto"/>
          <w:color w:val="auto"/>
        </w:rPr>
        <w:t>Benefits to Executive</w:t>
      </w:r>
      <w:r>
        <w:rPr>
          <w:rFonts w:ascii="Arial" w:cs="Arial" w:eastAsia="Arial" w:hAnsi="Arial"/>
          <w:sz w:val="16"/>
          <w:szCs w:val="16"/>
          <w:color w:val="auto"/>
        </w:rPr>
        <w:t>.</w:t>
      </w:r>
    </w:p>
    <w:p>
      <w:pPr>
        <w:spacing w:after="0" w:line="108" w:lineRule="exact"/>
        <w:rPr>
          <w:rFonts w:ascii="Arial" w:cs="Arial" w:eastAsia="Arial" w:hAnsi="Arial"/>
          <w:sz w:val="16"/>
          <w:szCs w:val="16"/>
          <w:b w:val="1"/>
          <w:bCs w:val="1"/>
          <w:color w:val="auto"/>
        </w:rPr>
      </w:pPr>
    </w:p>
    <w:p>
      <w:pPr>
        <w:ind w:left="620" w:hanging="216"/>
        <w:spacing w:after="0"/>
        <w:tabs>
          <w:tab w:leader="none" w:pos="62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Termination Prior to Change in Control Date</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jc w:val="both"/>
        <w:ind w:right="20" w:firstLine="859"/>
        <w:spacing w:after="0" w:line="269" w:lineRule="auto"/>
        <w:tabs>
          <w:tab w:leader="none" w:pos="1145" w:val="left"/>
        </w:tabs>
        <w:numPr>
          <w:ilvl w:val="5"/>
          <w:numId w:val="12"/>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65" w:lineRule="exact"/>
        <w:rPr>
          <w:sz w:val="20"/>
          <w:szCs w:val="20"/>
          <w:color w:val="auto"/>
        </w:rPr>
      </w:pPr>
    </w:p>
    <w:p>
      <w:pPr>
        <w:jc w:val="both"/>
        <w:ind w:right="20" w:firstLine="971"/>
        <w:spacing w:after="0" w:line="264" w:lineRule="auto"/>
        <w:rPr>
          <w:sz w:val="20"/>
          <w:szCs w:val="20"/>
          <w:color w:val="auto"/>
        </w:rPr>
      </w:pPr>
      <w:r>
        <w:rPr>
          <w:rFonts w:ascii="Arial" w:cs="Arial" w:eastAsia="Arial" w:hAnsi="Arial"/>
          <w:sz w:val="16"/>
          <w:szCs w:val="16"/>
          <w:color w:val="auto"/>
        </w:rPr>
        <w:t>the Company shall pay to the Executive, in a lump sum in cash on the Date of Termination, the sum of the following amounts: (1) 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 (3) shall be hereinafter referred to as the “Accrued Obligations”);</w:t>
      </w:r>
    </w:p>
    <w:p>
      <w:pPr>
        <w:spacing w:after="0" w:line="69" w:lineRule="exact"/>
        <w:rPr>
          <w:sz w:val="20"/>
          <w:szCs w:val="20"/>
          <w:color w:val="auto"/>
        </w:rPr>
      </w:pPr>
    </w:p>
    <w:p>
      <w:pPr>
        <w:jc w:val="both"/>
        <w:ind w:right="20" w:firstLine="958"/>
        <w:spacing w:after="0" w:line="284" w:lineRule="auto"/>
        <w:rPr>
          <w:sz w:val="20"/>
          <w:szCs w:val="20"/>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53" w:lineRule="exact"/>
        <w:rPr>
          <w:sz w:val="20"/>
          <w:szCs w:val="20"/>
          <w:color w:val="auto"/>
        </w:rPr>
      </w:pPr>
    </w:p>
    <w:p>
      <w:pPr>
        <w:jc w:val="both"/>
        <w:ind w:right="20" w:firstLine="887"/>
        <w:spacing w:after="0" w:line="264" w:lineRule="auto"/>
        <w:rPr>
          <w:sz w:val="20"/>
          <w:szCs w:val="20"/>
          <w:color w:val="auto"/>
        </w:rPr>
      </w:pPr>
      <w:r>
        <w:rPr>
          <w:rFonts w:ascii="Arial" w:cs="Arial" w:eastAsia="Arial" w:hAnsi="Arial"/>
          <w:sz w:val="16"/>
          <w:szCs w:val="16"/>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59" w:right="21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6"/>
          <w:szCs w:val="16"/>
          <w:color w:val="auto"/>
        </w:rPr>
        <w:t xml:space="preserve">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69" w:lineRule="exact"/>
        <w:rPr>
          <w:sz w:val="20"/>
          <w:szCs w:val="20"/>
          <w:color w:val="auto"/>
        </w:rPr>
      </w:pPr>
    </w:p>
    <w:p>
      <w:pPr>
        <w:jc w:val="both"/>
        <w:ind w:right="20" w:firstLine="745"/>
        <w:spacing w:after="0" w:line="260" w:lineRule="auto"/>
        <w:tabs>
          <w:tab w:leader="none" w:pos="1014" w:val="left"/>
        </w:tabs>
        <w:numPr>
          <w:ilvl w:val="2"/>
          <w:numId w:val="13"/>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73" w:lineRule="exact"/>
        <w:rPr>
          <w:rFonts w:ascii="Arial" w:cs="Arial" w:eastAsia="Arial" w:hAnsi="Arial"/>
          <w:sz w:val="16"/>
          <w:szCs w:val="16"/>
          <w:color w:val="auto"/>
        </w:rPr>
      </w:pPr>
    </w:p>
    <w:p>
      <w:pPr>
        <w:ind w:left="640" w:hanging="236"/>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Termination Following Change in Control Date</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jc w:val="both"/>
        <w:ind w:firstLine="722"/>
        <w:spacing w:after="0" w:line="295" w:lineRule="auto"/>
        <w:tabs>
          <w:tab w:leader="none" w:pos="998" w:val="left"/>
        </w:tabs>
        <w:numPr>
          <w:ilvl w:val="1"/>
          <w:numId w:val="14"/>
        </w:numPr>
        <w:rPr>
          <w:rFonts w:ascii="Arial" w:cs="Arial" w:eastAsia="Arial" w:hAnsi="Arial"/>
          <w:sz w:val="15"/>
          <w:szCs w:val="15"/>
          <w:color w:val="auto"/>
        </w:rPr>
      </w:pPr>
      <w:r>
        <w:rPr>
          <w:rFonts w:ascii="Arial" w:cs="Arial" w:eastAsia="Arial" w:hAnsi="Arial"/>
          <w:sz w:val="15"/>
          <w:szCs w:val="15"/>
          <w:u w:val="single" w:color="auto"/>
          <w:color w:val="auto"/>
        </w:rPr>
        <w:t>Termination within 12 Months Following Change in Control Date</w:t>
      </w:r>
      <w:r>
        <w:rPr>
          <w:rFonts w:ascii="Arial" w:cs="Arial" w:eastAsia="Arial" w:hAnsi="Arial"/>
          <w:sz w:val="15"/>
          <w:szCs w:val="15"/>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47" w:lineRule="exact"/>
        <w:rPr>
          <w:sz w:val="20"/>
          <w:szCs w:val="20"/>
          <w:color w:val="auto"/>
        </w:rPr>
      </w:pPr>
    </w:p>
    <w:p>
      <w:pPr>
        <w:jc w:val="both"/>
        <w:ind w:right="20" w:firstLine="958"/>
        <w:spacing w:after="0" w:line="295" w:lineRule="auto"/>
        <w:rPr>
          <w:sz w:val="20"/>
          <w:szCs w:val="20"/>
          <w:color w:val="auto"/>
        </w:rPr>
      </w:pPr>
      <w:r>
        <w:rPr>
          <w:rFonts w:ascii="Arial" w:cs="Arial" w:eastAsia="Arial" w:hAnsi="Arial"/>
          <w:sz w:val="15"/>
          <w:szCs w:val="15"/>
          <w:color w:val="auto"/>
        </w:rPr>
        <w:t>the Company shall pay to the Executive, in a lump sum in cash on the Date of Termination, (A) the Accrued Obligations and (B) 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47" w:lineRule="exact"/>
        <w:rPr>
          <w:sz w:val="20"/>
          <w:szCs w:val="20"/>
          <w:color w:val="auto"/>
        </w:rPr>
      </w:pPr>
    </w:p>
    <w:p>
      <w:pPr>
        <w:jc w:val="both"/>
        <w:ind w:right="20" w:firstLine="958"/>
        <w:spacing w:after="0" w:line="284" w:lineRule="auto"/>
        <w:rPr>
          <w:sz w:val="20"/>
          <w:szCs w:val="20"/>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53" w:lineRule="exact"/>
        <w:rPr>
          <w:sz w:val="20"/>
          <w:szCs w:val="20"/>
          <w:color w:val="auto"/>
        </w:rPr>
      </w:pPr>
    </w:p>
    <w:p>
      <w:pPr>
        <w:jc w:val="both"/>
        <w:ind w:firstLine="887"/>
        <w:spacing w:after="0" w:line="259" w:lineRule="auto"/>
        <w:rPr>
          <w:sz w:val="20"/>
          <w:szCs w:val="20"/>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59" w:right="21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to the Executive and/or extend beyond the COBRA continuation period, then such payments shall be made monthly in advance.</w:t>
      </w:r>
    </w:p>
    <w:p>
      <w:pPr>
        <w:spacing w:after="0" w:line="109" w:lineRule="exact"/>
        <w:rPr>
          <w:sz w:val="20"/>
          <w:szCs w:val="20"/>
          <w:color w:val="auto"/>
        </w:rPr>
      </w:pPr>
    </w:p>
    <w:p>
      <w:pPr>
        <w:jc w:val="both"/>
        <w:ind w:firstLine="665"/>
        <w:spacing w:after="0" w:line="269" w:lineRule="auto"/>
        <w:tabs>
          <w:tab w:leader="none" w:pos="92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Termination More Than 12 Months Following Change in Control Date</w:t>
      </w:r>
      <w:r>
        <w:rPr>
          <w:rFonts w:ascii="Arial" w:cs="Arial" w:eastAsia="Arial" w:hAnsi="Arial"/>
          <w:sz w:val="16"/>
          <w:szCs w:val="16"/>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6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Company shall pay to the Executive, in a lump sum in cash on the Date of Termination, the Accrued Obligations;</w:t>
      </w:r>
    </w:p>
    <w:p>
      <w:pPr>
        <w:spacing w:after="0" w:line="109" w:lineRule="exact"/>
        <w:rPr>
          <w:sz w:val="20"/>
          <w:szCs w:val="20"/>
          <w:color w:val="auto"/>
        </w:rPr>
      </w:pPr>
    </w:p>
    <w:p>
      <w:pPr>
        <w:jc w:val="both"/>
        <w:ind w:firstLine="958"/>
        <w:spacing w:after="0" w:line="284" w:lineRule="auto"/>
        <w:rPr>
          <w:sz w:val="20"/>
          <w:szCs w:val="20"/>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53" w:lineRule="exact"/>
        <w:rPr>
          <w:sz w:val="20"/>
          <w:szCs w:val="20"/>
          <w:color w:val="auto"/>
        </w:rPr>
      </w:pPr>
    </w:p>
    <w:p>
      <w:pPr>
        <w:jc w:val="both"/>
        <w:ind w:firstLine="887"/>
        <w:spacing w:after="0" w:line="258" w:lineRule="auto"/>
        <w:rPr>
          <w:sz w:val="20"/>
          <w:szCs w:val="20"/>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77" w:lineRule="exact"/>
        <w:rPr>
          <w:sz w:val="20"/>
          <w:szCs w:val="20"/>
          <w:color w:val="auto"/>
        </w:rPr>
      </w:pPr>
    </w:p>
    <w:p>
      <w:pPr>
        <w:jc w:val="both"/>
        <w:ind w:firstLine="688"/>
        <w:spacing w:after="0" w:line="264" w:lineRule="auto"/>
        <w:tabs>
          <w:tab w:leader="none" w:pos="953"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68" w:lineRule="exact"/>
        <w:rPr>
          <w:rFonts w:ascii="Arial" w:cs="Arial" w:eastAsia="Arial" w:hAnsi="Arial"/>
          <w:sz w:val="16"/>
          <w:szCs w:val="16"/>
          <w:color w:val="auto"/>
        </w:rPr>
      </w:pPr>
    </w:p>
    <w:p>
      <w:pPr>
        <w:ind w:firstLine="607"/>
        <w:spacing w:after="0" w:line="319" w:lineRule="auto"/>
        <w:tabs>
          <w:tab w:leader="none" w:pos="876"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29" w:lineRule="exact"/>
        <w:rPr>
          <w:rFonts w:ascii="Arial" w:cs="Arial" w:eastAsia="Arial" w:hAnsi="Arial"/>
          <w:sz w:val="15"/>
          <w:szCs w:val="15"/>
          <w:color w:val="auto"/>
        </w:rPr>
      </w:pPr>
    </w:p>
    <w:p>
      <w:pPr>
        <w:ind w:left="620" w:hanging="216"/>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Section 280G Provisions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jc w:val="both"/>
        <w:ind w:firstLine="758"/>
        <w:spacing w:after="0" w:line="264" w:lineRule="auto"/>
        <w:tabs>
          <w:tab w:leader="none" w:pos="1036" w:val="left"/>
        </w:tabs>
        <w:numPr>
          <w:ilvl w:val="3"/>
          <w:numId w:val="1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35" w:name="page36"/>
    <w:bookmarkEnd w:id="35"/>
    <w:p>
      <w:pPr>
        <w:spacing w:after="0" w:line="284" w:lineRule="auto"/>
        <w:rPr>
          <w:sz w:val="20"/>
          <w:szCs w:val="20"/>
          <w:color w:val="auto"/>
        </w:rPr>
      </w:pPr>
      <w:r>
        <w:rPr>
          <w:rFonts w:ascii="Arial" w:cs="Arial" w:eastAsia="Arial" w:hAnsi="Arial"/>
          <w:sz w:val="16"/>
          <w:szCs w:val="16"/>
          <w:color w:val="auto"/>
        </w:rPr>
        <w:t>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53" w:lineRule="exact"/>
        <w:rPr>
          <w:sz w:val="20"/>
          <w:szCs w:val="20"/>
          <w:color w:val="auto"/>
        </w:rPr>
      </w:pPr>
    </w:p>
    <w:p>
      <w:pPr>
        <w:jc w:val="both"/>
        <w:ind w:firstLine="607"/>
        <w:spacing w:after="0" w:line="277" w:lineRule="auto"/>
        <w:tabs>
          <w:tab w:leader="none" w:pos="8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 “Section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62" w:lineRule="exact"/>
        <w:rPr>
          <w:rFonts w:ascii="Arial" w:cs="Arial" w:eastAsia="Arial" w:hAnsi="Arial"/>
          <w:sz w:val="15"/>
          <w:szCs w:val="15"/>
          <w:color w:val="auto"/>
        </w:rPr>
      </w:pPr>
    </w:p>
    <w:p>
      <w:pPr>
        <w:ind w:left="860" w:hanging="253"/>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purposes of this Section 4.3 the following terms shall have the following respective meanings:</w:t>
      </w:r>
    </w:p>
    <w:p>
      <w:pPr>
        <w:spacing w:after="0" w:line="109" w:lineRule="exact"/>
        <w:rPr>
          <w:sz w:val="20"/>
          <w:szCs w:val="20"/>
          <w:color w:val="auto"/>
        </w:rPr>
      </w:pPr>
    </w:p>
    <w:p>
      <w:pPr>
        <w:jc w:val="both"/>
        <w:ind w:firstLine="912"/>
        <w:spacing w:after="0" w:line="284" w:lineRule="auto"/>
        <w:rPr>
          <w:sz w:val="20"/>
          <w:szCs w:val="20"/>
          <w:color w:val="auto"/>
        </w:rPr>
      </w:pPr>
      <w:r>
        <w:rPr>
          <w:rFonts w:ascii="Arial" w:cs="Arial" w:eastAsia="Arial" w:hAnsi="Arial"/>
          <w:sz w:val="16"/>
          <w:szCs w:val="16"/>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53" w:lineRule="exact"/>
        <w:rPr>
          <w:sz w:val="20"/>
          <w:szCs w:val="20"/>
          <w:color w:val="auto"/>
        </w:rPr>
      </w:pPr>
    </w:p>
    <w:p>
      <w:pPr>
        <w:jc w:val="both"/>
        <w:ind w:firstLine="853"/>
        <w:spacing w:after="0" w:line="269" w:lineRule="auto"/>
        <w:rPr>
          <w:sz w:val="20"/>
          <w:szCs w:val="20"/>
          <w:color w:val="auto"/>
        </w:rPr>
      </w:pPr>
      <w:r>
        <w:rPr>
          <w:rFonts w:ascii="Arial" w:cs="Arial" w:eastAsia="Arial" w:hAnsi="Arial"/>
          <w:sz w:val="16"/>
          <w:szCs w:val="16"/>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6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“Excess Parachute Payment” shall mean a payment described in Section 280G(b)(1) of the Code.</w:t>
      </w:r>
    </w:p>
    <w:p>
      <w:pPr>
        <w:spacing w:after="0" w:line="109" w:lineRule="exact"/>
        <w:rPr>
          <w:sz w:val="20"/>
          <w:szCs w:val="20"/>
          <w:color w:val="auto"/>
        </w:rPr>
      </w:pPr>
    </w:p>
    <w:p>
      <w:pPr>
        <w:ind w:firstLine="901"/>
        <w:spacing w:after="0" w:line="319" w:lineRule="auto"/>
        <w:tabs>
          <w:tab w:leader="none" w:pos="1181"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30" w:lineRule="exact"/>
        <w:rPr>
          <w:sz w:val="20"/>
          <w:szCs w:val="20"/>
          <w:color w:val="auto"/>
        </w:rPr>
      </w:pPr>
    </w:p>
    <w:p>
      <w:pPr>
        <w:jc w:val="both"/>
        <w:ind w:firstLine="900"/>
        <w:spacing w:after="0" w:line="283" w:lineRule="auto"/>
        <w:rPr>
          <w:sz w:val="20"/>
          <w:szCs w:val="20"/>
          <w:color w:val="auto"/>
        </w:rPr>
      </w:pPr>
      <w:r>
        <w:rPr>
          <w:rFonts w:ascii="Arial" w:cs="Arial" w:eastAsia="Arial" w:hAnsi="Arial"/>
          <w:sz w:val="15"/>
          <w:szCs w:val="15"/>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36" w:name="page37"/>
    <w:bookmarkEnd w:id="36"/>
    <w:p>
      <w:pPr>
        <w:ind w:left="2"/>
        <w:spacing w:after="0"/>
        <w:rPr>
          <w:sz w:val="20"/>
          <w:szCs w:val="20"/>
          <w:color w:val="auto"/>
        </w:rPr>
      </w:pPr>
      <w:r>
        <w:rPr>
          <w:rFonts w:ascii="Arial" w:cs="Arial" w:eastAsia="Arial" w:hAnsi="Arial"/>
          <w:sz w:val="16"/>
          <w:szCs w:val="16"/>
          <w:color w:val="auto"/>
        </w:rPr>
        <w:t>Payments constitute Contingent Compensation Payments, (2) the Eliminated Amount and (3) whether the Section 4.3(b) Override is applicable.</w:t>
      </w:r>
    </w:p>
    <w:p>
      <w:pPr>
        <w:spacing w:after="0" w:line="109" w:lineRule="exact"/>
        <w:rPr>
          <w:sz w:val="20"/>
          <w:szCs w:val="20"/>
          <w:color w:val="auto"/>
        </w:rPr>
      </w:pPr>
    </w:p>
    <w:p>
      <w:pPr>
        <w:ind w:left="962"/>
        <w:spacing w:after="0"/>
        <w:rPr>
          <w:sz w:val="20"/>
          <w:szCs w:val="20"/>
          <w:color w:val="auto"/>
        </w:rPr>
      </w:pPr>
      <w:r>
        <w:rPr>
          <w:rFonts w:ascii="Arial" w:cs="Arial" w:eastAsia="Arial" w:hAnsi="Arial"/>
          <w:sz w:val="15"/>
          <w:szCs w:val="15"/>
          <w:color w:val="auto"/>
        </w:rPr>
        <w:t>Within 30 days after delivery of such notice to the Executive, the Executive shall deliver a response to the Company (the “Executive Response”) stating either</w:t>
      </w:r>
    </w:p>
    <w:p>
      <w:pPr>
        <w:spacing w:after="0" w:line="34" w:lineRule="exact"/>
        <w:rPr>
          <w:sz w:val="20"/>
          <w:szCs w:val="20"/>
          <w:color w:val="auto"/>
        </w:rPr>
      </w:pPr>
    </w:p>
    <w:p>
      <w:pPr>
        <w:ind w:left="282" w:hanging="282"/>
        <w:spacing w:after="0"/>
        <w:tabs>
          <w:tab w:leader="none" w:pos="282"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that he agrees with the Company’s determination pursuant to the preceding sentence, or (B) that he disagrees with such determination, in which case he shall set forth</w:t>
      </w:r>
    </w:p>
    <w:p>
      <w:pPr>
        <w:spacing w:after="0" w:line="22" w:lineRule="exact"/>
        <w:rPr>
          <w:rFonts w:ascii="Arial" w:cs="Arial" w:eastAsia="Arial" w:hAnsi="Arial"/>
          <w:sz w:val="15"/>
          <w:szCs w:val="15"/>
          <w:color w:val="auto"/>
        </w:rPr>
      </w:pPr>
    </w:p>
    <w:p>
      <w:pPr>
        <w:ind w:left="2" w:right="20"/>
        <w:spacing w:after="0" w:line="269" w:lineRule="auto"/>
        <w:rPr>
          <w:rFonts w:ascii="Arial" w:cs="Arial" w:eastAsia="Arial" w:hAnsi="Arial"/>
          <w:sz w:val="15"/>
          <w:szCs w:val="15"/>
          <w:color w:val="auto"/>
        </w:rPr>
      </w:pPr>
      <w:r>
        <w:rPr>
          <w:rFonts w:ascii="Arial" w:cs="Arial" w:eastAsia="Arial" w:hAnsi="Arial"/>
          <w:sz w:val="16"/>
          <w:szCs w:val="16"/>
          <w:color w:val="auto"/>
        </w:rPr>
        <w:t>(1) which Potential Payments should be characterized as Contingent Compensation Payments, (2) the Eliminated Amount, or (3) whether the Section 4.3(b) Override is applicable.</w:t>
      </w:r>
    </w:p>
    <w:p>
      <w:pPr>
        <w:spacing w:after="0" w:line="64" w:lineRule="exact"/>
        <w:rPr>
          <w:sz w:val="20"/>
          <w:szCs w:val="20"/>
          <w:color w:val="auto"/>
        </w:rPr>
      </w:pPr>
    </w:p>
    <w:p>
      <w:pPr>
        <w:ind w:left="2" w:right="20" w:firstLine="835"/>
        <w:spacing w:after="0" w:line="299" w:lineRule="auto"/>
        <w:rPr>
          <w:sz w:val="20"/>
          <w:szCs w:val="20"/>
          <w:color w:val="auto"/>
        </w:rPr>
      </w:pPr>
      <w:r>
        <w:rPr>
          <w:rFonts w:ascii="Arial" w:cs="Arial" w:eastAsia="Arial" w:hAnsi="Arial"/>
          <w:sz w:val="14"/>
          <w:szCs w:val="14"/>
          <w:color w:val="auto"/>
        </w:rPr>
        <w:t>If and to the extent that any Contingent Compensation Payments are required to be treated as Eliminated Payments pursuant to this Section 4.3, then the Payments shall be reduced or eliminated, as determined by the Company, in the following order: (A) any cash payments, (B) any taxable benefits, (C) any nontaxable benefits, and</w:t>
      </w:r>
    </w:p>
    <w:p>
      <w:pPr>
        <w:spacing w:after="0" w:line="1" w:lineRule="exact"/>
        <w:rPr>
          <w:sz w:val="20"/>
          <w:szCs w:val="20"/>
          <w:color w:val="auto"/>
        </w:rPr>
      </w:pPr>
    </w:p>
    <w:p>
      <w:pPr>
        <w:ind w:left="2" w:right="20" w:hanging="2"/>
        <w:spacing w:after="0" w:line="269" w:lineRule="auto"/>
        <w:tabs>
          <w:tab w:leader="none" w:pos="2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64" w:lineRule="exact"/>
        <w:rPr>
          <w:sz w:val="20"/>
          <w:szCs w:val="20"/>
          <w:color w:val="auto"/>
        </w:rPr>
      </w:pPr>
    </w:p>
    <w:p>
      <w:pPr>
        <w:jc w:val="both"/>
        <w:ind w:left="2" w:firstLine="873"/>
        <w:spacing w:after="0" w:line="264" w:lineRule="auto"/>
        <w:rPr>
          <w:sz w:val="20"/>
          <w:szCs w:val="20"/>
          <w:color w:val="auto"/>
        </w:rPr>
      </w:pPr>
      <w:r>
        <w:rPr>
          <w:rFonts w:ascii="Arial" w:cs="Arial" w:eastAsia="Arial" w:hAnsi="Arial"/>
          <w:sz w:val="16"/>
          <w:szCs w:val="16"/>
          <w:color w:val="auto"/>
        </w:rPr>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69" w:lineRule="exact"/>
        <w:rPr>
          <w:sz w:val="20"/>
          <w:szCs w:val="20"/>
          <w:color w:val="auto"/>
        </w:rPr>
      </w:pPr>
    </w:p>
    <w:p>
      <w:pPr>
        <w:jc w:val="both"/>
        <w:ind w:left="2" w:right="20" w:firstLine="1040"/>
        <w:spacing w:after="0" w:line="287" w:lineRule="auto"/>
        <w:rPr>
          <w:sz w:val="20"/>
          <w:szCs w:val="20"/>
          <w:color w:val="auto"/>
        </w:rPr>
      </w:pPr>
      <w:r>
        <w:rPr>
          <w:rFonts w:ascii="Arial" w:cs="Arial" w:eastAsia="Arial" w:hAnsi="Arial"/>
          <w:sz w:val="15"/>
          <w:szCs w:val="15"/>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53" w:lineRule="exact"/>
        <w:rPr>
          <w:sz w:val="20"/>
          <w:szCs w:val="20"/>
          <w:color w:val="auto"/>
        </w:rPr>
      </w:pPr>
    </w:p>
    <w:p>
      <w:pPr>
        <w:jc w:val="both"/>
        <w:ind w:left="2" w:firstLine="970"/>
        <w:spacing w:after="0" w:line="279" w:lineRule="auto"/>
        <w:rPr>
          <w:sz w:val="20"/>
          <w:szCs w:val="20"/>
          <w:color w:val="auto"/>
        </w:rPr>
      </w:pPr>
      <w:r>
        <w:rPr>
          <w:rFonts w:ascii="Arial" w:cs="Arial" w:eastAsia="Arial" w:hAnsi="Arial"/>
          <w:sz w:val="15"/>
          <w:szCs w:val="15"/>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61" w:lineRule="exact"/>
        <w:rPr>
          <w:sz w:val="20"/>
          <w:szCs w:val="20"/>
          <w:color w:val="auto"/>
        </w:rPr>
      </w:pPr>
    </w:p>
    <w:p>
      <w:pPr>
        <w:jc w:val="both"/>
        <w:ind w:left="2" w:right="20" w:firstLine="930"/>
        <w:spacing w:after="0" w:line="284" w:lineRule="auto"/>
        <w:rPr>
          <w:sz w:val="20"/>
          <w:szCs w:val="20"/>
          <w:color w:val="auto"/>
        </w:rPr>
      </w:pPr>
      <w:r>
        <w:rPr>
          <w:rFonts w:ascii="Arial" w:cs="Arial" w:eastAsia="Arial" w:hAnsi="Arial"/>
          <w:sz w:val="16"/>
          <w:szCs w:val="16"/>
          <w:color w:val="auto"/>
        </w:rPr>
        <w:t>Subject to the limitations contained in Sections 4.3(a) and (b) hereof, the amount of any payments to be made to the Executive following the resolution of such dispute shall be</w:t>
      </w: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503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2"/>
          </w:cols>
          <w:pgMar w:left="238" w:top="859" w:right="219" w:bottom="1440" w:gutter="0" w:footer="0" w:header="0"/>
        </w:sectPr>
      </w:pPr>
    </w:p>
    <w:bookmarkStart w:id="37" w:name="page38"/>
    <w:bookmarkEnd w:id="37"/>
    <w:p>
      <w:pPr>
        <w:jc w:val="both"/>
        <w:ind w:right="20"/>
        <w:spacing w:after="0" w:line="284" w:lineRule="auto"/>
        <w:rPr>
          <w:sz w:val="20"/>
          <w:szCs w:val="20"/>
          <w:color w:val="auto"/>
        </w:rPr>
      </w:pPr>
      <w:r>
        <w:rPr>
          <w:rFonts w:ascii="Arial" w:cs="Arial" w:eastAsia="Arial" w:hAnsi="Arial"/>
          <w:sz w:val="16"/>
          <w:szCs w:val="16"/>
          <w:color w:val="auto"/>
        </w:rPr>
        <w:t>increased by amount of the accrued interest thereon computed at the prime rate announced from time to time by Bank of America, compounded monthly from the date that such payments originally were due.</w:t>
      </w:r>
    </w:p>
    <w:p>
      <w:pPr>
        <w:spacing w:after="0" w:line="53" w:lineRule="exact"/>
        <w:rPr>
          <w:sz w:val="20"/>
          <w:szCs w:val="20"/>
          <w:color w:val="auto"/>
        </w:rPr>
      </w:pPr>
    </w:p>
    <w:p>
      <w:pPr>
        <w:jc w:val="both"/>
        <w:ind w:firstLine="1202"/>
        <w:spacing w:after="0" w:line="264" w:lineRule="auto"/>
        <w:rPr>
          <w:sz w:val="20"/>
          <w:szCs w:val="20"/>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69" w:lineRule="exact"/>
        <w:rPr>
          <w:sz w:val="20"/>
          <w:szCs w:val="20"/>
          <w:color w:val="auto"/>
        </w:rPr>
      </w:pPr>
    </w:p>
    <w:p>
      <w:pPr>
        <w:ind w:right="20" w:firstLine="838"/>
        <w:spacing w:after="0" w:line="284" w:lineRule="auto"/>
        <w:tabs>
          <w:tab w:leader="none" w:pos="1102" w:val="left"/>
        </w:tabs>
        <w:numPr>
          <w:ilvl w:val="4"/>
          <w:numId w:val="23"/>
        </w:numPr>
        <w:rPr>
          <w:rFonts w:ascii="Arial" w:cs="Arial" w:eastAsia="Arial" w:hAnsi="Arial"/>
          <w:sz w:val="16"/>
          <w:szCs w:val="16"/>
          <w:color w:val="auto"/>
        </w:rPr>
      </w:pPr>
      <w:r>
        <w:rPr>
          <w:rFonts w:ascii="Arial" w:cs="Arial" w:eastAsia="Arial" w:hAnsi="Arial"/>
          <w:sz w:val="16"/>
          <w:szCs w:val="16"/>
          <w:color w:val="auto"/>
        </w:rPr>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52" w:lineRule="exact"/>
        <w:rPr>
          <w:rFonts w:ascii="Arial" w:cs="Arial" w:eastAsia="Arial" w:hAnsi="Arial"/>
          <w:sz w:val="16"/>
          <w:szCs w:val="16"/>
          <w:color w:val="auto"/>
        </w:rPr>
      </w:pPr>
    </w:p>
    <w:p>
      <w:pPr>
        <w:jc w:val="both"/>
        <w:ind w:right="20" w:firstLine="493"/>
        <w:spacing w:after="0" w:line="281" w:lineRule="auto"/>
        <w:tabs>
          <w:tab w:leader="none" w:pos="734" w:val="left"/>
        </w:tabs>
        <w:numPr>
          <w:ilvl w:val="2"/>
          <w:numId w:val="24"/>
        </w:numPr>
        <w:rPr>
          <w:rFonts w:ascii="Arial" w:cs="Arial" w:eastAsia="Arial" w:hAnsi="Arial"/>
          <w:sz w:val="15"/>
          <w:szCs w:val="15"/>
          <w:color w:val="auto"/>
        </w:rPr>
      </w:pP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 Section 4.1(a), Section 4.2(a) or Section 4.2(b) shall be payable or shall commence on the 30</w:t>
      </w:r>
      <w:r>
        <w:rPr>
          <w:rFonts w:ascii="Arial" w:cs="Arial" w:eastAsia="Arial" w:hAnsi="Arial"/>
          <w:sz w:val="12"/>
          <w:szCs w:val="12"/>
          <w:color w:val="auto"/>
        </w:rPr>
        <w:t>th</w:t>
      </w:r>
      <w:r>
        <w:rPr>
          <w:rFonts w:ascii="Arial" w:cs="Arial" w:eastAsia="Arial" w:hAnsi="Arial"/>
          <w:sz w:val="15"/>
          <w:szCs w:val="15"/>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57" w:lineRule="exact"/>
        <w:rPr>
          <w:rFonts w:ascii="Arial" w:cs="Arial" w:eastAsia="Arial" w:hAnsi="Arial"/>
          <w:sz w:val="15"/>
          <w:szCs w:val="15"/>
          <w:color w:val="auto"/>
        </w:rPr>
      </w:pPr>
    </w:p>
    <w:p>
      <w:pPr>
        <w:jc w:val="both"/>
        <w:ind w:right="20" w:firstLine="415"/>
        <w:spacing w:after="0" w:line="264"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Exclusive Severance Benefits</w:t>
      </w:r>
      <w:r>
        <w:rPr>
          <w:rFonts w:ascii="Arial" w:cs="Arial" w:eastAsia="Arial" w:hAnsi="Arial"/>
          <w:sz w:val="16"/>
          <w:szCs w:val="16"/>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68" w:lineRule="exact"/>
        <w:rPr>
          <w:rFonts w:ascii="Arial" w:cs="Arial" w:eastAsia="Arial" w:hAnsi="Arial"/>
          <w:sz w:val="16"/>
          <w:szCs w:val="16"/>
          <w:color w:val="auto"/>
        </w:rPr>
      </w:pPr>
    </w:p>
    <w:p>
      <w:pPr>
        <w:jc w:val="both"/>
        <w:ind w:right="20" w:firstLine="437"/>
        <w:spacing w:after="0" w:line="264" w:lineRule="auto"/>
        <w:tabs>
          <w:tab w:leader="none" w:pos="64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68" w:lineRule="exact"/>
        <w:rPr>
          <w:rFonts w:ascii="Arial" w:cs="Arial" w:eastAsia="Arial" w:hAnsi="Arial"/>
          <w:sz w:val="16"/>
          <w:szCs w:val="16"/>
          <w:color w:val="auto"/>
        </w:rPr>
      </w:pPr>
    </w:p>
    <w:p>
      <w:pPr>
        <w:jc w:val="both"/>
        <w:ind w:right="20" w:firstLine="482"/>
        <w:spacing w:after="0" w:line="269" w:lineRule="auto"/>
        <w:tabs>
          <w:tab w:leader="none" w:pos="72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64" w:lineRule="exact"/>
        <w:rPr>
          <w:rFonts w:ascii="Arial" w:cs="Arial" w:eastAsia="Arial" w:hAnsi="Arial"/>
          <w:sz w:val="16"/>
          <w:szCs w:val="16"/>
          <w:color w:val="auto"/>
        </w:rPr>
      </w:pPr>
    </w:p>
    <w:p>
      <w:pPr>
        <w:ind w:right="20" w:firstLine="738"/>
        <w:spacing w:after="0" w:line="284" w:lineRule="auto"/>
        <w:tabs>
          <w:tab w:leader="none" w:pos="1016" w:val="left"/>
        </w:tabs>
        <w:numPr>
          <w:ilvl w:val="3"/>
          <w:numId w:val="25"/>
        </w:numPr>
        <w:rPr>
          <w:rFonts w:ascii="Arial" w:cs="Arial" w:eastAsia="Arial" w:hAnsi="Arial"/>
          <w:sz w:val="16"/>
          <w:szCs w:val="16"/>
          <w:color w:val="auto"/>
        </w:rPr>
      </w:pPr>
      <w:r>
        <w:rPr>
          <w:rFonts w:ascii="Arial" w:cs="Arial" w:eastAsia="Arial" w:hAnsi="Arial"/>
          <w:sz w:val="16"/>
          <w:szCs w:val="16"/>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59" w:right="219" w:bottom="1440" w:gutter="0" w:footer="0" w:header="0"/>
        </w:sectPr>
      </w:pPr>
    </w:p>
    <w:bookmarkStart w:id="38" w:name="page39"/>
    <w:bookmarkEnd w:id="38"/>
    <w:p>
      <w:pPr>
        <w:ind w:right="20"/>
        <w:spacing w:after="0" w:line="284" w:lineRule="auto"/>
        <w:rPr>
          <w:sz w:val="20"/>
          <w:szCs w:val="20"/>
          <w:color w:val="auto"/>
        </w:rPr>
      </w:pPr>
      <w:r>
        <w:rPr>
          <w:rFonts w:ascii="Arial" w:cs="Arial" w:eastAsia="Arial" w:hAnsi="Arial"/>
          <w:sz w:val="16"/>
          <w:szCs w:val="16"/>
          <w:color w:val="auto"/>
        </w:rPr>
        <w:t>Neither the Company nor the Executive shall have the right to accelerate or defer the delivery of any such payments or benefits except to the extent specifically permitted or required by Section 409A;</w:t>
      </w:r>
    </w:p>
    <w:p>
      <w:pPr>
        <w:spacing w:after="0" w:line="53" w:lineRule="exact"/>
        <w:rPr>
          <w:sz w:val="20"/>
          <w:szCs w:val="20"/>
          <w:color w:val="auto"/>
        </w:rPr>
      </w:pPr>
    </w:p>
    <w:p>
      <w:pPr>
        <w:jc w:val="both"/>
        <w:ind w:firstLine="799"/>
        <w:spacing w:after="0" w:line="269" w:lineRule="auto"/>
        <w:tabs>
          <w:tab w:leader="none" w:pos="1072"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64" w:lineRule="exact"/>
        <w:rPr>
          <w:rFonts w:ascii="Arial" w:cs="Arial" w:eastAsia="Arial" w:hAnsi="Arial"/>
          <w:sz w:val="16"/>
          <w:szCs w:val="16"/>
          <w:color w:val="auto"/>
        </w:rPr>
      </w:pPr>
    </w:p>
    <w:p>
      <w:pPr>
        <w:ind w:left="860" w:hanging="253"/>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09" w:lineRule="exact"/>
        <w:rPr>
          <w:sz w:val="20"/>
          <w:szCs w:val="20"/>
          <w:color w:val="auto"/>
        </w:rPr>
      </w:pPr>
    </w:p>
    <w:p>
      <w:pPr>
        <w:jc w:val="both"/>
        <w:ind w:firstLine="839"/>
        <w:spacing w:after="0" w:line="269" w:lineRule="auto"/>
        <w:rPr>
          <w:sz w:val="20"/>
          <w:szCs w:val="20"/>
          <w:color w:val="auto"/>
        </w:rPr>
      </w:pPr>
      <w:r>
        <w:rPr>
          <w:rFonts w:ascii="Arial" w:cs="Arial" w:eastAsia="Arial" w:hAnsi="Arial"/>
          <w:sz w:val="16"/>
          <w:szCs w:val="16"/>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w:t>
      </w:r>
    </w:p>
    <w:p>
      <w:pPr>
        <w:spacing w:after="0" w:line="65" w:lineRule="exact"/>
        <w:rPr>
          <w:sz w:val="20"/>
          <w:szCs w:val="20"/>
          <w:color w:val="auto"/>
        </w:rPr>
      </w:pPr>
    </w:p>
    <w:p>
      <w:pPr>
        <w:jc w:val="both"/>
        <w:ind w:firstLine="813"/>
        <w:spacing w:after="0" w:line="277" w:lineRule="auto"/>
        <w:rPr>
          <w:sz w:val="20"/>
          <w:szCs w:val="20"/>
          <w:color w:val="auto"/>
        </w:rPr>
      </w:pPr>
      <w:r>
        <w:rPr>
          <w:rFonts w:ascii="Arial" w:cs="Arial" w:eastAsia="Arial" w:hAnsi="Arial"/>
          <w:sz w:val="15"/>
          <w:szCs w:val="15"/>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63" w:lineRule="exact"/>
        <w:rPr>
          <w:sz w:val="20"/>
          <w:szCs w:val="20"/>
          <w:color w:val="auto"/>
        </w:rPr>
      </w:pPr>
    </w:p>
    <w:p>
      <w:pPr>
        <w:jc w:val="both"/>
        <w:ind w:right="20" w:firstLine="682"/>
        <w:spacing w:after="0" w:line="269" w:lineRule="auto"/>
        <w:tabs>
          <w:tab w:leader="none" w:pos="9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64" w:lineRule="exact"/>
        <w:rPr>
          <w:rFonts w:ascii="Arial" w:cs="Arial" w:eastAsia="Arial" w:hAnsi="Arial"/>
          <w:sz w:val="16"/>
          <w:szCs w:val="16"/>
          <w:color w:val="auto"/>
        </w:rPr>
      </w:pPr>
    </w:p>
    <w:p>
      <w:pPr>
        <w:jc w:val="both"/>
        <w:ind w:right="20" w:firstLine="715"/>
        <w:spacing w:after="0" w:line="260" w:lineRule="auto"/>
        <w:tabs>
          <w:tab w:leader="none" w:pos="964"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59" w:right="219" w:bottom="1440" w:gutter="0" w:footer="0" w:header="0"/>
        </w:sectPr>
      </w:pPr>
    </w:p>
    <w:bookmarkStart w:id="39" w:name="page40"/>
    <w:bookmarkEnd w:id="39"/>
    <w:p>
      <w:pPr>
        <w:ind w:right="20" w:firstLine="804"/>
        <w:spacing w:after="0" w:line="284" w:lineRule="auto"/>
        <w:tabs>
          <w:tab w:leader="none" w:pos="1056" w:val="left"/>
        </w:tabs>
        <w:numPr>
          <w:ilvl w:val="6"/>
          <w:numId w:val="29"/>
        </w:numPr>
        <w:rPr>
          <w:rFonts w:ascii="Arial" w:cs="Arial" w:eastAsia="Arial" w:hAnsi="Arial"/>
          <w:sz w:val="16"/>
          <w:szCs w:val="16"/>
          <w:color w:val="auto"/>
        </w:rPr>
      </w:pPr>
      <w:r>
        <w:rPr>
          <w:rFonts w:ascii="Arial" w:cs="Arial" w:eastAsia="Arial" w:hAnsi="Arial"/>
          <w:sz w:val="16"/>
          <w:szCs w:val="16"/>
          <w:color w:val="auto"/>
        </w:rPr>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52" w:lineRule="exact"/>
        <w:rPr>
          <w:rFonts w:ascii="Arial" w:cs="Arial" w:eastAsia="Arial" w:hAnsi="Arial"/>
          <w:sz w:val="16"/>
          <w:szCs w:val="16"/>
          <w:color w:val="auto"/>
        </w:rPr>
      </w:pPr>
    </w:p>
    <w:p>
      <w:pPr>
        <w:jc w:val="both"/>
        <w:ind w:right="20" w:firstLine="225"/>
        <w:spacing w:after="0" w:line="262" w:lineRule="auto"/>
        <w:tabs>
          <w:tab w:leader="none" w:pos="390" w:val="left"/>
        </w:tabs>
        <w:numPr>
          <w:ilvl w:val="1"/>
          <w:numId w:val="30"/>
        </w:numPr>
        <w:rPr>
          <w:rFonts w:ascii="Arial" w:cs="Arial" w:eastAsia="Arial" w:hAnsi="Arial"/>
          <w:sz w:val="16"/>
          <w:szCs w:val="16"/>
          <w:b w:val="1"/>
          <w:bCs w:val="1"/>
          <w:color w:val="auto"/>
        </w:rPr>
      </w:pPr>
      <w:r>
        <w:rPr>
          <w:rFonts w:ascii="Arial" w:cs="Arial" w:eastAsia="Arial" w:hAnsi="Arial"/>
          <w:sz w:val="16"/>
          <w:szCs w:val="16"/>
          <w:u w:val="single" w:color="auto"/>
          <w:color w:val="auto"/>
        </w:rPr>
        <w:t>Settlement of Disputes; Arbitration</w:t>
      </w:r>
      <w:r>
        <w:rPr>
          <w:rFonts w:ascii="Arial" w:cs="Arial" w:eastAsia="Arial" w:hAnsi="Arial"/>
          <w:sz w:val="16"/>
          <w:szCs w:val="16"/>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69" w:lineRule="exact"/>
        <w:rPr>
          <w:rFonts w:ascii="Arial" w:cs="Arial" w:eastAsia="Arial" w:hAnsi="Arial"/>
          <w:sz w:val="16"/>
          <w:szCs w:val="16"/>
          <w:b w:val="1"/>
          <w:bCs w:val="1"/>
          <w:color w:val="auto"/>
        </w:rPr>
      </w:pPr>
    </w:p>
    <w:p>
      <w:pPr>
        <w:ind w:left="360" w:hanging="159"/>
        <w:spacing w:after="0"/>
        <w:tabs>
          <w:tab w:leader="none" w:pos="360" w:val="left"/>
        </w:tabs>
        <w:numPr>
          <w:ilvl w:val="0"/>
          <w:numId w:val="31"/>
        </w:numPr>
        <w:rPr>
          <w:rFonts w:ascii="Arial" w:cs="Arial" w:eastAsia="Arial" w:hAnsi="Arial"/>
          <w:sz w:val="16"/>
          <w:szCs w:val="16"/>
          <w:b w:val="1"/>
          <w:bCs w:val="1"/>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08" w:lineRule="exact"/>
        <w:rPr>
          <w:rFonts w:ascii="Arial" w:cs="Arial" w:eastAsia="Arial" w:hAnsi="Arial"/>
          <w:sz w:val="16"/>
          <w:szCs w:val="16"/>
          <w:b w:val="1"/>
          <w:bCs w:val="1"/>
          <w:color w:val="auto"/>
        </w:rPr>
      </w:pPr>
    </w:p>
    <w:p>
      <w:pPr>
        <w:jc w:val="both"/>
        <w:ind w:firstLine="460"/>
        <w:spacing w:after="0" w:line="287" w:lineRule="auto"/>
        <w:tabs>
          <w:tab w:leader="none" w:pos="689" w:val="left"/>
        </w:tabs>
        <w:numPr>
          <w:ilvl w:val="3"/>
          <w:numId w:val="31"/>
        </w:numPr>
        <w:rPr>
          <w:rFonts w:ascii="Arial" w:cs="Arial" w:eastAsia="Arial" w:hAnsi="Arial"/>
          <w:sz w:val="15"/>
          <w:szCs w:val="15"/>
          <w:color w:val="auto"/>
        </w:rPr>
      </w:pPr>
      <w:r>
        <w:rPr>
          <w:rFonts w:ascii="Arial" w:cs="Arial" w:eastAsia="Arial" w:hAnsi="Arial"/>
          <w:sz w:val="15"/>
          <w:szCs w:val="15"/>
          <w:u w:val="single" w:color="auto"/>
          <w:color w:val="auto"/>
        </w:rPr>
        <w:t>Successors</w:t>
      </w:r>
      <w:r>
        <w:rPr>
          <w:rFonts w:ascii="Arial" w:cs="Arial" w:eastAsia="Arial" w:hAnsi="Arial"/>
          <w:sz w:val="15"/>
          <w:szCs w:val="15"/>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53" w:lineRule="exact"/>
        <w:rPr>
          <w:rFonts w:ascii="Arial" w:cs="Arial" w:eastAsia="Arial" w:hAnsi="Arial"/>
          <w:sz w:val="15"/>
          <w:szCs w:val="15"/>
          <w:color w:val="auto"/>
        </w:rPr>
      </w:pPr>
    </w:p>
    <w:p>
      <w:pPr>
        <w:jc w:val="both"/>
        <w:ind w:firstLine="670"/>
        <w:spacing w:after="0" w:line="258" w:lineRule="auto"/>
        <w:tabs>
          <w:tab w:leader="none" w:pos="930" w:val="left"/>
        </w:tabs>
        <w:numPr>
          <w:ilvl w:val="5"/>
          <w:numId w:val="31"/>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77" w:lineRule="exact"/>
        <w:rPr>
          <w:rFonts w:ascii="Arial" w:cs="Arial" w:eastAsia="Arial" w:hAnsi="Arial"/>
          <w:sz w:val="16"/>
          <w:szCs w:val="16"/>
          <w:color w:val="auto"/>
        </w:rPr>
      </w:pPr>
    </w:p>
    <w:p>
      <w:pPr>
        <w:ind w:right="20" w:firstLine="404"/>
        <w:spacing w:after="0" w:line="284" w:lineRule="auto"/>
        <w:tabs>
          <w:tab w:leader="none" w:pos="628"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Employment by Subsidiary</w:t>
      </w:r>
      <w:r>
        <w:rPr>
          <w:rFonts w:ascii="Arial" w:cs="Arial" w:eastAsia="Arial" w:hAnsi="Arial"/>
          <w:sz w:val="16"/>
          <w:szCs w:val="16"/>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52" w:lineRule="exact"/>
        <w:rPr>
          <w:rFonts w:ascii="Arial" w:cs="Arial" w:eastAsia="Arial" w:hAnsi="Arial"/>
          <w:sz w:val="16"/>
          <w:szCs w:val="16"/>
          <w:color w:val="auto"/>
        </w:rPr>
      </w:pPr>
    </w:p>
    <w:p>
      <w:pPr>
        <w:ind w:right="20" w:firstLine="571"/>
        <w:spacing w:after="0" w:line="284" w:lineRule="auto"/>
        <w:tabs>
          <w:tab w:leader="none" w:pos="820" w:val="left"/>
        </w:tabs>
        <w:numPr>
          <w:ilvl w:val="4"/>
          <w:numId w:val="3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which shall remain in full force and effect.</w:t>
      </w:r>
    </w:p>
    <w:p>
      <w:pPr>
        <w:spacing w:after="0" w:line="52" w:lineRule="exact"/>
        <w:rPr>
          <w:rFonts w:ascii="Arial" w:cs="Arial" w:eastAsia="Arial" w:hAnsi="Arial"/>
          <w:sz w:val="16"/>
          <w:szCs w:val="16"/>
          <w:color w:val="auto"/>
        </w:rPr>
      </w:pPr>
    </w:p>
    <w:p>
      <w:pPr>
        <w:ind w:right="20" w:firstLine="571"/>
        <w:spacing w:after="0" w:line="284" w:lineRule="auto"/>
        <w:tabs>
          <w:tab w:leader="none" w:pos="811" w:val="left"/>
        </w:tabs>
        <w:numPr>
          <w:ilvl w:val="4"/>
          <w:numId w:val="3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construction and performance of this Agreement shall be governed by the internal laws of the Commonwealth of Massachusetts, without regard to conflicts of law principles.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0"/>
          </w:cols>
          <w:pgMar w:left="240" w:top="859" w:right="219" w:bottom="1440" w:gutter="0" w:footer="0" w:header="0"/>
        </w:sectPr>
      </w:pPr>
    </w:p>
    <w:bookmarkStart w:id="40" w:name="page41"/>
    <w:bookmarkEnd w:id="40"/>
    <w:p>
      <w:pPr>
        <w:ind w:firstLine="471"/>
        <w:spacing w:after="0" w:line="284" w:lineRule="auto"/>
        <w:tabs>
          <w:tab w:leader="none" w:pos="683"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52" w:lineRule="exact"/>
        <w:rPr>
          <w:rFonts w:ascii="Arial" w:cs="Arial" w:eastAsia="Arial" w:hAnsi="Arial"/>
          <w:sz w:val="16"/>
          <w:szCs w:val="16"/>
          <w:color w:val="auto"/>
        </w:rPr>
      </w:pPr>
    </w:p>
    <w:p>
      <w:pPr>
        <w:ind w:firstLine="437"/>
        <w:spacing w:after="0" w:line="284" w:lineRule="auto"/>
        <w:tabs>
          <w:tab w:leader="none" w:pos="673"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to be an original but both of which together shall constitute one and the same instrument.</w:t>
      </w:r>
    </w:p>
    <w:p>
      <w:pPr>
        <w:spacing w:after="0" w:line="52" w:lineRule="exact"/>
        <w:rPr>
          <w:rFonts w:ascii="Arial" w:cs="Arial" w:eastAsia="Arial" w:hAnsi="Arial"/>
          <w:sz w:val="16"/>
          <w:szCs w:val="16"/>
          <w:color w:val="auto"/>
        </w:rPr>
      </w:pPr>
    </w:p>
    <w:p>
      <w:pPr>
        <w:ind w:left="640" w:hanging="236"/>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 law.</w:t>
      </w:r>
    </w:p>
    <w:p>
      <w:pPr>
        <w:spacing w:after="0" w:line="108" w:lineRule="exact"/>
        <w:rPr>
          <w:rFonts w:ascii="Arial" w:cs="Arial" w:eastAsia="Arial" w:hAnsi="Arial"/>
          <w:sz w:val="16"/>
          <w:szCs w:val="16"/>
          <w:color w:val="auto"/>
        </w:rPr>
      </w:pPr>
    </w:p>
    <w:p>
      <w:pPr>
        <w:jc w:val="both"/>
        <w:ind w:firstLine="526"/>
        <w:spacing w:after="0" w:line="283" w:lineRule="auto"/>
        <w:tabs>
          <w:tab w:leader="none" w:pos="735" w:val="left"/>
        </w:tabs>
        <w:numPr>
          <w:ilvl w:val="2"/>
          <w:numId w:val="33"/>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57" w:lineRule="exact"/>
        <w:rPr>
          <w:sz w:val="20"/>
          <w:szCs w:val="20"/>
          <w:color w:val="auto"/>
        </w:rPr>
      </w:pPr>
    </w:p>
    <w:p>
      <w:pPr>
        <w:ind w:left="600" w:hanging="196"/>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08" w:lineRule="exact"/>
        <w:rPr>
          <w:rFonts w:ascii="Arial" w:cs="Arial" w:eastAsia="Arial" w:hAnsi="Arial"/>
          <w:sz w:val="16"/>
          <w:szCs w:val="16"/>
          <w:color w:val="auto"/>
        </w:rPr>
      </w:pPr>
    </w:p>
    <w:p>
      <w:pPr>
        <w:jc w:val="both"/>
        <w:ind w:firstLine="515"/>
        <w:spacing w:after="0" w:line="264" w:lineRule="auto"/>
        <w:tabs>
          <w:tab w:leader="none" w:pos="759"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503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41" w:name="page42"/>
    <w:bookmarkEnd w:id="41"/>
    <w:p>
      <w:pPr>
        <w:spacing w:after="0"/>
        <w:rPr>
          <w:sz w:val="20"/>
          <w:szCs w:val="20"/>
          <w:color w:val="auto"/>
        </w:rPr>
      </w:pPr>
      <w:r>
        <w:rPr>
          <w:rFonts w:ascii="Arial" w:cs="Arial" w:eastAsia="Arial" w:hAnsi="Arial"/>
          <w:sz w:val="15"/>
          <w:szCs w:val="15"/>
          <w:color w:val="auto"/>
        </w:rPr>
        <w:t>IN WITNESS WHEREOF, the parties hereto have executed this Executive Severance Agreement as of the day and year first set forth above.</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AMERICAN SUPERCONDUCTOR CORPORATION</w:t>
      </w:r>
    </w:p>
    <w:p>
      <w:pPr>
        <w:spacing w:after="0" w:line="206" w:lineRule="exact"/>
        <w:rPr>
          <w:sz w:val="20"/>
          <w:szCs w:val="20"/>
          <w:color w:val="auto"/>
        </w:rPr>
      </w:pPr>
    </w:p>
    <w:tbl>
      <w:tblPr>
        <w:tblLayout w:type="fixed"/>
        <w:tblInd w:w="49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6"/>
                <w:szCs w:val="16"/>
                <w:color w:val="auto"/>
              </w:rPr>
              <w:t>Signature: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Gregory J. Yurek</w:t>
            </w:r>
          </w:p>
        </w:tc>
      </w:tr>
      <w:tr>
        <w:trPr>
          <w:trHeight w:val="176"/>
        </w:trPr>
        <w:tc>
          <w:tcPr>
            <w:tcW w:w="840" w:type="dxa"/>
            <w:vAlign w:val="bottom"/>
          </w:tcPr>
          <w:p>
            <w:pPr>
              <w:spacing w:after="0" w:line="176" w:lineRule="exact"/>
              <w:rPr>
                <w:sz w:val="20"/>
                <w:szCs w:val="20"/>
                <w:color w:val="auto"/>
              </w:rPr>
            </w:pPr>
            <w:r>
              <w:rPr>
                <w:rFonts w:ascii="Arial" w:cs="Arial" w:eastAsia="Arial" w:hAnsi="Arial"/>
                <w:sz w:val="16"/>
                <w:szCs w:val="16"/>
                <w:color w:val="auto"/>
              </w:rPr>
              <w:t>Print name:</w:t>
            </w:r>
          </w:p>
        </w:tc>
        <w:tc>
          <w:tcPr>
            <w:tcW w:w="3880" w:type="dxa"/>
            <w:vAlign w:val="bottom"/>
          </w:tcPr>
          <w:p>
            <w:pPr>
              <w:spacing w:after="0" w:line="176" w:lineRule="exact"/>
              <w:rPr>
                <w:sz w:val="20"/>
                <w:szCs w:val="20"/>
                <w:color w:val="auto"/>
              </w:rPr>
            </w:pPr>
            <w:r>
              <w:rPr>
                <w:rFonts w:ascii="Arial" w:cs="Arial" w:eastAsia="Arial" w:hAnsi="Arial"/>
                <w:sz w:val="16"/>
                <w:szCs w:val="16"/>
                <w:color w:val="auto"/>
              </w:rPr>
              <w:t>Gregory J. Yurek</w:t>
            </w:r>
          </w:p>
        </w:tc>
      </w:tr>
      <w:tr>
        <w:trPr>
          <w:trHeight w:val="207"/>
        </w:trPr>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390"/>
        </w:trPr>
        <w:tc>
          <w:tcPr>
            <w:tcW w:w="4720" w:type="dxa"/>
            <w:vAlign w:val="bottom"/>
            <w:gridSpan w:val="2"/>
          </w:tcPr>
          <w:p>
            <w:pPr>
              <w:spacing w:after="0"/>
              <w:rPr>
                <w:sz w:val="20"/>
                <w:szCs w:val="20"/>
                <w:color w:val="auto"/>
              </w:rPr>
            </w:pPr>
            <w:r>
              <w:rPr>
                <w:rFonts w:ascii="Arial" w:cs="Arial" w:eastAsia="Arial" w:hAnsi="Arial"/>
                <w:sz w:val="16"/>
                <w:szCs w:val="16"/>
                <w:color w:val="auto"/>
              </w:rPr>
              <w:t>EXECUTIVE</w:t>
            </w:r>
          </w:p>
        </w:tc>
      </w:tr>
      <w:tr>
        <w:trPr>
          <w:trHeight w:val="390"/>
        </w:trPr>
        <w:tc>
          <w:tcPr>
            <w:tcW w:w="840" w:type="dxa"/>
            <w:vAlign w:val="bottom"/>
          </w:tcPr>
          <w:p>
            <w:pPr>
              <w:spacing w:after="0"/>
              <w:rPr>
                <w:sz w:val="20"/>
                <w:szCs w:val="20"/>
                <w:color w:val="auto"/>
              </w:rPr>
            </w:pPr>
            <w:r>
              <w:rPr>
                <w:rFonts w:ascii="Arial" w:cs="Arial" w:eastAsia="Arial" w:hAnsi="Arial"/>
                <w:sz w:val="16"/>
                <w:szCs w:val="16"/>
                <w:color w:val="auto"/>
              </w:rPr>
              <w:t>Signature:</w:t>
            </w:r>
          </w:p>
        </w:tc>
        <w:tc>
          <w:tcPr>
            <w:tcW w:w="3880" w:type="dxa"/>
            <w:vAlign w:val="bottom"/>
          </w:tcPr>
          <w:p>
            <w:pPr>
              <w:spacing w:after="0"/>
              <w:rPr>
                <w:sz w:val="20"/>
                <w:szCs w:val="20"/>
                <w:color w:val="auto"/>
              </w:rPr>
            </w:pPr>
            <w:r>
              <w:rPr>
                <w:rFonts w:ascii="Arial" w:cs="Arial" w:eastAsia="Arial" w:hAnsi="Arial"/>
                <w:sz w:val="16"/>
                <w:szCs w:val="16"/>
                <w:color w:val="auto"/>
              </w:rPr>
              <w:t>/s/ Susan J. DiCecco</w:t>
            </w:r>
          </w:p>
        </w:tc>
      </w:tr>
    </w:tbl>
    <w:p>
      <w:pPr>
        <w:spacing w:after="0" w:line="1"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Print name: Susan J. DiCecco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-116205</wp:posOffset>
            </wp:positionV>
            <wp:extent cx="24638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63800" cy="7620"/>
                    </a:xfrm>
                    <a:prstGeom prst="rect">
                      <a:avLst/>
                    </a:prstGeom>
                    <a:noFill/>
                  </pic:spPr>
                </pic:pic>
              </a:graphicData>
            </a:graphic>
          </wp:anchor>
        </w:drawing>
      </w:r>
    </w:p>
    <w:p>
      <w:pPr>
        <w:spacing w:after="0" w:line="186"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Address:</w:t>
      </w:r>
    </w:p>
    <w:p>
      <w:pPr>
        <w:spacing w:after="0" w:line="206"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c/o American Superconductor Corporation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64 Jackson Road</w:t>
      </w:r>
    </w:p>
    <w:p>
      <w:pPr>
        <w:spacing w:after="0" w:line="11"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Devens, MA 01434-4020</w:t>
      </w:r>
    </w:p>
    <w:p>
      <w:pPr>
        <w:spacing w:after="0" w:line="170"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136525</wp:posOffset>
            </wp:positionV>
            <wp:extent cx="726503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019"/>
          </w:cols>
          <w:pgMar w:left="440" w:top="859"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u w:val="single" w:color="auto"/>
          <w:color w:val="auto"/>
        </w:rPr>
        <w:t>Exhibit A</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6"/>
          <w:szCs w:val="16"/>
          <w:u w:val="single" w:color="auto"/>
          <w:color w:val="auto"/>
        </w:rPr>
        <w:t>RELEASE</w:t>
      </w:r>
    </w:p>
    <w:p>
      <w:pPr>
        <w:spacing w:after="0" w:line="109" w:lineRule="exact"/>
        <w:rPr>
          <w:sz w:val="20"/>
          <w:szCs w:val="20"/>
          <w:color w:val="auto"/>
        </w:rPr>
      </w:pPr>
    </w:p>
    <w:p>
      <w:pPr>
        <w:ind w:left="2" w:firstLine="325"/>
        <w:spacing w:after="0" w:line="284" w:lineRule="auto"/>
        <w:rPr>
          <w:sz w:val="20"/>
          <w:szCs w:val="20"/>
          <w:color w:val="auto"/>
        </w:rPr>
      </w:pPr>
      <w:r>
        <w:rPr>
          <w:rFonts w:ascii="Arial" w:cs="Arial" w:eastAsia="Arial" w:hAnsi="Arial"/>
          <w:sz w:val="16"/>
          <w:szCs w:val="16"/>
          <w:color w:val="auto"/>
        </w:rPr>
        <w:t>In consideration of the payment to me of the severance benefits pursuant to Section 4.1(a), 4.2(a) or 4.2(b) of my Executive Severance Agreement with American Superconductor Corporation (the “Company”) dated September 8, 2009 (the “Agreement”), I hereby agree as follows:</w:t>
      </w:r>
    </w:p>
    <w:p>
      <w:pPr>
        <w:spacing w:after="0" w:line="53" w:lineRule="exact"/>
        <w:rPr>
          <w:sz w:val="20"/>
          <w:szCs w:val="20"/>
          <w:color w:val="auto"/>
        </w:rPr>
      </w:pPr>
    </w:p>
    <w:p>
      <w:pPr>
        <w:jc w:val="both"/>
        <w:ind w:left="2" w:right="20" w:hanging="2"/>
        <w:spacing w:after="0" w:line="294" w:lineRule="auto"/>
        <w:tabs>
          <w:tab w:leader="none" w:pos="191" w:val="left"/>
        </w:tabs>
        <w:numPr>
          <w:ilvl w:val="0"/>
          <w:numId w:val="35"/>
        </w:numPr>
        <w:rPr>
          <w:rFonts w:ascii="Arial" w:cs="Arial" w:eastAsia="Arial" w:hAnsi="Arial"/>
          <w:sz w:val="14"/>
          <w:szCs w:val="14"/>
          <w:color w:val="auto"/>
        </w:rPr>
      </w:pPr>
      <w:r>
        <w:rPr>
          <w:rFonts w:ascii="Arial" w:cs="Arial" w:eastAsia="Arial" w:hAnsi="Arial"/>
          <w:sz w:val="14"/>
          <w:szCs w:val="14"/>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w:t>
      </w:r>
    </w:p>
    <w:p>
      <w:pPr>
        <w:spacing w:after="0" w:line="1" w:lineRule="exact"/>
        <w:rPr>
          <w:rFonts w:ascii="Arial" w:cs="Arial" w:eastAsia="Arial" w:hAnsi="Arial"/>
          <w:sz w:val="14"/>
          <w:szCs w:val="14"/>
          <w:color w:val="auto"/>
        </w:rPr>
      </w:pPr>
    </w:p>
    <w:p>
      <w:pPr>
        <w:jc w:val="both"/>
        <w:ind w:left="2" w:right="20" w:hanging="2"/>
        <w:spacing w:after="0" w:line="291" w:lineRule="auto"/>
        <w:tabs>
          <w:tab w:leader="none" w:pos="206" w:val="left"/>
        </w:tabs>
        <w:numPr>
          <w:ilvl w:val="0"/>
          <w:numId w:val="36"/>
        </w:numPr>
        <w:rPr>
          <w:rFonts w:ascii="Arial" w:cs="Arial" w:eastAsia="Arial" w:hAnsi="Arial"/>
          <w:sz w:val="14"/>
          <w:szCs w:val="14"/>
          <w:color w:val="auto"/>
        </w:rPr>
      </w:pPr>
      <w:r>
        <w:rPr>
          <w:rFonts w:ascii="Arial" w:cs="Arial" w:eastAsia="Arial" w:hAnsi="Arial"/>
          <w:sz w:val="14"/>
          <w:szCs w:val="14"/>
          <w:color w:val="auto"/>
        </w:rPr>
        <w:t>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w:t>
      </w:r>
    </w:p>
    <w:p>
      <w:pPr>
        <w:jc w:val="both"/>
        <w:ind w:left="2" w:right="20" w:hanging="2"/>
        <w:spacing w:after="0" w:line="276" w:lineRule="auto"/>
        <w:tabs>
          <w:tab w:leader="none" w:pos="293"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63" w:lineRule="exact"/>
        <w:rPr>
          <w:rFonts w:ascii="Arial" w:cs="Arial" w:eastAsia="Arial" w:hAnsi="Arial"/>
          <w:sz w:val="15"/>
          <w:szCs w:val="15"/>
          <w:color w:val="auto"/>
        </w:rPr>
      </w:pPr>
    </w:p>
    <w:p>
      <w:pPr>
        <w:ind w:left="2" w:right="20" w:hanging="2"/>
        <w:spacing w:after="0" w:line="284"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been advised by the Company to consult with counsel before signing this Release, and have been given the opportunity to consult with my own counsel prior to signing this Release.</w:t>
      </w:r>
    </w:p>
    <w:p>
      <w:pPr>
        <w:spacing w:after="0" w:line="52" w:lineRule="exact"/>
        <w:rPr>
          <w:rFonts w:ascii="Arial" w:cs="Arial" w:eastAsia="Arial" w:hAnsi="Arial"/>
          <w:sz w:val="16"/>
          <w:szCs w:val="16"/>
          <w:color w:val="auto"/>
        </w:rPr>
      </w:pPr>
    </w:p>
    <w:p>
      <w:pPr>
        <w:ind w:left="162" w:hanging="162"/>
        <w:spacing w:after="0"/>
        <w:tabs>
          <w:tab w:leader="none" w:pos="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been given up to twenty-one (21) days from the receipt of this Release to consider whether to execute this Release.</w:t>
      </w:r>
    </w:p>
    <w:p>
      <w:pPr>
        <w:spacing w:after="0" w:line="108" w:lineRule="exact"/>
        <w:rPr>
          <w:rFonts w:ascii="Arial" w:cs="Arial" w:eastAsia="Arial" w:hAnsi="Arial"/>
          <w:sz w:val="16"/>
          <w:szCs w:val="16"/>
          <w:color w:val="auto"/>
        </w:rPr>
      </w:pPr>
    </w:p>
    <w:p>
      <w:pPr>
        <w:ind w:left="2" w:right="20" w:hanging="2"/>
        <w:spacing w:after="0" w:line="319" w:lineRule="auto"/>
        <w:tabs>
          <w:tab w:leader="none" w:pos="182" w:val="left"/>
        </w:tabs>
        <w:numPr>
          <w:ilvl w:val="0"/>
          <w:numId w:val="38"/>
        </w:numPr>
        <w:rPr>
          <w:rFonts w:ascii="Arial" w:cs="Arial" w:eastAsia="Arial" w:hAnsi="Arial"/>
          <w:sz w:val="15"/>
          <w:szCs w:val="15"/>
          <w:color w:val="auto"/>
        </w:rPr>
      </w:pPr>
      <w:r>
        <w:rPr>
          <w:rFonts w:ascii="Arial" w:cs="Arial" w:eastAsia="Arial" w:hAnsi="Arial"/>
          <w:sz w:val="15"/>
          <w:szCs w:val="15"/>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29" w:lineRule="exact"/>
        <w:rPr>
          <w:rFonts w:ascii="Arial" w:cs="Arial" w:eastAsia="Arial" w:hAnsi="Arial"/>
          <w:sz w:val="15"/>
          <w:szCs w:val="15"/>
          <w:color w:val="auto"/>
        </w:rPr>
      </w:pPr>
    </w:p>
    <w:p>
      <w:pPr>
        <w:ind w:left="162" w:hanging="162"/>
        <w:spacing w:after="0"/>
        <w:tabs>
          <w:tab w:leader="none" w:pos="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Release shall not become effective and in force until eight days after I sign, provided I have not timely revoked my acceptance.</w:t>
      </w:r>
    </w:p>
    <w:p>
      <w:pPr>
        <w:spacing w:after="0" w:line="18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503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2"/>
          </w:cols>
          <w:pgMar w:left="238" w:top="1250" w:right="219" w:bottom="1440" w:gutter="0" w:footer="0" w:header="0"/>
        </w:sectPr>
      </w:pPr>
    </w:p>
    <w:bookmarkStart w:id="43" w:name="page44"/>
    <w:bookmarkEnd w:id="43"/>
    <w:p>
      <w:pPr>
        <w:ind w:left="162" w:hanging="162"/>
        <w:spacing w:after="0"/>
        <w:tabs>
          <w:tab w:leader="none" w:pos="1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08" w:lineRule="exact"/>
        <w:rPr>
          <w:rFonts w:ascii="Arial" w:cs="Arial" w:eastAsia="Arial" w:hAnsi="Arial"/>
          <w:sz w:val="16"/>
          <w:szCs w:val="16"/>
          <w:color w:val="auto"/>
        </w:rPr>
      </w:pPr>
    </w:p>
    <w:p>
      <w:pPr>
        <w:ind w:left="2" w:hanging="2"/>
        <w:spacing w:after="0" w:line="284" w:lineRule="auto"/>
        <w:tabs>
          <w:tab w:leader="none" w:pos="179"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representation, promise or inducement has been offered or made to induce me to enter into this Release, and I am competent to execute this Release and accept full responsibility therefore.</w:t>
      </w:r>
    </w:p>
    <w:p>
      <w:pPr>
        <w:spacing w:after="0" w:line="53" w:lineRule="exact"/>
        <w:rPr>
          <w:sz w:val="20"/>
          <w:szCs w:val="20"/>
          <w:color w:val="auto"/>
        </w:rPr>
      </w:pPr>
    </w:p>
    <w:p>
      <w:pPr>
        <w:ind w:left="572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22860</wp:posOffset>
            </wp:positionV>
            <wp:extent cx="33343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34385" cy="7620"/>
                    </a:xfrm>
                    <a:prstGeom prst="rect">
                      <a:avLst/>
                    </a:prstGeom>
                    <a:noFill/>
                  </pic:spPr>
                </pic:pic>
              </a:graphicData>
            </a:graphic>
          </wp:anchor>
        </w:drawing>
      </w:r>
    </w:p>
    <w:p>
      <w:pPr>
        <w:spacing w:after="0" w:line="113" w:lineRule="exact"/>
        <w:rPr>
          <w:sz w:val="20"/>
          <w:szCs w:val="20"/>
          <w:color w:val="auto"/>
        </w:rPr>
      </w:pPr>
    </w:p>
    <w:p>
      <w:pPr>
        <w:ind w:left="5722"/>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22860</wp:posOffset>
            </wp:positionV>
            <wp:extent cx="32181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18180" cy="7620"/>
                    </a:xfrm>
                    <a:prstGeom prst="rect">
                      <a:avLst/>
                    </a:prstGeom>
                    <a:noFill/>
                  </pic:spPr>
                </pic:pic>
              </a:graphicData>
            </a:graphic>
          </wp:anchor>
        </w:drawing>
      </w:r>
    </w:p>
    <w:p>
      <w:pPr>
        <w:spacing w:after="0" w:line="113" w:lineRule="exact"/>
        <w:rPr>
          <w:sz w:val="20"/>
          <w:szCs w:val="20"/>
          <w:color w:val="auto"/>
        </w:rPr>
      </w:pPr>
    </w:p>
    <w:p>
      <w:pPr>
        <w:ind w:left="5722"/>
        <w:spacing w:after="0"/>
        <w:rPr>
          <w:sz w:val="20"/>
          <w:szCs w:val="20"/>
          <w:color w:val="auto"/>
        </w:rPr>
      </w:pPr>
      <w:r>
        <w:rPr>
          <w:rFonts w:ascii="Arial" w:cs="Arial" w:eastAsia="Arial" w:hAnsi="Arial"/>
          <w:sz w:val="16"/>
          <w:szCs w:val="16"/>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22860</wp:posOffset>
            </wp:positionV>
            <wp:extent cx="29083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08300" cy="7620"/>
                    </a:xfrm>
                    <a:prstGeom prst="rect">
                      <a:avLst/>
                    </a:prstGeom>
                    <a:noFill/>
                  </pic:spPr>
                </pic:pic>
              </a:graphicData>
            </a:graphic>
          </wp:anchor>
        </w:drawing>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2"/>
          </w:cols>
          <w:pgMar w:left="238" w:top="85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auto"/>
        </w:rPr>
        <w:t>Exhibit 31.1</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AMERICAN SUPERCONDUCTOR CORPORATION</w:t>
      </w:r>
    </w:p>
    <w:p>
      <w:pPr>
        <w:spacing w:after="0" w:line="1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CERTIFICATIONS</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I, Gregory J. Yurek, certify that:</w:t>
      </w:r>
    </w:p>
    <w:p>
      <w:pPr>
        <w:spacing w:after="0" w:line="109" w:lineRule="exact"/>
        <w:rPr>
          <w:sz w:val="20"/>
          <w:szCs w:val="20"/>
          <w:color w:val="auto"/>
        </w:rPr>
      </w:pPr>
    </w:p>
    <w:p>
      <w:pPr>
        <w:ind w:left="442" w:hanging="442"/>
        <w:spacing w:after="0"/>
        <w:tabs>
          <w:tab w:leader="none" w:pos="4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Superconductor Corporation;</w:t>
      </w:r>
    </w:p>
    <w:p>
      <w:pPr>
        <w:spacing w:after="0" w:line="121" w:lineRule="exact"/>
        <w:rPr>
          <w:rFonts w:ascii="Arial" w:cs="Arial" w:eastAsia="Arial" w:hAnsi="Arial"/>
          <w:sz w:val="16"/>
          <w:szCs w:val="16"/>
          <w:color w:val="auto"/>
        </w:rPr>
      </w:pPr>
    </w:p>
    <w:p>
      <w:pPr>
        <w:ind w:left="442" w:right="20" w:hanging="442"/>
        <w:spacing w:after="0" w:line="284" w:lineRule="auto"/>
        <w:tabs>
          <w:tab w:leader="none" w:pos="4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left="442" w:right="20" w:hanging="442"/>
        <w:spacing w:after="0" w:line="284" w:lineRule="auto"/>
        <w:tabs>
          <w:tab w:leader="none" w:pos="4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42" w:right="20" w:hanging="442"/>
        <w:spacing w:after="0" w:line="319" w:lineRule="auto"/>
        <w:tabs>
          <w:tab w:leader="none" w:pos="442"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 w:lineRule="exact"/>
        <w:rPr>
          <w:rFonts w:ascii="Arial" w:cs="Arial" w:eastAsia="Arial" w:hAnsi="Arial"/>
          <w:sz w:val="15"/>
          <w:szCs w:val="15"/>
          <w:color w:val="auto"/>
        </w:rPr>
      </w:pPr>
    </w:p>
    <w:p>
      <w:pPr>
        <w:jc w:val="both"/>
        <w:ind w:left="902" w:right="20" w:hanging="451"/>
        <w:spacing w:after="0" w:line="269" w:lineRule="auto"/>
        <w:tabs>
          <w:tab w:leader="none" w:pos="9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jc w:val="both"/>
        <w:ind w:left="902" w:right="20" w:hanging="451"/>
        <w:spacing w:after="0" w:line="269" w:lineRule="auto"/>
        <w:tabs>
          <w:tab w:leader="none" w:pos="9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902" w:right="20" w:hanging="451"/>
        <w:spacing w:after="0" w:line="284" w:lineRule="auto"/>
        <w:tabs>
          <w:tab w:leader="none" w:pos="9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jc w:val="both"/>
        <w:ind w:left="902" w:right="20" w:hanging="451"/>
        <w:spacing w:after="0" w:line="269" w:lineRule="auto"/>
        <w:tabs>
          <w:tab w:leader="none" w:pos="9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6"/>
          <w:szCs w:val="16"/>
          <w:color w:val="auto"/>
        </w:rPr>
      </w:pPr>
    </w:p>
    <w:p>
      <w:pPr>
        <w:ind w:left="442" w:right="20" w:hanging="442"/>
        <w:spacing w:after="0" w:line="284" w:lineRule="auto"/>
        <w:tabs>
          <w:tab w:leader="none" w:pos="4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902" w:right="20" w:hanging="451"/>
        <w:spacing w:after="0" w:line="284" w:lineRule="auto"/>
        <w:tabs>
          <w:tab w:leader="none" w:pos="9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902" w:right="20" w:hanging="451"/>
        <w:spacing w:after="0" w:line="284" w:lineRule="auto"/>
        <w:tabs>
          <w:tab w:leader="none" w:pos="9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p>
      <w:pPr>
        <w:ind w:left="2"/>
        <w:spacing w:after="0"/>
        <w:tabs>
          <w:tab w:leader="none" w:pos="5462" w:val="left"/>
        </w:tabs>
        <w:rPr>
          <w:sz w:val="20"/>
          <w:szCs w:val="20"/>
          <w:color w:val="auto"/>
        </w:rPr>
      </w:pPr>
      <w:r>
        <w:rPr>
          <w:rFonts w:ascii="Arial" w:cs="Arial" w:eastAsia="Arial" w:hAnsi="Arial"/>
          <w:sz w:val="16"/>
          <w:szCs w:val="16"/>
          <w:color w:val="auto"/>
        </w:rPr>
        <w:t>Date: November 5,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0"/>
          <w:szCs w:val="10"/>
          <w:b w:val="1"/>
          <w:bCs w:val="1"/>
          <w:color w:val="auto"/>
        </w:rPr>
        <w:t>S</w:t>
      </w:r>
      <w:r>
        <w:rPr>
          <w:rFonts w:ascii="Arial" w:cs="Arial" w:eastAsia="Arial" w:hAnsi="Arial"/>
          <w:sz w:val="16"/>
          <w:szCs w:val="16"/>
          <w:b w:val="1"/>
          <w:bCs w:val="1"/>
          <w:color w:val="auto"/>
        </w:rPr>
        <w:t>/ G</w:t>
      </w:r>
      <w:r>
        <w:rPr>
          <w:rFonts w:ascii="Arial" w:cs="Arial" w:eastAsia="Arial" w:hAnsi="Arial"/>
          <w:sz w:val="10"/>
          <w:szCs w:val="10"/>
          <w:b w:val="1"/>
          <w:bCs w:val="1"/>
          <w:color w:val="auto"/>
        </w:rPr>
        <w:t>REGORY</w:t>
      </w:r>
      <w:r>
        <w:rPr>
          <w:rFonts w:ascii="Arial" w:cs="Arial" w:eastAsia="Arial" w:hAnsi="Arial"/>
          <w:sz w:val="16"/>
          <w:szCs w:val="16"/>
          <w:b w:val="1"/>
          <w:bCs w:val="1"/>
          <w:color w:val="auto"/>
        </w:rPr>
        <w:t xml:space="preserve"> J. Y</w:t>
      </w:r>
      <w:r>
        <w:rPr>
          <w:rFonts w:ascii="Arial" w:cs="Arial" w:eastAsia="Arial" w:hAnsi="Arial"/>
          <w:sz w:val="10"/>
          <w:szCs w:val="10"/>
          <w:b w:val="1"/>
          <w:bCs w:val="1"/>
          <w:color w:val="auto"/>
        </w:rPr>
        <w:t>UREK</w:t>
      </w:r>
    </w:p>
    <w:p>
      <w:pPr>
        <w:spacing w:after="0" w:line="27" w:lineRule="exact"/>
        <w:rPr>
          <w:sz w:val="20"/>
          <w:szCs w:val="20"/>
          <w:color w:val="auto"/>
        </w:rPr>
      </w:pPr>
    </w:p>
    <w:p>
      <w:pPr>
        <w:ind w:left="5482"/>
        <w:spacing w:after="0"/>
        <w:rPr>
          <w:sz w:val="20"/>
          <w:szCs w:val="20"/>
          <w:color w:val="auto"/>
        </w:rPr>
      </w:pPr>
      <w:r>
        <w:rPr>
          <w:rFonts w:ascii="Arial" w:cs="Arial" w:eastAsia="Arial" w:hAnsi="Arial"/>
          <w:sz w:val="16"/>
          <w:szCs w:val="16"/>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-116205</wp:posOffset>
            </wp:positionV>
            <wp:extent cx="26885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8590" cy="7620"/>
                    </a:xfrm>
                    <a:prstGeom prst="rect">
                      <a:avLst/>
                    </a:prstGeom>
                    <a:noFill/>
                  </pic:spPr>
                </pic:pic>
              </a:graphicData>
            </a:graphic>
          </wp:anchor>
        </w:drawing>
      </w:r>
    </w:p>
    <w:p>
      <w:pPr>
        <w:spacing w:after="0" w:line="3" w:lineRule="exact"/>
        <w:rPr>
          <w:sz w:val="20"/>
          <w:szCs w:val="20"/>
          <w:color w:val="auto"/>
        </w:rPr>
      </w:pPr>
    </w:p>
    <w:p>
      <w:pPr>
        <w:ind w:left="5482"/>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2"/>
          </w:cols>
          <w:pgMar w:left="238" w:top="123" w:right="21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auto"/>
        </w:rPr>
        <w:t>Exhibit 31.2</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AMERICAN SUPERCONDUCTOR CORPORATION</w:t>
      </w:r>
    </w:p>
    <w:p>
      <w:pPr>
        <w:spacing w:after="0" w:line="1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CERTIFICATIONS</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I, David A. Henry, certify that:</w:t>
      </w:r>
    </w:p>
    <w:p>
      <w:pPr>
        <w:spacing w:after="0" w:line="109" w:lineRule="exact"/>
        <w:rPr>
          <w:sz w:val="20"/>
          <w:szCs w:val="20"/>
          <w:color w:val="auto"/>
        </w:rPr>
      </w:pPr>
    </w:p>
    <w:p>
      <w:pPr>
        <w:ind w:left="442" w:hanging="442"/>
        <w:spacing w:after="0"/>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Superconductor Corporation;</w:t>
      </w:r>
    </w:p>
    <w:p>
      <w:pPr>
        <w:spacing w:after="0" w:line="121" w:lineRule="exact"/>
        <w:rPr>
          <w:rFonts w:ascii="Arial" w:cs="Arial" w:eastAsia="Arial" w:hAnsi="Arial"/>
          <w:sz w:val="16"/>
          <w:szCs w:val="16"/>
          <w:color w:val="auto"/>
        </w:rPr>
      </w:pPr>
    </w:p>
    <w:p>
      <w:pPr>
        <w:ind w:left="442" w:right="20" w:hanging="442"/>
        <w:spacing w:after="0" w:line="284" w:lineRule="auto"/>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left="442" w:right="20" w:hanging="442"/>
        <w:spacing w:after="0" w:line="284" w:lineRule="auto"/>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42" w:right="20" w:hanging="442"/>
        <w:spacing w:after="0" w:line="319" w:lineRule="auto"/>
        <w:tabs>
          <w:tab w:leader="none" w:pos="442"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 w:lineRule="exact"/>
        <w:rPr>
          <w:rFonts w:ascii="Arial" w:cs="Arial" w:eastAsia="Arial" w:hAnsi="Arial"/>
          <w:sz w:val="15"/>
          <w:szCs w:val="15"/>
          <w:color w:val="auto"/>
        </w:rPr>
      </w:pPr>
    </w:p>
    <w:p>
      <w:pPr>
        <w:jc w:val="both"/>
        <w:ind w:left="902" w:right="20" w:hanging="451"/>
        <w:spacing w:after="0" w:line="269" w:lineRule="auto"/>
        <w:tabs>
          <w:tab w:leader="none" w:pos="9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jc w:val="both"/>
        <w:ind w:left="902" w:right="20" w:hanging="451"/>
        <w:spacing w:after="0" w:line="269" w:lineRule="auto"/>
        <w:tabs>
          <w:tab w:leader="none" w:pos="9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902" w:right="20" w:hanging="451"/>
        <w:spacing w:after="0" w:line="284" w:lineRule="auto"/>
        <w:tabs>
          <w:tab w:leader="none" w:pos="9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jc w:val="both"/>
        <w:ind w:left="902" w:right="20" w:hanging="451"/>
        <w:spacing w:after="0" w:line="269" w:lineRule="auto"/>
        <w:tabs>
          <w:tab w:leader="none" w:pos="9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6"/>
          <w:szCs w:val="16"/>
          <w:color w:val="auto"/>
        </w:rPr>
      </w:pPr>
    </w:p>
    <w:p>
      <w:pPr>
        <w:ind w:left="442" w:right="20" w:hanging="442"/>
        <w:spacing w:after="0" w:line="284" w:lineRule="auto"/>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902" w:right="20" w:hanging="451"/>
        <w:spacing w:after="0" w:line="284" w:lineRule="auto"/>
        <w:tabs>
          <w:tab w:leader="none" w:pos="9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902" w:right="20" w:hanging="451"/>
        <w:spacing w:after="0" w:line="284" w:lineRule="auto"/>
        <w:tabs>
          <w:tab w:leader="none" w:pos="9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p>
      <w:pPr>
        <w:ind w:left="2"/>
        <w:spacing w:after="0"/>
        <w:tabs>
          <w:tab w:leader="none" w:pos="5462" w:val="left"/>
        </w:tabs>
        <w:rPr>
          <w:sz w:val="20"/>
          <w:szCs w:val="20"/>
          <w:color w:val="auto"/>
        </w:rPr>
      </w:pPr>
      <w:r>
        <w:rPr>
          <w:rFonts w:ascii="Arial" w:cs="Arial" w:eastAsia="Arial" w:hAnsi="Arial"/>
          <w:sz w:val="16"/>
          <w:szCs w:val="16"/>
          <w:color w:val="auto"/>
        </w:rPr>
        <w:t>Date: November 5,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0"/>
          <w:szCs w:val="10"/>
          <w:b w:val="1"/>
          <w:bCs w:val="1"/>
          <w:color w:val="auto"/>
        </w:rPr>
        <w:t>S</w:t>
      </w:r>
      <w:r>
        <w:rPr>
          <w:rFonts w:ascii="Arial" w:cs="Arial" w:eastAsia="Arial" w:hAnsi="Arial"/>
          <w:sz w:val="16"/>
          <w:szCs w:val="16"/>
          <w:b w:val="1"/>
          <w:bCs w:val="1"/>
          <w:color w:val="auto"/>
        </w:rPr>
        <w:t>/ D</w:t>
      </w:r>
      <w:r>
        <w:rPr>
          <w:rFonts w:ascii="Arial" w:cs="Arial" w:eastAsia="Arial" w:hAnsi="Arial"/>
          <w:sz w:val="10"/>
          <w:szCs w:val="10"/>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0"/>
          <w:szCs w:val="10"/>
          <w:b w:val="1"/>
          <w:bCs w:val="1"/>
          <w:color w:val="auto"/>
        </w:rPr>
        <w:t>ENRY</w:t>
      </w:r>
    </w:p>
    <w:p>
      <w:pPr>
        <w:spacing w:after="0" w:line="27" w:lineRule="exact"/>
        <w:rPr>
          <w:sz w:val="20"/>
          <w:szCs w:val="20"/>
          <w:color w:val="auto"/>
        </w:rPr>
      </w:pPr>
    </w:p>
    <w:p>
      <w:pPr>
        <w:ind w:left="5482"/>
        <w:spacing w:after="0"/>
        <w:rPr>
          <w:sz w:val="20"/>
          <w:szCs w:val="20"/>
          <w:color w:val="auto"/>
        </w:rPr>
      </w:pPr>
      <w:r>
        <w:rPr>
          <w:rFonts w:ascii="Arial" w:cs="Arial" w:eastAsia="Arial" w:hAnsi="Arial"/>
          <w:sz w:val="16"/>
          <w:szCs w:val="16"/>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-116205</wp:posOffset>
            </wp:positionV>
            <wp:extent cx="268859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8590" cy="7620"/>
                    </a:xfrm>
                    <a:prstGeom prst="rect">
                      <a:avLst/>
                    </a:prstGeom>
                    <a:noFill/>
                  </pic:spPr>
                </pic:pic>
              </a:graphicData>
            </a:graphic>
          </wp:anchor>
        </w:drawing>
      </w:r>
    </w:p>
    <w:p>
      <w:pPr>
        <w:spacing w:after="0" w:line="3" w:lineRule="exact"/>
        <w:rPr>
          <w:sz w:val="20"/>
          <w:szCs w:val="20"/>
          <w:color w:val="auto"/>
        </w:rPr>
      </w:pPr>
    </w:p>
    <w:p>
      <w:pPr>
        <w:ind w:left="5482"/>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42"/>
          </w:cols>
          <w:pgMar w:left="238" w:top="513"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auto"/>
        </w:rPr>
        <w:t>Exhibit 32.1</w:t>
      </w:r>
    </w:p>
    <w:p>
      <w:pPr>
        <w:spacing w:after="0" w:line="304"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AMERICAN SUPERCONDUCTOR CORPORATION</w:t>
      </w:r>
    </w:p>
    <w:p>
      <w:pPr>
        <w:spacing w:after="0" w:line="109"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97" w:lineRule="exact"/>
        <w:rPr>
          <w:sz w:val="20"/>
          <w:szCs w:val="20"/>
          <w:color w:val="auto"/>
        </w:rPr>
      </w:pPr>
    </w:p>
    <w:p>
      <w:pPr>
        <w:jc w:val="both"/>
        <w:ind w:right="20" w:firstLine="235"/>
        <w:spacing w:after="0" w:line="269"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September 30, 2009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65" w:lineRule="exact"/>
        <w:rPr>
          <w:sz w:val="20"/>
          <w:szCs w:val="20"/>
          <w:color w:val="auto"/>
        </w:rPr>
      </w:pPr>
    </w:p>
    <w:p>
      <w:pPr>
        <w:ind w:left="420" w:hanging="219"/>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08" w:lineRule="exact"/>
        <w:rPr>
          <w:rFonts w:ascii="Arial" w:cs="Arial" w:eastAsia="Arial" w:hAnsi="Arial"/>
          <w:sz w:val="16"/>
          <w:szCs w:val="16"/>
          <w:color w:val="auto"/>
        </w:rPr>
      </w:pPr>
    </w:p>
    <w:p>
      <w:pPr>
        <w:ind w:left="420" w:hanging="219"/>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spacing w:after="0"/>
        <w:tabs>
          <w:tab w:leader="none" w:pos="5460" w:val="left"/>
        </w:tabs>
        <w:rPr>
          <w:sz w:val="20"/>
          <w:szCs w:val="20"/>
          <w:color w:val="auto"/>
        </w:rPr>
      </w:pPr>
      <w:r>
        <w:rPr>
          <w:rFonts w:ascii="Arial" w:cs="Arial" w:eastAsia="Arial" w:hAnsi="Arial"/>
          <w:sz w:val="16"/>
          <w:szCs w:val="16"/>
          <w:color w:val="auto"/>
        </w:rPr>
        <w:t>Date: November 5,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0"/>
          <w:szCs w:val="10"/>
          <w:b w:val="1"/>
          <w:bCs w:val="1"/>
          <w:color w:val="auto"/>
        </w:rPr>
        <w:t>S</w:t>
      </w:r>
      <w:r>
        <w:rPr>
          <w:rFonts w:ascii="Arial" w:cs="Arial" w:eastAsia="Arial" w:hAnsi="Arial"/>
          <w:sz w:val="16"/>
          <w:szCs w:val="16"/>
          <w:b w:val="1"/>
          <w:bCs w:val="1"/>
          <w:color w:val="auto"/>
        </w:rPr>
        <w:t>/ G</w:t>
      </w:r>
      <w:r>
        <w:rPr>
          <w:rFonts w:ascii="Arial" w:cs="Arial" w:eastAsia="Arial" w:hAnsi="Arial"/>
          <w:sz w:val="10"/>
          <w:szCs w:val="10"/>
          <w:b w:val="1"/>
          <w:bCs w:val="1"/>
          <w:color w:val="auto"/>
        </w:rPr>
        <w:t>REGORY</w:t>
      </w:r>
      <w:r>
        <w:rPr>
          <w:rFonts w:ascii="Arial" w:cs="Arial" w:eastAsia="Arial" w:hAnsi="Arial"/>
          <w:sz w:val="16"/>
          <w:szCs w:val="16"/>
          <w:b w:val="1"/>
          <w:bCs w:val="1"/>
          <w:color w:val="auto"/>
        </w:rPr>
        <w:t xml:space="preserve"> J. Y</w:t>
      </w:r>
      <w:r>
        <w:rPr>
          <w:rFonts w:ascii="Arial" w:cs="Arial" w:eastAsia="Arial" w:hAnsi="Arial"/>
          <w:sz w:val="10"/>
          <w:szCs w:val="10"/>
          <w:b w:val="1"/>
          <w:bCs w:val="1"/>
          <w:color w:val="auto"/>
        </w:rPr>
        <w:t>UREK</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-116205</wp:posOffset>
            </wp:positionV>
            <wp:extent cx="268859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8590" cy="762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0"/>
          </w:cols>
          <w:pgMar w:left="240" w:top="513"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auto"/>
        </w:rPr>
        <w:t>Exhibit 32.2</w:t>
      </w:r>
    </w:p>
    <w:p>
      <w:pPr>
        <w:spacing w:after="0" w:line="304"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AMERICAN SUPERCONDUCTOR CORPORATION</w:t>
      </w:r>
    </w:p>
    <w:p>
      <w:pPr>
        <w:spacing w:after="0" w:line="109"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97" w:lineRule="exact"/>
        <w:rPr>
          <w:sz w:val="20"/>
          <w:szCs w:val="20"/>
          <w:color w:val="auto"/>
        </w:rPr>
      </w:pPr>
    </w:p>
    <w:p>
      <w:pPr>
        <w:jc w:val="both"/>
        <w:ind w:right="20" w:firstLine="235"/>
        <w:spacing w:after="0" w:line="269"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September 30, 2009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65" w:lineRule="exact"/>
        <w:rPr>
          <w:sz w:val="20"/>
          <w:szCs w:val="20"/>
          <w:color w:val="auto"/>
        </w:rPr>
      </w:pPr>
    </w:p>
    <w:p>
      <w:pPr>
        <w:ind w:left="420" w:hanging="219"/>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08" w:lineRule="exact"/>
        <w:rPr>
          <w:rFonts w:ascii="Arial" w:cs="Arial" w:eastAsia="Arial" w:hAnsi="Arial"/>
          <w:sz w:val="16"/>
          <w:szCs w:val="16"/>
          <w:color w:val="auto"/>
        </w:rPr>
      </w:pPr>
    </w:p>
    <w:p>
      <w:pPr>
        <w:ind w:left="420" w:hanging="219"/>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spacing w:after="0"/>
        <w:tabs>
          <w:tab w:leader="none" w:pos="5460" w:val="left"/>
        </w:tabs>
        <w:rPr>
          <w:sz w:val="20"/>
          <w:szCs w:val="20"/>
          <w:color w:val="auto"/>
        </w:rPr>
      </w:pPr>
      <w:r>
        <w:rPr>
          <w:rFonts w:ascii="Arial" w:cs="Arial" w:eastAsia="Arial" w:hAnsi="Arial"/>
          <w:sz w:val="16"/>
          <w:szCs w:val="16"/>
          <w:color w:val="auto"/>
        </w:rPr>
        <w:t>Date: November 5,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0"/>
          <w:szCs w:val="10"/>
          <w:b w:val="1"/>
          <w:bCs w:val="1"/>
          <w:color w:val="auto"/>
        </w:rPr>
        <w:t>S</w:t>
      </w:r>
      <w:r>
        <w:rPr>
          <w:rFonts w:ascii="Arial" w:cs="Arial" w:eastAsia="Arial" w:hAnsi="Arial"/>
          <w:sz w:val="16"/>
          <w:szCs w:val="16"/>
          <w:b w:val="1"/>
          <w:bCs w:val="1"/>
          <w:color w:val="auto"/>
        </w:rPr>
        <w:t>/ D</w:t>
      </w:r>
      <w:r>
        <w:rPr>
          <w:rFonts w:ascii="Arial" w:cs="Arial" w:eastAsia="Arial" w:hAnsi="Arial"/>
          <w:sz w:val="10"/>
          <w:szCs w:val="10"/>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0"/>
          <w:szCs w:val="10"/>
          <w:b w:val="1"/>
          <w:bCs w:val="1"/>
          <w:color w:val="auto"/>
        </w:rPr>
        <w:t>ENRY</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-116205</wp:posOffset>
            </wp:positionV>
            <wp:extent cx="26885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8590" cy="762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abstractNum>
  <w:abstractNum w:abstractNumId="4">
    <w:nsid w:val="75A2A8D4"/>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3"/>
    </w:lvl>
    <w:lvl w:ilvl="3">
      <w:lvlJc w:val="left"/>
      <w:lvlText w:val="%4"/>
      <w:numFmt w:val="upperLetter"/>
      <w:start w:val="1"/>
    </w:lvl>
  </w:abstractNum>
  <w:abstractNum w:abstractNumId="5">
    <w:nsid w:val="8EDBDAB"/>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lvl w:ilvl="3">
      <w:lvlJc w:val="left"/>
      <w:lvlText w:val="(%4)"/>
      <w:numFmt w:val="upperLetter"/>
      <w:start w:val="2"/>
    </w:lvl>
  </w:abstractNum>
  <w:abstractNum w:abstractNumId="6">
    <w:nsid w:val="79838C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5"/>
    </w:lvl>
    <w:lvl w:ilvl="4">
      <w:lvlJc w:val="left"/>
      <w:lvlText w:val="%5"/>
      <w:numFmt w:val="lowerLetter"/>
      <w:start w:val="1"/>
    </w:lvl>
    <w:lvl w:ilvl="5">
      <w:lvlJc w:val="left"/>
      <w:lvlText w:val="%6"/>
      <w:numFmt w:val="upperLetter"/>
      <w:start w:val="1"/>
    </w:lvl>
  </w:abstractNum>
  <w:abstractNum w:abstractNumId="7">
    <w:nsid w:val="4353D0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Letter"/>
      <w:start w:val="1"/>
    </w:lvl>
    <w:lvl w:ilvl="4">
      <w:lvlJc w:val="left"/>
      <w:lvlText w:val="%5"/>
      <w:numFmt w:val="lowerLetter"/>
      <w:start w:val="1"/>
    </w:lvl>
    <w:lvl w:ilvl="5">
      <w:lvlJc w:val="left"/>
      <w:lvlText w:val="%6"/>
      <w:numFmt w:val="upperLetter"/>
      <w:start w:val="1"/>
    </w:lvl>
  </w:abstractNum>
  <w:abstractNum w:abstractNumId="8">
    <w:nsid w:val="B03E0C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upperLetter"/>
      <w:start w:val="1"/>
    </w:lvl>
  </w:abstractNum>
  <w:abstractNum w:abstractNumId="9">
    <w:nsid w:val="189A769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upperLetter"/>
      <w:start w:val="1"/>
    </w:lvl>
  </w:abstractNum>
  <w:abstractNum w:abstractNumId="10">
    <w:nsid w:val="54E49EB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lvl w:ilvl="3">
      <w:lvlJc w:val="left"/>
      <w:lvlText w:val="(%4)"/>
      <w:numFmt w:val="upperLetter"/>
      <w:start w:val="3"/>
    </w:lvl>
    <w:lvl w:ilvl="4">
      <w:lvlJc w:val="left"/>
      <w:lvlText w:val="(%5)"/>
      <w:numFmt w:val="upperLetter"/>
      <w:start w:val="4"/>
    </w:lvl>
    <w:lvl w:ilvl="5">
      <w:lvlJc w:val="left"/>
      <w:lvlText w:val="%6"/>
      <w:numFmt w:val="upperLetter"/>
      <w:start w:val="1"/>
    </w:lvl>
  </w:abstractNum>
  <w:abstractNum w:abstractNumId="11">
    <w:nsid w:val="71F32454"/>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12">
    <w:nsid w:val="2CA88611"/>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2"/>
    </w:lvl>
  </w:abstractNum>
  <w:abstractNum w:abstractNumId="13">
    <w:nsid w:val="836C40E"/>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abstractNum w:abstractNumId="14">
    <w:nsid w:val="2901D82"/>
    <w:multiLevelType w:val="hybridMultilevel"/>
    <w:lvl w:ilvl="0">
      <w:lvlJc w:val="left"/>
      <w:lvlText w:val="(%1)"/>
      <w:numFmt w:val="upperLetter"/>
      <w:start w:val="2"/>
    </w:lvl>
  </w:abstractNum>
  <w:abstractNum w:abstractNumId="15">
    <w:nsid w:val="3A95F874"/>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3"/>
    </w:lvl>
    <w:lvl w:ilvl="3">
      <w:lvlJc w:val="left"/>
      <w:lvlText w:val="%4"/>
      <w:numFmt w:val="upperLetter"/>
      <w:start w:val="1"/>
    </w:lvl>
  </w:abstractNum>
  <w:abstractNum w:abstractNumId="16">
    <w:nsid w:val="8138641"/>
    <w:multiLevelType w:val="hybridMultilevel"/>
    <w:lvl w:ilvl="0">
      <w:lvlJc w:val="left"/>
      <w:lvlText w:val="%1"/>
      <w:numFmt w:val="lowerLetter"/>
      <w:start w:val="1"/>
    </w:lvl>
    <w:lvl w:ilvl="1">
      <w:lvlJc w:val="left"/>
      <w:lvlText w:val="(%2)"/>
      <w:numFmt w:val="upperLetter"/>
      <w:start w:val="4"/>
    </w:lvl>
    <w:lvl w:ilvl="2">
      <w:lvlJc w:val="left"/>
      <w:lvlText w:val="%3"/>
      <w:numFmt w:val="upperLetter"/>
      <w:start w:val="1"/>
    </w:lvl>
    <w:lvl w:ilvl="3">
      <w:lvlJc w:val="left"/>
      <w:lvlText w:val="%4"/>
      <w:numFmt w:val="upperLetter"/>
      <w:start w:val="1"/>
    </w:lvl>
  </w:abstractNum>
  <w:abstractNum w:abstractNumId="17">
    <w:nsid w:val="1E7FF521"/>
    <w:multiLevelType w:val="hybridMultilevel"/>
    <w:lvl w:ilvl="0">
      <w:lvlJc w:val="left"/>
      <w:lvlText w:val="(%1)"/>
      <w:numFmt w:val="lowerLetter"/>
      <w:start w:val="3"/>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8">
    <w:nsid w:val="7C3DBD3D"/>
    <w:multiLevelType w:val="hybridMultilevel"/>
    <w:lvl w:ilvl="0">
      <w:lvlJc w:val="left"/>
      <w:lvlText w:val="(%1)"/>
      <w:numFmt w:val="upperLetter"/>
      <w:start w:val="2"/>
    </w:lvl>
  </w:abstractNum>
  <w:abstractNum w:abstractNumId="19">
    <w:nsid w:val="737B8DDC"/>
    <w:multiLevelType w:val="hybridMultilevel"/>
    <w:lvl w:ilvl="0">
      <w:lvlJc w:val="left"/>
      <w:lvlText w:val="(%1)"/>
      <w:numFmt w:val="upperLetter"/>
      <w:start w:val="4"/>
    </w:lvl>
  </w:abstractNum>
  <w:abstractNum w:abstractNumId="20">
    <w:nsid w:val="6CEAF087"/>
    <w:multiLevelType w:val="hybridMultilevel"/>
    <w:lvl w:ilvl="0">
      <w:lvlJc w:val="left"/>
      <w:lvlText w:val="(%1)"/>
      <w:numFmt w:val="upperLetter"/>
      <w:start w:val="1"/>
    </w:lvl>
  </w:abstractNum>
  <w:abstractNum w:abstractNumId="21">
    <w:nsid w:val="22221A70"/>
    <w:multiLevelType w:val="hybridMultilevel"/>
    <w:lvl w:ilvl="0">
      <w:lvlJc w:val="left"/>
      <w:lvlText w:val="(%1)"/>
      <w:numFmt w:val="upperLetter"/>
      <w:start w:val="4"/>
    </w:lvl>
  </w:abstractNum>
  <w:abstractNum w:abstractNumId="22">
    <w:nsid w:val="4516DD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upperLetter"/>
      <w:start w:val="5"/>
    </w:lvl>
  </w:abstractNum>
  <w:abstractNum w:abstractNumId="23">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lvl w:ilvl="3">
      <w:lvlJc w:val="left"/>
      <w:lvlText w:val="%4"/>
      <w:numFmt w:val="upperLetter"/>
      <w:start w:val="1"/>
    </w:lvl>
    <w:lvl w:ilvl="4">
      <w:lvlJc w:val="left"/>
      <w:lvlText w:val="%5"/>
      <w:numFmt w:val="upperLetter"/>
      <w:start w:val="1"/>
    </w:lvl>
  </w:abstractNum>
  <w:abstractNum w:abstractNumId="24">
    <w:nsid w:val="614FD4A1"/>
    <w:multiLevelType w:val="hybridMultilevel"/>
    <w:lvl w:ilvl="0">
      <w:lvlJc w:val="left"/>
      <w:lvlText w:val="(%1)"/>
      <w:numFmt w:val="lowerLetter"/>
      <w:start w:val="5"/>
    </w:lvl>
    <w:lvl w:ilvl="1">
      <w:lvlJc w:val="left"/>
      <w:lvlText w:val="(%2)"/>
      <w:numFmt w:val="lowerLetter"/>
      <w:start w:val="7"/>
    </w:lvl>
    <w:lvl w:ilvl="2">
      <w:lvlJc w:val="left"/>
      <w:lvlText w:val="%3"/>
      <w:numFmt w:val="lowerLetter"/>
      <w:start w:val="1"/>
    </w:lvl>
    <w:lvl w:ilvl="3">
      <w:lvlJc w:val="left"/>
      <w:lvlText w:val="(%4)"/>
      <w:numFmt w:val="upperLetter"/>
      <w:start w:val="1"/>
    </w:lvl>
    <w:lvl w:ilvl="4">
      <w:lvlJc w:val="left"/>
      <w:lvlText w:val="%5"/>
      <w:numFmt w:val="upperLetter"/>
      <w:start w:val="1"/>
    </w:lvl>
  </w:abstractNum>
  <w:abstractNum w:abstractNumId="25">
    <w:nsid w:val="419AC241"/>
    <w:multiLevelType w:val="hybridMultilevel"/>
    <w:lvl w:ilvl="0">
      <w:lvlJc w:val="left"/>
      <w:lvlText w:val="%1"/>
      <w:numFmt w:val="upperLetter"/>
      <w:start w:val="1"/>
    </w:lvl>
    <w:lvl w:ilvl="1">
      <w:lvlJc w:val="left"/>
      <w:lvlText w:val="(%2)"/>
      <w:numFmt w:val="upperLetter"/>
      <w:start w:val="2"/>
    </w:lvl>
  </w:abstractNum>
  <w:abstractNum w:abstractNumId="26">
    <w:nsid w:val="5577F8E1"/>
    <w:multiLevelType w:val="hybridMultilevel"/>
    <w:lvl w:ilvl="0">
      <w:lvlJc w:val="left"/>
      <w:lvlText w:val="(%1)"/>
      <w:numFmt w:val="upperLetter"/>
      <w:start w:val="3"/>
    </w:lvl>
    <w:lvl w:ilvl="1">
      <w:lvlJc w:val="left"/>
      <w:lvlText w:val="%2"/>
      <w:numFmt w:val="upperLetter"/>
      <w:start w:val="1"/>
    </w:lvl>
  </w:abstractNum>
  <w:abstractNum w:abstractNumId="27">
    <w:nsid w:val="440BADFC"/>
    <w:multiLevelType w:val="hybridMultilevel"/>
    <w:lvl w:ilvl="0">
      <w:lvlJc w:val="left"/>
      <w:lvlText w:val="(%1)"/>
      <w:numFmt w:val="upperLetter"/>
      <w:start w:val="4"/>
    </w:lvl>
    <w:lvl w:ilvl="1">
      <w:lvlJc w:val="left"/>
      <w:lvlText w:val="(%2)"/>
      <w:numFmt w:val="upperLetter"/>
      <w:start w:val="5"/>
    </w:lvl>
  </w:abstractNum>
  <w:abstractNum w:abstractNumId="28">
    <w:nsid w:val="50723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upperLetter"/>
      <w:start w:val="6"/>
    </w:lvl>
  </w:abstractNum>
  <w:abstractNum w:abstractNumId="29">
    <w:nsid w:val="3804823E"/>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upperLetter"/>
      <w:start w:val="1"/>
    </w:lvl>
  </w:abstractNum>
  <w:abstractNum w:abstractNumId="30">
    <w:nsid w:val="77465F01"/>
    <w:multiLevelType w:val="hybridMultilevel"/>
    <w:lvl w:ilvl="0">
      <w:lvlJc w:val="left"/>
      <w:lvlText w:val="%1."/>
      <w:numFmt w:val="decimal"/>
      <w:start w:val="6"/>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4"/>
    </w:lvl>
    <w:lvl w:ilvl="5">
      <w:lvlJc w:val="left"/>
      <w:lvlText w:val="(%6)"/>
      <w:numFmt w:val="lowerLetter"/>
      <w:start w:val="2"/>
    </w:lvl>
    <w:lvl w:ilvl="6">
      <w:lvlJc w:val="left"/>
      <w:lvlText w:val="%7"/>
      <w:numFmt w:val="upperLetter"/>
      <w:start w:val="1"/>
    </w:lvl>
  </w:abstractNum>
  <w:abstractNum w:abstractNumId="31">
    <w:nsid w:val="7724C67E"/>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32">
    <w:nsid w:val="5C482A97"/>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9"/>
    </w:lvl>
  </w:abstractNum>
  <w:abstractNum w:abstractNumId="33">
    <w:nsid w:val="2463B9EA"/>
    <w:multiLevelType w:val="hybridMultilevel"/>
    <w:lvl w:ilvl="0">
      <w:lvlJc w:val="left"/>
      <w:lvlText w:val="(%1)"/>
      <w:numFmt w:val="lowerLetter"/>
      <w:start w:val="10"/>
    </w:lvl>
    <w:lvl w:ilvl="1">
      <w:lvlJc w:val="left"/>
      <w:lvlText w:val="(%2)"/>
      <w:numFmt w:val="lowerLetter"/>
      <w:start w:val="1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29"/>
    </w:lvl>
  </w:abstractNum>
  <w:abstractNum w:abstractNumId="36">
    <w:nsid w:val="2D517796"/>
    <w:multiLevelType w:val="hybridMultilevel"/>
    <w:lvl w:ilvl="0">
      <w:lvlJc w:val="left"/>
      <w:lvlText w:val="%1"/>
      <w:numFmt w:val="decimal"/>
      <w:start w:val="102"/>
    </w:lvl>
  </w:abstractNum>
  <w:abstractNum w:abstractNumId="37">
    <w:nsid w:val="580BD78F"/>
    <w:multiLevelType w:val="hybridMultilevel"/>
    <w:lvl w:ilvl="0">
      <w:lvlJc w:val="left"/>
      <w:lvlText w:val="%1."/>
      <w:numFmt w:val="decimal"/>
      <w:start w:val="2"/>
    </w:lvl>
  </w:abstractNum>
  <w:abstractNum w:abstractNumId="38">
    <w:nsid w:val="153EA438"/>
    <w:multiLevelType w:val="hybridMultilevel"/>
    <w:lvl w:ilvl="0">
      <w:lvlJc w:val="left"/>
      <w:lvlText w:val="%1."/>
      <w:numFmt w:val="decimal"/>
      <w:start w:val="6"/>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2019-12-10T10:06:41Z</dcterms:created>
  <dcterms:modified xsi:type="dcterms:W3CDTF">2019-12-10T10:06:41Z</dcterms:modified>
</cp:coreProperties>
</file>