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sc20230630_10q.htm"/>
      <w:bookmarkStart w:id="1" w:name="ksamsc20230630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4645" w:type="dxa"/>
        <w:jc w:val="left"/>
        <w:tblInd w:w="0" w:type="dxa"/>
        <w:tblLayout w:type="fixed"/>
        <w:tblCellMar>
          <w:top w:w="0" w:type="dxa"/>
          <w:left w:w="0" w:type="dxa"/>
          <w:bottom w:w="0" w:type="dxa"/>
          <w:right w:w="0" w:type="dxa"/>
        </w:tblCellMar>
      </w:tblPr>
      <w:tblGrid>
        <w:gridCol w:w="3275"/>
        <w:gridCol w:w="1370"/>
      </w:tblGrid>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327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outstanding of the Registrant’s common stock:</w:t>
      </w:r>
    </w:p>
    <w:p>
      <w:pPr>
        <w:pStyle w:val="TextBody"/>
        <w:bidi w:val="0"/>
        <w:spacing w:before="0" w:after="0"/>
        <w:ind w:left="0" w:right="0" w:hanging="0"/>
        <w:jc w:val="center"/>
        <w:rPr/>
      </w:pPr>
      <w:r>
        <w:rPr/>
        <w:t> </w:t>
      </w:r>
    </w:p>
    <w:tbl>
      <w:tblPr>
        <w:tblW w:w="6430" w:type="dxa"/>
        <w:jc w:val="left"/>
        <w:tblInd w:w="0" w:type="dxa"/>
        <w:tblLayout w:type="fixed"/>
        <w:tblCellMar>
          <w:top w:w="0" w:type="dxa"/>
          <w:left w:w="0" w:type="dxa"/>
          <w:bottom w:w="28" w:type="dxa"/>
          <w:right w:w="0" w:type="dxa"/>
        </w:tblCellMar>
      </w:tblPr>
      <w:tblGrid>
        <w:gridCol w:w="3575"/>
        <w:gridCol w:w="60"/>
        <w:gridCol w:w="279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30,285,098</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shd w:fill="FFFFFF" w:val="clear"/>
              </w:rPr>
              <w:t xml:space="preserve">Outstanding as </w:t>
            </w:r>
            <w:r>
              <w:rPr>
                <w:rFonts w:ascii="Times New Roman;Times;serif" w:hAnsi="Times New Roman;Times;serif"/>
                <w:b/>
                <w:sz w:val="20"/>
              </w:rPr>
              <w:t>of August 4</w:t>
            </w:r>
            <w:r>
              <w:rPr>
                <w:rFonts w:ascii="Times New Roman;Times;serif" w:hAnsi="Times New Roman;Times;serif"/>
                <w:b/>
                <w:sz w:val="20"/>
                <w:shd w:fill="FFFFFF" w:val="clear"/>
              </w:rPr>
              <w:t>, 2023</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9480" w:type="dxa"/>
        <w:jc w:val="left"/>
        <w:tblInd w:w="0" w:type="dxa"/>
        <w:tblLayout w:type="fixed"/>
        <w:tblCellMar>
          <w:top w:w="0" w:type="dxa"/>
          <w:left w:w="0" w:type="dxa"/>
          <w:bottom w:w="0" w:type="dxa"/>
          <w:right w:w="0" w:type="dxa"/>
        </w:tblCellMar>
      </w:tblPr>
      <w:tblGrid>
        <w:gridCol w:w="815"/>
        <w:gridCol w:w="7880"/>
        <w:gridCol w:w="785"/>
      </w:tblGrid>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695" w:type="dxa"/>
            <w:gridSpan w:val="2"/>
            <w:tcBorders/>
            <w:vAlign w:val="center"/>
          </w:tcPr>
          <w:p>
            <w:pPr>
              <w:pStyle w:val="TableContents"/>
              <w:bidi w:val="0"/>
              <w:spacing w:before="0" w:after="0"/>
              <w:ind w:left="0" w:right="0" w:hanging="0"/>
              <w:jc w:val="left"/>
              <w:rPr/>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880" w:type="dxa"/>
            <w:tcBorders/>
            <w:vAlign w:val="center"/>
          </w:tcPr>
          <w:p>
            <w:pPr>
              <w:pStyle w:val="TableContents"/>
              <w:bidi w:val="0"/>
              <w:spacing w:before="0" w:after="0"/>
              <w:ind w:left="0" w:right="0" w:hanging="0"/>
              <w:jc w:val="left"/>
              <w:rPr/>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rPr/>
            </w:pPr>
            <w:hyperlink w:anchor="finstate">
              <w:r>
                <w:rPr>
                  <w:rStyle w:val="InternetLink"/>
                  <w:rFonts w:ascii="Times New Roman;Times;serif" w:hAnsi="Times New Roman;Times;serif"/>
                  <w:sz w:val="20"/>
                </w:rPr>
                <w:t>3</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880" w:type="dxa"/>
            <w:tcBorders/>
            <w:vAlign w:val="center"/>
          </w:tcPr>
          <w:p>
            <w:pPr>
              <w:pStyle w:val="TableContents"/>
              <w:bidi w:val="0"/>
              <w:spacing w:before="0" w:after="0"/>
              <w:ind w:left="0" w:right="0" w:hanging="0"/>
              <w:jc w:val="left"/>
              <w:rPr/>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rPr/>
            </w:pPr>
            <w:hyperlink w:anchor="mdna">
              <w:r>
                <w:rPr>
                  <w:rStyle w:val="InternetLink"/>
                  <w:rFonts w:ascii="Times New Roman;Times;serif" w:hAnsi="Times New Roman;Times;serif"/>
                  <w:sz w:val="20"/>
                </w:rPr>
                <w:t>21</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8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28</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8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28</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695"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880" w:type="dxa"/>
            <w:tcBorders/>
            <w:vAlign w:val="center"/>
          </w:tcPr>
          <w:p>
            <w:pPr>
              <w:pStyle w:val="TableContents"/>
              <w:bidi w:val="0"/>
              <w:spacing w:before="0" w:after="0"/>
              <w:ind w:left="0" w:right="0" w:hanging="0"/>
              <w:jc w:val="left"/>
              <w:rPr/>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rPr/>
            </w:pPr>
            <w:hyperlink w:anchor="itemone">
              <w:r>
                <w:rPr>
                  <w:rStyle w:val="InternetLink"/>
                  <w:rFonts w:ascii="Times New Roman;Times;serif" w:hAnsi="Times New Roman;Times;serif"/>
                  <w:sz w:val="20"/>
                </w:rPr>
                <w:t>29</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88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29</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880" w:type="dxa"/>
            <w:tcBorders/>
            <w:vAlign w:val="center"/>
          </w:tcPr>
          <w:p>
            <w:pPr>
              <w:pStyle w:val="TableContents"/>
              <w:bidi w:val="0"/>
              <w:spacing w:before="0" w:after="0"/>
              <w:ind w:left="0" w:right="0" w:hanging="0"/>
              <w:jc w:val="left"/>
              <w:rPr/>
            </w:pPr>
            <w:hyperlink w:anchor="unregsales">
              <w:r>
                <w:rPr>
                  <w:rStyle w:val="InternetLink"/>
                  <w:rFonts w:ascii="Times New Roman;Times;serif" w:hAnsi="Times New Roman;Times;serif"/>
                  <w:sz w:val="20"/>
                  <w:shd w:fill="FFFFFF" w:val="clear"/>
                </w:rPr>
                <w:t>Unregistered Sales of Equity Securities, Use of Proceeds and Issuer Purchases of Equity Securities</w:t>
              </w:r>
            </w:hyperlink>
          </w:p>
        </w:tc>
        <w:tc>
          <w:tcPr>
            <w:tcW w:w="785" w:type="dxa"/>
            <w:tcBorders/>
            <w:vAlign w:val="center"/>
          </w:tcPr>
          <w:p>
            <w:pPr>
              <w:pStyle w:val="TableContents"/>
              <w:bidi w:val="0"/>
              <w:spacing w:before="0" w:after="0"/>
              <w:ind w:left="0" w:right="0" w:hanging="0"/>
              <w:jc w:val="right"/>
              <w:rPr/>
            </w:pPr>
            <w:hyperlink w:anchor="unregsales">
              <w:r>
                <w:rPr>
                  <w:rStyle w:val="InternetLink"/>
                  <w:rFonts w:ascii="Times New Roman;Times;serif" w:hAnsi="Times New Roman;Times;serif"/>
                  <w:sz w:val="20"/>
                </w:rPr>
                <w:t>29</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880" w:type="dxa"/>
            <w:tcBorders/>
            <w:vAlign w:val="center"/>
          </w:tcPr>
          <w:p>
            <w:pPr>
              <w:pStyle w:val="TableContents"/>
              <w:bidi w:val="0"/>
              <w:spacing w:before="0" w:after="0"/>
              <w:ind w:left="0" w:right="0" w:hanging="0"/>
              <w:jc w:val="left"/>
              <w:rPr/>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rPr/>
            </w:pPr>
            <w:hyperlink w:anchor="itemthree">
              <w:r>
                <w:rPr>
                  <w:rStyle w:val="InternetLink"/>
                  <w:rFonts w:ascii="Times New Roman;Times;serif" w:hAnsi="Times New Roman;Times;serif"/>
                  <w:sz w:val="20"/>
                </w:rPr>
                <w:t>29</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880" w:type="dxa"/>
            <w:tcBorders/>
            <w:vAlign w:val="center"/>
          </w:tcPr>
          <w:p>
            <w:pPr>
              <w:pStyle w:val="TableContents"/>
              <w:bidi w:val="0"/>
              <w:spacing w:before="0" w:after="0"/>
              <w:ind w:left="0" w:right="0" w:hanging="0"/>
              <w:jc w:val="left"/>
              <w:rPr/>
            </w:pPr>
            <w:hyperlink w:anchor="itemfour">
              <w:r>
                <w:rPr>
                  <w:rStyle w:val="InternetLink"/>
                  <w:rFonts w:ascii="Times New Roman;Times;serif" w:hAnsi="Times New Roman;Times;serif"/>
                  <w:sz w:val="20"/>
                </w:rPr>
                <w:t>Mine Safety Disclosure</w:t>
              </w:r>
            </w:hyperlink>
          </w:p>
        </w:tc>
        <w:tc>
          <w:tcPr>
            <w:tcW w:w="785" w:type="dxa"/>
            <w:tcBorders/>
            <w:vAlign w:val="center"/>
          </w:tcPr>
          <w:p>
            <w:pPr>
              <w:pStyle w:val="TableContents"/>
              <w:bidi w:val="0"/>
              <w:spacing w:before="0" w:after="0"/>
              <w:ind w:left="0" w:right="0" w:hanging="0"/>
              <w:jc w:val="right"/>
              <w:rPr/>
            </w:pPr>
            <w:hyperlink w:anchor="itemfour">
              <w:r>
                <w:rPr>
                  <w:rStyle w:val="InternetLink"/>
                  <w:rFonts w:ascii="Times New Roman;Times;serif" w:hAnsi="Times New Roman;Times;serif"/>
                  <w:sz w:val="20"/>
                </w:rPr>
                <w:t>29</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88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29</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88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30</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w:t>
              </w:r>
            </w:hyperlink>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hyperlink w:anchor="signature">
              <w:r>
                <w:rPr>
                  <w:rStyle w:val="InternetLink"/>
                  <w:rFonts w:ascii="Times New Roman;Times;serif" w:hAnsi="Times New Roman;Times;serif"/>
                  <w:sz w:val="20"/>
                </w:rPr>
                <w:t>31</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80" w:before="0" w:after="0"/>
        <w:ind w:left="0" w:right="0" w:hanging="0"/>
        <w:jc w:val="center"/>
        <w:rPr/>
      </w:pPr>
      <w:r>
        <w:rPr/>
        <w:t> </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7028" w:type="dxa"/>
        <w:jc w:val="left"/>
        <w:tblInd w:w="0" w:type="dxa"/>
        <w:tblLayout w:type="fixed"/>
        <w:tblCellMar>
          <w:top w:w="0" w:type="dxa"/>
          <w:left w:w="0" w:type="dxa"/>
          <w:bottom w:w="0" w:type="dxa"/>
          <w:right w:w="0" w:type="dxa"/>
        </w:tblCellMar>
      </w:tblPr>
      <w:tblGrid>
        <w:gridCol w:w="4220"/>
        <w:gridCol w:w="60"/>
        <w:gridCol w:w="144"/>
        <w:gridCol w:w="1045"/>
        <w:gridCol w:w="80"/>
        <w:gridCol w:w="60"/>
        <w:gridCol w:w="162"/>
        <w:gridCol w:w="1177"/>
        <w:gridCol w:w="8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23,360</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30,665</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Inventory,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36,986</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13,429</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1,733</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106,173</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12,309</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Intangibles,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8,527</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2,857</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43,471</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1,114</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175,561</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38,383</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Debt, current portion</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43,572</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84,108</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long-term portion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7,188</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Lease liability, long-term portion</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2,184</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Debt, long-term portion</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93,764</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16)</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Common stock</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1,140,626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1,139,113</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Treasury stock</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(1,060,945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(1,055,547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81,797</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175,561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6568" w:type="dxa"/>
        <w:jc w:val="left"/>
        <w:tblInd w:w="0" w:type="dxa"/>
        <w:tblLayout w:type="fixed"/>
        <w:tblCellMar>
          <w:top w:w="0" w:type="dxa"/>
          <w:left w:w="0" w:type="dxa"/>
          <w:bottom w:w="0" w:type="dxa"/>
          <w:right w:w="0" w:type="dxa"/>
        </w:tblCellMar>
      </w:tblPr>
      <w:tblGrid>
        <w:gridCol w:w="4670"/>
        <w:gridCol w:w="60"/>
        <w:gridCol w:w="140"/>
        <w:gridCol w:w="661"/>
        <w:gridCol w:w="89"/>
        <w:gridCol w:w="67"/>
        <w:gridCol w:w="140"/>
        <w:gridCol w:w="661"/>
        <w:gridCol w:w="80"/>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30,254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22,679</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23,972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20,458</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2,221</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2,678</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11,615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(5,333</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(5,277</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27,560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27,560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LOSS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5833" w:type="dxa"/>
        <w:jc w:val="left"/>
        <w:tblInd w:w="0" w:type="dxa"/>
        <w:tblLayout w:type="fixed"/>
        <w:tblCellMar>
          <w:top w:w="0" w:type="dxa"/>
          <w:left w:w="0" w:type="dxa"/>
          <w:bottom w:w="0" w:type="dxa"/>
          <w:right w:w="0" w:type="dxa"/>
        </w:tblCellMar>
      </w:tblPr>
      <w:tblGrid>
        <w:gridCol w:w="3935"/>
        <w:gridCol w:w="60"/>
        <w:gridCol w:w="148"/>
        <w:gridCol w:w="648"/>
        <w:gridCol w:w="95"/>
        <w:gridCol w:w="71"/>
        <w:gridCol w:w="148"/>
        <w:gridCol w:w="648"/>
        <w:gridCol w:w="8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(5,398</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gain, net of tax:</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(loss) gain</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other comprehensive (loss) gain,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80" w:type="dxa"/>
            <w:tcBorders/>
            <w:shd w:fill="FFFFFF" w:val="clear"/>
            <w:vAlign w:val="center"/>
          </w:tcPr>
          <w:p>
            <w:pPr>
              <w:pStyle w:val="TableContents"/>
              <w:bidi w:val="0"/>
              <w:spacing w:before="0" w:after="0"/>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(5,400</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MONTHS ENDED June 30, 2023 AND 2022</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1783"/>
        <w:gridCol w:w="60"/>
        <w:gridCol w:w="80"/>
        <w:gridCol w:w="806"/>
        <w:gridCol w:w="60"/>
        <w:gridCol w:w="60"/>
        <w:gridCol w:w="162"/>
        <w:gridCol w:w="440"/>
        <w:gridCol w:w="60"/>
        <w:gridCol w:w="60"/>
        <w:gridCol w:w="136"/>
        <w:gridCol w:w="920"/>
        <w:gridCol w:w="80"/>
        <w:gridCol w:w="60"/>
        <w:gridCol w:w="164"/>
        <w:gridCol w:w="721"/>
        <w:gridCol w:w="80"/>
        <w:gridCol w:w="60"/>
        <w:gridCol w:w="349"/>
        <w:gridCol w:w="1114"/>
        <w:gridCol w:w="80"/>
        <w:gridCol w:w="60"/>
        <w:gridCol w:w="153"/>
        <w:gridCol w:w="1115"/>
        <w:gridCol w:w="80"/>
        <w:gridCol w:w="60"/>
        <w:gridCol w:w="228"/>
        <w:gridCol w:w="1085"/>
        <w:gridCol w:w="89"/>
      </w:tblGrid>
      <w:tr>
        <w:trPr/>
        <w:tc>
          <w:tcPr>
            <w:tcW w:w="1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9" w:type="dxa"/>
            <w:tcBorders/>
            <w:shd w:fill="FFFFFF"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 Equity</w:t>
            </w:r>
          </w:p>
        </w:tc>
        <w:tc>
          <w:tcPr>
            <w:tcW w:w="89" w:type="dxa"/>
            <w:tcBorders/>
            <w:shd w:fill="FFFFFF" w:val="clear"/>
            <w:vAlign w:val="center"/>
          </w:tcPr>
          <w:p>
            <w:pPr>
              <w:pStyle w:val="TableContents"/>
              <w:bidi w:val="0"/>
              <w:spacing w:before="0" w:after="283"/>
              <w:ind w:left="0" w:right="0" w:hanging="0"/>
              <w:jc w:val="left"/>
              <w:rPr/>
            </w:pPr>
            <w:r>
              <w:rPr/>
              <w:t> </w:t>
            </w:r>
          </w:p>
        </w:tc>
      </w:tr>
      <w:tr>
        <w:trPr/>
        <w:tc>
          <w:tcPr>
            <w:tcW w:w="17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(1,055,547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81,797</w:t>
            </w:r>
          </w:p>
        </w:tc>
        <w:tc>
          <w:tcPr>
            <w:tcW w:w="89" w:type="dxa"/>
            <w:tcBorders/>
            <w:shd w:fill="CCEEFF" w:val="clear"/>
            <w:vAlign w:val="center"/>
          </w:tcPr>
          <w:p>
            <w:pPr>
              <w:pStyle w:val="TableContents"/>
              <w:bidi w:val="0"/>
              <w:spacing w:before="0" w:after="283"/>
              <w:ind w:left="360" w:right="0" w:hanging="0"/>
              <w:jc w:val="left"/>
              <w:rPr/>
            </w:pPr>
            <w:r>
              <w:rPr/>
              <w:t> </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ind w:left="360" w:right="0" w:hanging="0"/>
              <w:jc w:val="left"/>
              <w:rPr/>
            </w:pPr>
            <w:r>
              <w:rPr/>
              <w:t> </w:t>
            </w:r>
          </w:p>
        </w:tc>
      </w:tr>
      <w:tr>
        <w:trPr/>
        <w:tc>
          <w:tcPr>
            <w:tcW w:w="1783"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ind w:left="0" w:right="0" w:hanging="0"/>
              <w:jc w:val="left"/>
              <w:rPr/>
            </w:pPr>
            <w:r>
              <w:rPr/>
              <w:t> </w:t>
            </w:r>
          </w:p>
        </w:tc>
        <w:tc>
          <w:tcPr>
            <w:tcW w:w="1114"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89" w:type="dxa"/>
            <w:tcBorders/>
            <w:shd w:fill="CCEEFF" w:val="clear"/>
            <w:vAlign w:val="center"/>
          </w:tcPr>
          <w:p>
            <w:pPr>
              <w:pStyle w:val="TableContents"/>
              <w:bidi w:val="0"/>
              <w:spacing w:before="0" w:after="283"/>
              <w:ind w:left="360" w:right="0" w:hanging="0"/>
              <w:jc w:val="left"/>
              <w:rPr/>
            </w:pPr>
            <w:r>
              <w:rPr/>
              <w:t> </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Issuance of stock for 401(k) match</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89" w:type="dxa"/>
            <w:tcBorders/>
            <w:shd w:fill="FFFFFF" w:val="clear"/>
            <w:vAlign w:val="center"/>
          </w:tcPr>
          <w:p>
            <w:pPr>
              <w:pStyle w:val="TableContents"/>
              <w:bidi w:val="0"/>
              <w:spacing w:before="0" w:after="283"/>
              <w:ind w:left="360" w:right="0" w:hanging="0"/>
              <w:jc w:val="left"/>
              <w:rPr/>
            </w:pPr>
            <w:r>
              <w:rPr/>
              <w:t> </w:t>
            </w:r>
          </w:p>
        </w:tc>
      </w:tr>
      <w:tr>
        <w:trPr/>
        <w:tc>
          <w:tcPr>
            <w:tcW w:w="1783"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ind w:left="0" w:right="0" w:hanging="0"/>
              <w:jc w:val="left"/>
              <w:rPr/>
            </w:pPr>
            <w:r>
              <w:rPr/>
              <w:t> </w:t>
            </w:r>
          </w:p>
        </w:tc>
        <w:tc>
          <w:tcPr>
            <w:tcW w:w="11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9" w:type="dxa"/>
            <w:tcBorders/>
            <w:shd w:fill="CCEE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8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7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(1,060,945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77,918</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33"/>
        <w:gridCol w:w="60"/>
        <w:gridCol w:w="76"/>
        <w:gridCol w:w="768"/>
        <w:gridCol w:w="80"/>
        <w:gridCol w:w="60"/>
        <w:gridCol w:w="158"/>
        <w:gridCol w:w="427"/>
        <w:gridCol w:w="60"/>
        <w:gridCol w:w="60"/>
        <w:gridCol w:w="133"/>
        <w:gridCol w:w="905"/>
        <w:gridCol w:w="60"/>
        <w:gridCol w:w="60"/>
        <w:gridCol w:w="159"/>
        <w:gridCol w:w="700"/>
        <w:gridCol w:w="80"/>
        <w:gridCol w:w="60"/>
        <w:gridCol w:w="394"/>
        <w:gridCol w:w="986"/>
        <w:gridCol w:w="80"/>
        <w:gridCol w:w="60"/>
        <w:gridCol w:w="149"/>
        <w:gridCol w:w="1088"/>
        <w:gridCol w:w="80"/>
        <w:gridCol w:w="60"/>
        <w:gridCol w:w="194"/>
        <w:gridCol w:w="1088"/>
        <w:gridCol w:w="87"/>
      </w:tblGrid>
      <w:tr>
        <w:trPr/>
        <w:tc>
          <w:tcPr>
            <w:tcW w:w="2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7" w:type="dxa"/>
            <w:tcBorders/>
            <w:shd w:fill="FFFFFF" w:val="clear"/>
            <w:vAlign w:val="center"/>
          </w:tcPr>
          <w:p>
            <w:pPr>
              <w:pStyle w:val="TableContents"/>
              <w:bidi w:val="0"/>
              <w:spacing w:before="0" w:after="283"/>
              <w:jc w:val="left"/>
              <w:rPr/>
            </w:pPr>
            <w:r>
              <w:rPr/>
              <w:t> </w:t>
            </w:r>
          </w:p>
        </w:tc>
      </w:tr>
      <w:tr>
        <w:trPr/>
        <w:tc>
          <w:tcPr>
            <w:tcW w:w="2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Comprehensive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Stockholders' Equity</w:t>
            </w:r>
          </w:p>
        </w:tc>
        <w:tc>
          <w:tcPr>
            <w:tcW w:w="87" w:type="dxa"/>
            <w:tcBorders/>
            <w:shd w:fill="FFFFFF" w:val="clear"/>
            <w:vAlign w:val="center"/>
          </w:tcPr>
          <w:p>
            <w:pPr>
              <w:pStyle w:val="TableContents"/>
              <w:bidi w:val="0"/>
              <w:spacing w:before="0" w:after="283"/>
              <w:jc w:val="left"/>
              <w:rPr/>
            </w:pPr>
            <w:r>
              <w:rPr/>
              <w:t> </w:t>
            </w:r>
          </w:p>
        </w:tc>
      </w:tr>
      <w:tr>
        <w:trPr/>
        <w:tc>
          <w:tcPr>
            <w:tcW w:w="2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2022</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(1,020,506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109,389</w:t>
            </w:r>
          </w:p>
        </w:tc>
        <w:tc>
          <w:tcPr>
            <w:tcW w:w="87" w:type="dxa"/>
            <w:tcBorders/>
            <w:shd w:fill="CCEEFF" w:val="clear"/>
            <w:vAlign w:val="center"/>
          </w:tcPr>
          <w:p>
            <w:pPr>
              <w:pStyle w:val="TableContents"/>
              <w:bidi w:val="0"/>
              <w:spacing w:before="0" w:after="283"/>
              <w:jc w:val="left"/>
              <w:rPr/>
            </w:pPr>
            <w:r>
              <w:rPr/>
              <w:t> </w:t>
            </w:r>
          </w:p>
        </w:tc>
      </w:tr>
      <w:tr>
        <w:trPr/>
        <w:tc>
          <w:tcPr>
            <w:tcW w:w="2033"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2033"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42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w:t>
            </w:r>
          </w:p>
        </w:tc>
        <w:tc>
          <w:tcPr>
            <w:tcW w:w="87" w:type="dxa"/>
            <w:tcBorders/>
            <w:shd w:fill="CCEEFF" w:val="clear"/>
            <w:vAlign w:val="center"/>
          </w:tcPr>
          <w:p>
            <w:pPr>
              <w:pStyle w:val="TableContents"/>
              <w:bidi w:val="0"/>
              <w:spacing w:before="0" w:after="283"/>
              <w:jc w:val="left"/>
              <w:rPr/>
            </w:pPr>
            <w:r>
              <w:rPr/>
              <w:t> </w:t>
            </w:r>
          </w:p>
        </w:tc>
      </w:tr>
      <w:tr>
        <w:trPr/>
        <w:tc>
          <w:tcPr>
            <w:tcW w:w="2033"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stock for 401(k) match</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42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7" w:type="dxa"/>
            <w:tcBorders/>
            <w:shd w:fill="FFFFFF" w:val="clear"/>
            <w:vAlign w:val="center"/>
          </w:tcPr>
          <w:p>
            <w:pPr>
              <w:pStyle w:val="TableContents"/>
              <w:bidi w:val="0"/>
              <w:spacing w:before="0" w:after="283"/>
              <w:jc w:val="left"/>
              <w:rPr/>
            </w:pPr>
            <w:r>
              <w:rPr/>
              <w:t> </w:t>
            </w:r>
          </w:p>
        </w:tc>
      </w:tr>
      <w:tr>
        <w:trPr/>
        <w:tc>
          <w:tcPr>
            <w:tcW w:w="2033"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42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7" w:type="dxa"/>
            <w:tcBorders/>
            <w:shd w:fill="CCEEFF" w:val="clear"/>
            <w:vAlign w:val="center"/>
          </w:tcPr>
          <w:p>
            <w:pPr>
              <w:pStyle w:val="TableContents"/>
              <w:bidi w:val="0"/>
              <w:spacing w:before="0" w:after="283"/>
              <w:jc w:val="left"/>
              <w:rPr/>
            </w:pPr>
            <w:r>
              <w:rPr/>
              <w:t> </w:t>
            </w:r>
          </w:p>
        </w:tc>
      </w:tr>
      <w:tr>
        <w:trPr/>
        <w:tc>
          <w:tcPr>
            <w:tcW w:w="203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(8,710</w:t>
            </w:r>
          </w:p>
        </w:tc>
        <w:tc>
          <w:tcPr>
            <w:tcW w:w="8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(1,029,216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101,913</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7916" w:type="dxa"/>
        <w:jc w:val="left"/>
        <w:tblInd w:w="0" w:type="dxa"/>
        <w:tblLayout w:type="fixed"/>
        <w:tblCellMar>
          <w:top w:w="0" w:type="dxa"/>
          <w:left w:w="0" w:type="dxa"/>
          <w:bottom w:w="0" w:type="dxa"/>
          <w:right w:w="0" w:type="dxa"/>
        </w:tblCellMar>
      </w:tblPr>
      <w:tblGrid>
        <w:gridCol w:w="5270"/>
        <w:gridCol w:w="60"/>
        <w:gridCol w:w="199"/>
        <w:gridCol w:w="943"/>
        <w:gridCol w:w="127"/>
        <w:gridCol w:w="95"/>
        <w:gridCol w:w="199"/>
        <w:gridCol w:w="943"/>
        <w:gridCol w:w="80"/>
      </w:tblGrid>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operations: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1,119</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1,401</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1,350</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Other non-cash items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 and liability accounts: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(6,272</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6,901</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(9,720</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6,343</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7,318</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4,099</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(2,245</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Change in other assets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Repayment of debt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(2,553</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49,486</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23,122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43,090</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schedule of cash flow information:</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 net of refunds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to settle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 and Liquidity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American Superconductor Corporation (together with its subsidiaries, “AMSC®” or the “Company”) was founded on </w:t>
      </w:r>
      <w:r>
        <w:rPr>
          <w:rStyle w:val="Emphasis"/>
          <w:rFonts w:ascii="Times New Roman;Times;serif" w:hAnsi="Times New Roman;Times;serif"/>
          <w:sz w:val="20"/>
        </w:rPr>
        <w:t>April 9,</w:t>
      </w:r>
      <w:r>
        <w:rPr>
          <w:rFonts w:ascii="Times New Roman;Times;serif" w:hAnsi="Times New Roman;Times;serif"/>
          <w:sz w:val="20"/>
        </w:rPr>
        <w:t xml:space="preserve"> </w:t>
      </w:r>
      <w:r>
        <w:rPr>
          <w:rStyle w:val="Emphasis"/>
          <w:rFonts w:ascii="Times New Roman;Times;serif" w:hAnsi="Times New Roman;Times;serif"/>
          <w:sz w:val="20"/>
        </w:rPr>
        <w:t>1987.</w:t>
      </w:r>
      <w:r>
        <w:rPr>
          <w:rFonts w:ascii="Times New Roman;Times;serif" w:hAnsi="Times New Roman;Times;serif"/>
          <w:sz w:val="20"/>
        </w:rPr>
        <w:t xml:space="preserve">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June 30, 2023 </w:t>
      </w:r>
      <w:r>
        <w:rPr>
          <w:rFonts w:ascii="Times New Roman;Times;serif" w:hAnsi="Times New Roman;Times;serif"/>
          <w:sz w:val="20"/>
        </w:rPr>
        <w:t>and </w:t>
      </w:r>
      <w:r>
        <w:rPr>
          <w:rStyle w:val="Emphasis"/>
          <w:rFonts w:ascii="Times New Roman;Times;serif" w:hAnsi="Times New Roman;Times;serif"/>
          <w:sz w:val="20"/>
        </w:rPr>
        <w:t>2022</w:t>
      </w:r>
      <w:r>
        <w:rPr>
          <w:rFonts w:ascii="Times New Roman;Times;serif" w:hAnsi="Times New Roman;Times;serif"/>
          <w:sz w:val="20"/>
        </w:rPr>
        <w:t xml:space="preserve"> and the financial position at </w:t>
      </w:r>
      <w:r>
        <w:rPr>
          <w:rStyle w:val="Emphasis"/>
          <w:rFonts w:ascii="Times New Roman;Times;serif" w:hAnsi="Times New Roman;Times;serif"/>
          <w:sz w:val="20"/>
        </w:rPr>
        <w:t xml:space="preserve">June 30, 2023; </w:t>
      </w:r>
      <w:r>
        <w:rPr>
          <w:rFonts w:ascii="Times New Roman;Times;serif" w:hAnsi="Times New Roman;Times;serif"/>
          <w:sz w:val="20"/>
        </w:rPr>
        <w:t xml:space="preserve">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condensed consolidated financial statements for the year ended </w:t>
      </w:r>
      <w:r>
        <w:rPr>
          <w:rStyle w:val="Emphasis"/>
          <w:rFonts w:ascii="Times New Roman;Times;serif" w:hAnsi="Times New Roman;Times;serif"/>
          <w:sz w:val="20"/>
        </w:rPr>
        <w:t xml:space="preserve"> March 31, 2023, </w:t>
      </w:r>
      <w:r>
        <w:rPr>
          <w:rFonts w:ascii="Times New Roman;Times;serif" w:hAnsi="Times New Roman;Times;serif"/>
          <w:sz w:val="20"/>
        </w:rPr>
        <w:t xml:space="preserve">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2023 </w:t>
      </w:r>
      <w:r>
        <w:rPr>
          <w:rFonts w:ascii="Times New Roman;Times;serif" w:hAnsi="Times New Roman;Times;serif"/>
          <w:sz w:val="20"/>
        </w:rPr>
        <w:t xml:space="preserve">filed with the SEC on </w:t>
      </w:r>
      <w:r>
        <w:rPr>
          <w:rStyle w:val="Emphasis"/>
          <w:rFonts w:ascii="Times New Roman;Times;serif" w:hAnsi="Times New Roman;Times;serif"/>
          <w:sz w:val="20"/>
        </w:rPr>
        <w:t>May 31,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historically experienced recurring operating losses and as of </w:t>
      </w:r>
      <w:r>
        <w:rPr>
          <w:rStyle w:val="Emphasis"/>
          <w:rFonts w:ascii="Times New Roman;Times;serif" w:hAnsi="Times New Roman;Times;serif"/>
          <w:sz w:val="20"/>
        </w:rPr>
        <w:t>June 30, 2023</w:t>
      </w:r>
      <w:r>
        <w:rPr>
          <w:rFonts w:ascii="Times New Roman;Times;serif" w:hAnsi="Times New Roman;Times;serif"/>
          <w:sz w:val="20"/>
        </w:rPr>
        <w:t xml:space="preserve">, the Company had an accumulated deficit of $1,061 million. In addition, the Company has historically experienced recurring negative operating cash flows. At </w:t>
      </w:r>
      <w:r>
        <w:rPr>
          <w:rStyle w:val="Emphasis"/>
          <w:rFonts w:ascii="Times New Roman;Times;serif" w:hAnsi="Times New Roman;Times;serif"/>
          <w:sz w:val="20"/>
        </w:rPr>
        <w:t>June 30, 2023</w:t>
      </w:r>
      <w:r>
        <w:rPr>
          <w:rFonts w:ascii="Times New Roman;Times;serif" w:hAnsi="Times New Roman;Times;serif"/>
          <w:sz w:val="20"/>
        </w:rPr>
        <w:t>, the Company had cash and cash equivalents of $22.0 million. Cash used in operations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2023</w:t>
      </w:r>
      <w:r>
        <w:rPr>
          <w:rFonts w:ascii="Times New Roman;Times;serif" w:hAnsi="Times New Roman;Times;serif"/>
          <w:sz w:val="20"/>
        </w:rPr>
        <w:t xml:space="preserve"> was $2.2 million.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2021, </w:t>
      </w:r>
      <w:r>
        <w:rPr>
          <w:rFonts w:ascii="Times New Roman" w:hAnsi="Times New Roman"/>
          <w:caps w:val="false"/>
          <w:smallCaps w:val="false"/>
          <w:sz w:val="20"/>
        </w:rPr>
        <w:t>the Company filed a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that will expire in </w:t>
      </w:r>
      <w:r>
        <w:rPr>
          <w:rStyle w:val="Emphasis"/>
          <w:rFonts w:ascii="Times New Roman" w:hAnsi="Times New Roman"/>
          <w:caps w:val="false"/>
          <w:smallCaps w:val="false"/>
          <w:sz w:val="20"/>
        </w:rPr>
        <w:t>February 2024 (</w:t>
      </w:r>
      <w:r>
        <w:rPr>
          <w:rFonts w:ascii="Times New Roman" w:hAnsi="Times New Roman"/>
          <w:caps w:val="false"/>
          <w:smallCaps w:val="false"/>
          <w:sz w:val="20"/>
        </w:rPr>
        <w:t>the “Form S-</w:t>
      </w:r>
      <w:r>
        <w:rPr>
          <w:rStyle w:val="Emphasis"/>
          <w:rFonts w:ascii="Times New Roman" w:hAnsi="Times New Roman"/>
          <w:caps w:val="false"/>
          <w:smallCaps w:val="false"/>
          <w:sz w:val="20"/>
        </w:rPr>
        <w:t>3”</w:t>
      </w:r>
      <w:r>
        <w:rPr>
          <w:rFonts w:ascii="Times New Roman" w:hAnsi="Times New Roman"/>
          <w:caps w:val="false"/>
          <w:smallCaps w:val="false"/>
          <w:sz w:val="20"/>
        </w:rPr>
        <w:t>).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allows the Company to offer and sell from time-to-time up to $250 million of common stock, debt securities, warrants or units comprised of any combination of these securities.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is intended to provide the Company flexibility to conduct registered sales of the Company's securities, subject to market conditions, in order to fund the Company's future capital needs. The terms of any future offering under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The Company continues to experience inflationary pressure in its supply chain and some delays in sourcing materials needed for its products resulting in some production disruption, both of which have increased the Company’s cost of revenues and decreased gross margin. While the impact of inflation has been challenging, the Company continues to take actions to limit this pressure, including adjusting the pricing of its products and services. Changes in macroeconomic conditions arising from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or for other reasons, such as the ongoing war between Russia and Ukraine, inflation, rising interest rates, labor force availability, sourcing, material delays and global supply chain disruptions could have a material adverse effect on the Company’s business, financial condition and results of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From time-to-time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undertake restructuring activities in order to align the global organization in a manner that the Company believes will better position it to achieve its long-term goals.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the Company undertook a reduction in force that involved approximately 5% of the global workforce. This restructuring is expected to incur $1.0 million of cash expenses, $0.7 million of which has been paid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to result in annualized cost savings of approximately $5.0 million, beginning in fiscal </w:t>
      </w:r>
      <w:r>
        <w:rPr>
          <w:rStyle w:val="Emphasis"/>
          <w:rFonts w:ascii="Times New Roman" w:hAnsi="Times New Roman"/>
          <w:caps w:val="false"/>
          <w:smallCaps w:val="false"/>
          <w:sz w:val="20"/>
        </w:rPr>
        <w:t>2023.</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believes that based on the information presented above and its quarterly management assessment, it has sufficient liquidity to fund its operations and capital expenditures for the next </w:t>
      </w:r>
      <w:r>
        <w:rPr>
          <w:rStyle w:val="Emphasis"/>
          <w:rFonts w:ascii="Times New Roman;Times;serif" w:hAnsi="Times New Roman;Times;serif"/>
          <w:sz w:val="20"/>
        </w:rPr>
        <w:t>twelve</w:t>
      </w:r>
      <w:r>
        <w:rPr>
          <w:rFonts w:ascii="Times New Roman;Times;serif" w:hAnsi="Times New Roman;Times;serif"/>
          <w:sz w:val="20"/>
        </w:rPr>
        <w:t xml:space="preserve"> months following the issuance of the financial statements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The Company’s liquidity is highly dependent on its ability to increase revenues, its ability to control its operating costs, and its ability to raise additional capital, if necessary. The impact of the COVID-</w:t>
      </w:r>
      <w:r>
        <w:rPr>
          <w:rStyle w:val="Emphasis"/>
          <w:rFonts w:ascii="Times New Roman;Times;serif" w:hAnsi="Times New Roman;Times;serif"/>
          <w:sz w:val="20"/>
        </w:rPr>
        <w:t>19</w:t>
      </w:r>
      <w:r>
        <w:rPr>
          <w:rFonts w:ascii="Times New Roman;Times;serif" w:hAnsi="Times New Roman;Times;serif"/>
          <w:sz w:val="20"/>
        </w:rPr>
        <w:t xml:space="preserve"> pandemic and other sources of instability, including the war between Russia and Ukraine, on the global financing markets </w:t>
      </w:r>
      <w:r>
        <w:rPr>
          <w:rStyle w:val="Emphasis"/>
          <w:rFonts w:ascii="Times New Roman;Times;serif" w:hAnsi="Times New Roman;Times;serif"/>
          <w:sz w:val="20"/>
        </w:rPr>
        <w:t xml:space="preserve">may </w:t>
      </w:r>
      <w:r>
        <w:rPr>
          <w:rFonts w:ascii="Times New Roman;Times;serif" w:hAnsi="Times New Roman;Times;serif"/>
          <w:sz w:val="20"/>
        </w:rPr>
        <w:t xml:space="preserve">reduce the Company's ability to raise additional capital, if necessary, which could negatively impact the Company's liquidity.  There can be </w:t>
      </w:r>
      <w:r>
        <w:rPr>
          <w:rStyle w:val="Emphasis"/>
          <w:rFonts w:ascii="Times New Roman;Times;serif" w:hAnsi="Times New Roman;Times;serif"/>
          <w:sz w:val="20"/>
        </w:rPr>
        <w:t>no</w:t>
      </w:r>
      <w:r>
        <w:rPr>
          <w:rFonts w:ascii="Times New Roman;Times;serif" w:hAnsi="Times New Roman;Times;serif"/>
          <w:sz w:val="20"/>
        </w:rPr>
        <w:t xml:space="preserve"> assurance that the Company will be able to continue to raise additional capital, on favorable terms or at all, from other sources or execute on any other means of improving liquidity described above.</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b/>
          <w:sz w:val="20"/>
        </w:rPr>
        <w:t xml:space="preserve"> Revenue Recognition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76% and 70% of revenue, respectively, was recognized at the point in time when control transferred to the customer, with the remainder being recognized over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equipment and system product line includes certain contracts which do </w:t>
      </w:r>
      <w:r>
        <w:rPr>
          <w:rStyle w:val="Emphasis"/>
          <w:rFonts w:ascii="Times New Roman;Times;serif" w:hAnsi="Times New Roman;Times;serif"/>
          <w:sz w:val="20"/>
        </w:rPr>
        <w:t>not</w:t>
      </w:r>
      <w:r>
        <w:rPr>
          <w:rFonts w:ascii="Times New Roman;Times;serif" w:hAnsi="Times New Roman;Times;serif"/>
          <w:sz w:val="20"/>
        </w:rPr>
        <w:t xml:space="preserve"> meet the requirements of an exchange transaction and therefore do </w:t>
      </w:r>
      <w:r>
        <w:rPr>
          <w:rStyle w:val="Emphasis"/>
          <w:rFonts w:ascii="Times New Roman;Times;serif" w:hAnsi="Times New Roman;Times;serif"/>
          <w:sz w:val="20"/>
        </w:rPr>
        <w:t>not</w:t>
      </w:r>
      <w:r>
        <w:rPr>
          <w:rFonts w:ascii="Times New Roman;Times;serif" w:hAnsi="Times New Roman;Times;serif"/>
          <w:sz w:val="20"/>
        </w:rPr>
        <w:t xml:space="preserve"> fall within the scope of ASC </w:t>
      </w:r>
      <w:r>
        <w:rPr>
          <w:rStyle w:val="Emphasis"/>
          <w:rFonts w:ascii="Times New Roman;Times;serif" w:hAnsi="Times New Roman;Times;serif"/>
          <w:sz w:val="20"/>
        </w:rPr>
        <w:t>606.</w:t>
      </w:r>
      <w:r>
        <w:rPr>
          <w:rFonts w:ascii="Times New Roman;Times;serif" w:hAnsi="Times New Roman;Times;serif"/>
          <w:sz w:val="20"/>
        </w:rPr>
        <w:t xml:space="preserve">  As these non-exchange transaction contracts are considered grant revenue and do </w:t>
      </w:r>
      <w:r>
        <w:rPr>
          <w:rStyle w:val="Emphasis"/>
          <w:rFonts w:ascii="Times New Roman;Times;serif" w:hAnsi="Times New Roman;Times;serif"/>
          <w:sz w:val="20"/>
        </w:rPr>
        <w:t>not</w:t>
      </w:r>
      <w:r>
        <w:rPr>
          <w:rFonts w:ascii="Times New Roman;Times;serif" w:hAnsi="Times New Roman;Times;serif"/>
          <w:sz w:val="20"/>
        </w:rPr>
        <w:t xml:space="preserve"> fall within any specific accounting literature, the Company follows guidance within ASC </w:t>
      </w:r>
      <w:r>
        <w:rPr>
          <w:rStyle w:val="Emphasis"/>
          <w:rFonts w:ascii="Times New Roman;Times;serif" w:hAnsi="Times New Roman;Times;serif"/>
          <w:sz w:val="20"/>
        </w:rPr>
        <w:t>606</w:t>
      </w:r>
      <w:r>
        <w:rPr>
          <w:rFonts w:ascii="Times New Roman;Times;serif" w:hAnsi="Times New Roman;Times;serif"/>
          <w:sz w:val="20"/>
        </w:rPr>
        <w:t xml:space="preserve"> by analogy to recognize grant revenue over time. The Company recorded no grant revenue in the </w:t>
      </w:r>
      <w:r>
        <w:rPr>
          <w:rStyle w:val="Emphasis"/>
          <w:rFonts w:ascii="Times New Roman;Times;serif" w:hAnsi="Times New Roman;Times;serif"/>
          <w:sz w:val="20"/>
        </w:rPr>
        <w:t>three</w:t>
      </w:r>
      <w:r>
        <w:rPr>
          <w:rFonts w:ascii="Times New Roman;Times;serif" w:hAnsi="Times New Roman;Times;serif"/>
          <w:sz w:val="20"/>
        </w:rPr>
        <w:t xml:space="preserve"> month periods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w:t>
      </w:r>
      <w:r>
        <w:rPr>
          <w:rStyle w:val="Emphasis"/>
          <w:rFonts w:ascii="Times New Roman;Times;serif" w:hAnsi="Times New Roman;Times;serif"/>
          <w:sz w:val="20"/>
        </w:rPr>
        <w:t>no</w:t>
      </w:r>
      <w:r>
        <w:rPr>
          <w:rFonts w:ascii="Times New Roman;Times;serif" w:hAnsi="Times New Roman;Times;serif"/>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Times;serif" w:hAnsi="Times New Roman;Times;serif"/>
          <w:i/>
          <w:sz w:val="20"/>
        </w:rPr>
        <w:t>not</w:t>
      </w:r>
      <w:r>
        <w:rPr>
          <w:rFonts w:ascii="Times New Roman;Times;serif" w:hAnsi="Times New Roman;Times;serif"/>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Times;serif" w:hAnsi="Times New Roman;Times;serif"/>
          <w:i/>
          <w:sz w:val="20"/>
        </w:rPr>
        <w:t>not</w:t>
      </w:r>
      <w:r>
        <w:rPr>
          <w:rFonts w:ascii="Times New Roman;Times;serif" w:hAnsi="Times New Roman;Times;serif"/>
          <w:sz w:val="20"/>
        </w:rPr>
        <w:t> assured and a contract does </w:t>
      </w:r>
      <w:r>
        <w:rPr>
          <w:rStyle w:val="Emphasis"/>
          <w:rFonts w:ascii="Times New Roman;Times;serif" w:hAnsi="Times New Roman;Times;serif"/>
          <w:i/>
          <w:sz w:val="20"/>
        </w:rPr>
        <w:t>not</w:t>
      </w:r>
      <w:r>
        <w:rPr>
          <w:rFonts w:ascii="Times New Roman;Times;serif" w:hAnsi="Times New Roman;Times;serif"/>
          <w:sz w:val="20"/>
        </w:rPr>
        <w:t> exist under ASC </w:t>
      </w:r>
      <w:r>
        <w:rPr>
          <w:rStyle w:val="Emphasis"/>
          <w:rFonts w:ascii="Times New Roman;Times;serif" w:hAnsi="Times New Roman;Times;serif"/>
          <w:i/>
          <w:sz w:val="20"/>
        </w:rPr>
        <w:t>606,</w:t>
      </w:r>
      <w:r>
        <w:rPr>
          <w:rFonts w:ascii="Times New Roman;Times;serif" w:hAnsi="Times New Roman;Times;serif"/>
          <w:sz w:val="20"/>
        </w:rPr>
        <w:t> revenue is deferred until a non-refundable payment has been received for substantially all the amount that is due and there are </w:t>
      </w:r>
      <w:r>
        <w:rPr>
          <w:rStyle w:val="Emphasis"/>
          <w:rFonts w:ascii="Times New Roman;Times;serif" w:hAnsi="Times New Roman;Times;serif"/>
          <w:sz w:val="20"/>
        </w:rPr>
        <w:t>no</w:t>
      </w:r>
      <w:r>
        <w:rPr>
          <w:rFonts w:ascii="Times New Roman;Times;serif" w:hAnsi="Times New Roman;Times;serif"/>
          <w:sz w:val="20"/>
        </w:rPr>
        <w:t> further remaining performance obligations.</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in such cases the long-term amount will be assessed for materiality.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monitors costs to meet its obligations on its customer contracts. When it is evident that there is a loss expected on a contract, a contract loss is accrued in the period. Several long-term contracts that were acquired from Neeltran, Inc. (“Neeltran”) were impacted by higher than planned costs due to required design changes and inflation on material costs, resulting in an increase to the contract loss accrual of $0.1 million and $0.2 million in the </w:t>
      </w:r>
      <w:r>
        <w:rPr>
          <w:rStyle w:val="Emphasis"/>
          <w:rFonts w:ascii="Times New Roman;Times;serif" w:hAnsi="Times New Roman;Times;serif"/>
          <w:sz w:val="20"/>
        </w:rPr>
        <w:t>three</w:t>
      </w:r>
      <w:r>
        <w:rPr>
          <w:rFonts w:ascii="Times New Roman;Times;serif" w:hAnsi="Times New Roman;Times;serif"/>
          <w:sz w:val="20"/>
        </w:rPr>
        <w:t xml:space="preserve"> month periods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which negatively impacted the Company's gross margins. </w:t>
      </w:r>
    </w:p>
    <w:p>
      <w:pPr>
        <w:pStyle w:val="TextBody"/>
        <w:bidi w:val="0"/>
        <w:spacing w:before="0" w:after="0"/>
        <w:ind w:left="0" w:right="0" w:firstLine="54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product line and by shipment destination (in thousands):</w:t>
      </w:r>
    </w:p>
    <w:p>
      <w:pPr>
        <w:pStyle w:val="TextBody"/>
        <w:bidi w:val="0"/>
        <w:spacing w:before="0" w:after="0"/>
        <w:ind w:left="0" w:right="0" w:firstLine="720"/>
        <w:jc w:val="both"/>
        <w:rPr/>
      </w:pPr>
      <w:r>
        <w:rPr/>
        <w:t> </w:t>
      </w:r>
    </w:p>
    <w:tbl>
      <w:tblPr>
        <w:tblW w:w="6217" w:type="dxa"/>
        <w:jc w:val="left"/>
        <w:tblInd w:w="0" w:type="dxa"/>
        <w:tblLayout w:type="fixed"/>
        <w:tblCellMar>
          <w:top w:w="0" w:type="dxa"/>
          <w:left w:w="0" w:type="dxa"/>
          <w:bottom w:w="0" w:type="dxa"/>
          <w:right w:w="0" w:type="dxa"/>
        </w:tblCellMar>
      </w:tblPr>
      <w:tblGrid>
        <w:gridCol w:w="3125"/>
        <w:gridCol w:w="60"/>
        <w:gridCol w:w="257"/>
        <w:gridCol w:w="1214"/>
        <w:gridCol w:w="123"/>
        <w:gridCol w:w="123"/>
        <w:gridCol w:w="257"/>
        <w:gridCol w:w="998"/>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 2023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4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Grid</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systems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1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23,126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3,982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Services and technology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2,611</w:t>
            </w:r>
          </w:p>
        </w:tc>
        <w:tc>
          <w:tcPr>
            <w:tcW w:w="123" w:type="dxa"/>
            <w:tcBorders/>
            <w:shd w:fill="FFFFFF" w:val="clear"/>
            <w:vAlign w:val="center"/>
          </w:tcPr>
          <w:p>
            <w:pPr>
              <w:pStyle w:val="TableContents"/>
              <w:bidi w:val="0"/>
              <w:spacing w:before="0" w:after="0"/>
              <w:ind w:left="0" w:right="0" w:hanging="0"/>
              <w:jc w:val="left"/>
              <w:rPr/>
            </w:pPr>
            <w:r>
              <w:rPr/>
              <w:t> </w:t>
            </w:r>
          </w:p>
        </w:tc>
        <w:tc>
          <w:tcPr>
            <w:tcW w:w="123" w:type="dxa"/>
            <w:tcBorders/>
            <w:shd w:fill="FFFF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25,737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4,517</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Americas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1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23,161</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1,711</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4,465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EMEA</w:t>
            </w:r>
          </w:p>
        </w:tc>
        <w:tc>
          <w:tcPr>
            <w:tcW w:w="60" w:type="dxa"/>
            <w:tcBorders/>
            <w:shd w:fill="FFFF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865</w:t>
            </w:r>
          </w:p>
        </w:tc>
        <w:tc>
          <w:tcPr>
            <w:tcW w:w="123" w:type="dxa"/>
            <w:tcBorders/>
            <w:shd w:fill="FFFFFF" w:val="clear"/>
            <w:vAlign w:val="center"/>
          </w:tcPr>
          <w:p>
            <w:pPr>
              <w:pStyle w:val="TableContents"/>
              <w:bidi w:val="0"/>
              <w:spacing w:before="0" w:after="0"/>
              <w:ind w:left="0" w:right="0" w:hanging="0"/>
              <w:jc w:val="left"/>
              <w:rPr/>
            </w:pPr>
            <w:r>
              <w:rPr/>
              <w:t> </w:t>
            </w:r>
          </w:p>
        </w:tc>
        <w:tc>
          <w:tcPr>
            <w:tcW w:w="123" w:type="dxa"/>
            <w:tcBorders/>
            <w:shd w:fill="FFFF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25,737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6217" w:type="dxa"/>
        <w:jc w:val="left"/>
        <w:tblInd w:w="0" w:type="dxa"/>
        <w:tblLayout w:type="fixed"/>
        <w:tblCellMar>
          <w:top w:w="0" w:type="dxa"/>
          <w:left w:w="0" w:type="dxa"/>
          <w:bottom w:w="0" w:type="dxa"/>
          <w:right w:w="0" w:type="dxa"/>
        </w:tblCellMar>
      </w:tblPr>
      <w:tblGrid>
        <w:gridCol w:w="3125"/>
        <w:gridCol w:w="60"/>
        <w:gridCol w:w="257"/>
        <w:gridCol w:w="1214"/>
        <w:gridCol w:w="123"/>
        <w:gridCol w:w="123"/>
        <w:gridCol w:w="257"/>
        <w:gridCol w:w="998"/>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 2022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4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Grid</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Wind</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 and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18,076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Services and technology development</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1,753</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19,829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Americas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16,902</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2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19,829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7,</w:t>
      </w:r>
      <w:r>
        <w:rPr>
          <w:rFonts w:ascii="Times New Roman;Times;serif" w:hAnsi="Times New Roman;Times;serif"/>
          <w:sz w:val="20"/>
        </w:rPr>
        <w:t xml:space="preserve"> “Accounts Receivable” and Note </w:t>
      </w:r>
      <w:r>
        <w:rPr>
          <w:rStyle w:val="Emphasis"/>
          <w:rFonts w:ascii="Times New Roman;Times;serif" w:hAnsi="Times New Roman;Times;serif"/>
          <w:sz w:val="20"/>
        </w:rPr>
        <w:t>8,</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5"/>
        <w:gridCol w:w="60"/>
        <w:gridCol w:w="338"/>
        <w:gridCol w:w="1479"/>
        <w:gridCol w:w="80"/>
        <w:gridCol w:w="60"/>
        <w:gridCol w:w="270"/>
        <w:gridCol w:w="1190"/>
        <w:gridCol w:w="80"/>
        <w:gridCol w:w="60"/>
        <w:gridCol w:w="227"/>
        <w:gridCol w:w="1083"/>
        <w:gridCol w:w="83"/>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 Liabilities</w:t>
            </w:r>
          </w:p>
        </w:tc>
        <w:tc>
          <w:tcPr>
            <w:tcW w:w="83"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as of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50,760</w:t>
            </w:r>
          </w:p>
        </w:tc>
        <w:tc>
          <w:tcPr>
            <w:tcW w:w="83"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Increases for costs incurred to fulfill performance obligations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Increase (decrease) due to customer billings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16,308</w:t>
            </w:r>
          </w:p>
        </w:tc>
        <w:tc>
          <w:tcPr>
            <w:tcW w:w="83"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Decrease due to cost recognition on completed performance obligations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(8,974</w:t>
            </w:r>
          </w:p>
        </w:tc>
        <w:tc>
          <w:tcPr>
            <w:tcW w:w="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7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as of June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58,083</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813"/>
        <w:gridCol w:w="60"/>
        <w:gridCol w:w="365"/>
        <w:gridCol w:w="1597"/>
        <w:gridCol w:w="80"/>
        <w:gridCol w:w="60"/>
        <w:gridCol w:w="267"/>
        <w:gridCol w:w="850"/>
        <w:gridCol w:w="80"/>
        <w:gridCol w:w="60"/>
        <w:gridCol w:w="143"/>
        <w:gridCol w:w="747"/>
        <w:gridCol w:w="83"/>
      </w:tblGrid>
      <w:tr>
        <w:trPr/>
        <w:tc>
          <w:tcPr>
            <w:tcW w:w="58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Unbilled Accounts Receivable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Deferred </w:t>
              <w:br/>
              <w:t>Program Costs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w:t>
              <w:br/>
              <w:t>Liabilities</w:t>
            </w:r>
          </w:p>
        </w:tc>
        <w:tc>
          <w:tcPr>
            <w:tcW w:w="83" w:type="dxa"/>
            <w:tcBorders/>
            <w:vAlign w:val="center"/>
          </w:tcPr>
          <w:p>
            <w:pPr>
              <w:pStyle w:val="TableContents"/>
              <w:bidi w:val="0"/>
              <w:spacing w:before="0" w:after="283"/>
              <w:jc w:val="left"/>
              <w:rPr/>
            </w:pPr>
            <w:r>
              <w:rPr/>
              <w:t> </w:t>
            </w:r>
          </w:p>
        </w:tc>
      </w:tr>
      <w:tr>
        <w:trPr/>
        <w:tc>
          <w:tcPr>
            <w:tcW w:w="581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as of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30,034</w:t>
            </w:r>
          </w:p>
        </w:tc>
        <w:tc>
          <w:tcPr>
            <w:tcW w:w="83" w:type="dxa"/>
            <w:tcBorders/>
            <w:shd w:fill="CCEEFF" w:val="clear"/>
            <w:vAlign w:val="center"/>
          </w:tcPr>
          <w:p>
            <w:pPr>
              <w:pStyle w:val="TableContents"/>
              <w:bidi w:val="0"/>
              <w:spacing w:before="0" w:after="283"/>
              <w:jc w:val="left"/>
              <w:rPr/>
            </w:pPr>
            <w:r>
              <w:rPr/>
              <w:t> </w:t>
            </w:r>
          </w:p>
        </w:tc>
      </w:tr>
      <w:tr>
        <w:trPr/>
        <w:tc>
          <w:tcPr>
            <w:tcW w:w="581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for costs incurred to fulfill performance obligations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159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581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(decrease) due to customer billings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ind w:left="0" w:right="0" w:hanging="0"/>
              <w:jc w:val="left"/>
              <w:rPr/>
            </w:pPr>
            <w:r>
              <w:rPr/>
              <w:t> </w:t>
            </w:r>
          </w:p>
        </w:tc>
        <w:tc>
          <w:tcPr>
            <w:tcW w:w="15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17,852</w:t>
            </w:r>
          </w:p>
        </w:tc>
        <w:tc>
          <w:tcPr>
            <w:tcW w:w="83" w:type="dxa"/>
            <w:tcBorders/>
            <w:shd w:fill="CCEEFF" w:val="clear"/>
            <w:vAlign w:val="center"/>
          </w:tcPr>
          <w:p>
            <w:pPr>
              <w:pStyle w:val="TableContents"/>
              <w:bidi w:val="0"/>
              <w:spacing w:before="0" w:after="283"/>
              <w:jc w:val="left"/>
              <w:rPr/>
            </w:pPr>
            <w:r>
              <w:rPr/>
              <w:t> </w:t>
            </w:r>
          </w:p>
        </w:tc>
      </w:tr>
      <w:tr>
        <w:trPr/>
        <w:tc>
          <w:tcPr>
            <w:tcW w:w="581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 due to cost recognition on completed performance obligations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159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581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ind w:left="0" w:right="0" w:hanging="0"/>
              <w:jc w:val="left"/>
              <w:rPr/>
            </w:pPr>
            <w:r>
              <w:rPr/>
              <w:t> </w:t>
            </w:r>
          </w:p>
        </w:tc>
        <w:tc>
          <w:tcPr>
            <w:tcW w:w="15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(13,737</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1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changes and FX impact</w:t>
            </w:r>
          </w:p>
        </w:tc>
        <w:tc>
          <w:tcPr>
            <w:tcW w:w="60" w:type="dxa"/>
            <w:tcBorders/>
            <w:shd w:fill="FFFFFF" w:val="clear"/>
            <w:vAlign w:val="center"/>
          </w:tcPr>
          <w:p>
            <w:pPr>
              <w:pStyle w:val="TableContents"/>
              <w:bidi w:val="0"/>
              <w:spacing w:before="0" w:after="283"/>
              <w:jc w:val="left"/>
              <w:rPr/>
            </w:pPr>
            <w:r>
              <w:rPr/>
              <w:t> </w:t>
            </w:r>
          </w:p>
        </w:tc>
        <w:tc>
          <w:tcPr>
            <w:tcW w:w="3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1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as of June 30, 2022</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33,755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June 30, 2023</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$123.3 </w:t>
      </w:r>
      <w:r>
        <w:rPr>
          <w:rFonts w:ascii="Times New Roman;Times;serif" w:hAnsi="Times New Roman;Times;serif"/>
          <w:sz w:val="20"/>
          <w:shd w:fill="FFFFFF" w:val="clear"/>
        </w:rPr>
        <w:t>million</w:t>
      </w:r>
      <w:r>
        <w:rPr>
          <w:rFonts w:ascii="Times New Roman;Times;serif" w:hAnsi="Times New Roman;Times;serif"/>
          <w:sz w:val="20"/>
        </w:rPr>
        <w:t>. There are also approximately $41.5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w:t>
      </w:r>
    </w:p>
    <w:p>
      <w:pPr>
        <w:pStyle w:val="TextBody"/>
        <w:bidi w:val="0"/>
        <w:spacing w:before="0" w:after="0"/>
        <w:ind w:left="0" w:right="0" w:firstLine="720"/>
        <w:jc w:val="both"/>
        <w:rPr/>
      </w:pPr>
      <w:r>
        <w:rPr/>
        <w:t> </w:t>
      </w:r>
    </w:p>
    <w:tbl>
      <w:tblPr>
        <w:tblW w:w="4533" w:type="dxa"/>
        <w:jc w:val="left"/>
        <w:tblInd w:w="0" w:type="dxa"/>
        <w:tblLayout w:type="fixed"/>
        <w:tblCellMar>
          <w:top w:w="0" w:type="dxa"/>
          <w:left w:w="0" w:type="dxa"/>
          <w:bottom w:w="0" w:type="dxa"/>
          <w:right w:w="0" w:type="dxa"/>
        </w:tblCellMar>
      </w:tblPr>
      <w:tblGrid>
        <w:gridCol w:w="1580"/>
        <w:gridCol w:w="950"/>
        <w:gridCol w:w="60"/>
        <w:gridCol w:w="128"/>
        <w:gridCol w:w="490"/>
        <w:gridCol w:w="394"/>
        <w:gridCol w:w="128"/>
        <w:gridCol w:w="128"/>
        <w:gridCol w:w="490"/>
        <w:gridCol w:w="185"/>
      </w:tblGrid>
      <w:tr>
        <w:trPr/>
        <w:tc>
          <w:tcPr>
            <w:tcW w:w="158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6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39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Inox Wind Limited</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3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8" w:type="dxa"/>
            <w:tcBorders/>
            <w:shd w:fill="CCEEFF" w:val="clear"/>
            <w:vAlign w:val="center"/>
          </w:tcPr>
          <w:p>
            <w:pPr>
              <w:pStyle w:val="TableContents"/>
              <w:bidi w:val="0"/>
              <w:spacing w:before="0" w:after="283"/>
              <w:ind w:left="0" w:right="0" w:hanging="0"/>
              <w:jc w:val="left"/>
              <w:rPr/>
            </w:pPr>
            <w:r>
              <w:rPr/>
              <w:t> </w:t>
            </w:r>
          </w:p>
        </w:tc>
        <w:tc>
          <w:tcPr>
            <w:tcW w:w="618" w:type="dxa"/>
            <w:gridSpan w:val="2"/>
            <w:tcBorders/>
            <w:shd w:fill="CCEE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&lt;10%</w:t>
            </w:r>
          </w:p>
        </w:tc>
        <w:tc>
          <w:tcPr>
            <w:tcW w:w="18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SGL Carbon LLC</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618" w:type="dxa"/>
            <w:gridSpan w:val="2"/>
            <w:tcBorders/>
            <w:shd w:fill="FFFFFF" w:val="clear"/>
            <w:vAlign w:val="center"/>
          </w:tcPr>
          <w:p>
            <w:pPr>
              <w:pStyle w:val="TableContents"/>
              <w:bidi w:val="0"/>
              <w:spacing w:before="0" w:after="283"/>
              <w:jc w:val="right"/>
              <w:rPr/>
            </w:pPr>
            <w:r>
              <w:rPr>
                <w:rStyle w:val="Emphasis"/>
                <w:rFonts w:ascii="Times New Roman" w:hAnsi="Times New Roman"/>
                <w:sz w:val="20"/>
              </w:rPr>
              <w:t>&lt;10%</w:t>
            </w:r>
          </w:p>
        </w:tc>
        <w:tc>
          <w:tcPr>
            <w:tcW w:w="39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(in thousands):</w:t>
      </w:r>
    </w:p>
    <w:p>
      <w:pPr>
        <w:pStyle w:val="TextBody"/>
        <w:bidi w:val="0"/>
        <w:spacing w:before="0" w:after="0"/>
        <w:ind w:left="0" w:right="0" w:firstLine="720"/>
        <w:jc w:val="both"/>
        <w:rPr/>
      </w:pPr>
      <w:r>
        <w:rPr/>
        <w:t> </w:t>
      </w:r>
    </w:p>
    <w:tbl>
      <w:tblPr>
        <w:tblW w:w="5483" w:type="dxa"/>
        <w:jc w:val="left"/>
        <w:tblInd w:w="0" w:type="dxa"/>
        <w:tblLayout w:type="fixed"/>
        <w:tblCellMar>
          <w:top w:w="0" w:type="dxa"/>
          <w:left w:w="0" w:type="dxa"/>
          <w:bottom w:w="0" w:type="dxa"/>
          <w:right w:w="0" w:type="dxa"/>
        </w:tblCellMar>
      </w:tblPr>
      <w:tblGrid>
        <w:gridCol w:w="2855"/>
        <w:gridCol w:w="60"/>
        <w:gridCol w:w="234"/>
        <w:gridCol w:w="908"/>
        <w:gridCol w:w="112"/>
        <w:gridCol w:w="112"/>
        <w:gridCol w:w="234"/>
        <w:gridCol w:w="908"/>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issued 672,500 shares of restricted stock and 53,675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 </w:t>
      </w:r>
      <w:r>
        <w:rPr>
          <w:rFonts w:ascii="Times New Roman;Times;serif" w:hAnsi="Times New Roman;Times;serif"/>
          <w:sz w:val="20"/>
        </w:rPr>
        <w:t xml:space="preserve">The Company issued 25,806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2022. </w:t>
      </w:r>
      <w:r>
        <w:rPr>
          <w:rFonts w:ascii="Times New Roman;Times;serif" w:hAnsi="Times New Roman;Times;serif"/>
          <w:sz w:val="20"/>
        </w:rPr>
        <w:t>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estimated fair value of the Company’s stock-based awards, less expected annual forfeitures, is amortized over the </w:t>
      </w:r>
      <w:r>
        <w:rPr>
          <w:rFonts w:ascii="Times New Roman;Times;serif" w:hAnsi="Times New Roman;Times;serif"/>
          <w:sz w:val="20"/>
          <w:shd w:fill="FFFFFF" w:val="clear"/>
        </w:rPr>
        <w:t>awards’ service period. The total unrecognized compensation cost for unvested stock options was less th</w:t>
      </w:r>
      <w:r>
        <w:rPr>
          <w:rFonts w:ascii="Times New Roman;Times;serif" w:hAnsi="Times New Roman;Times;serif"/>
          <w:sz w:val="20"/>
        </w:rPr>
        <w:t>an $0.1 m</w:t>
      </w:r>
      <w:r>
        <w:rPr>
          <w:rFonts w:ascii="Times New Roman;Times;serif" w:hAnsi="Times New Roman;Times;serif"/>
          <w:sz w:val="20"/>
          <w:shd w:fill="FFFFFF" w:val="clear"/>
        </w:rPr>
        <w:t xml:space="preserve">illion at </w:t>
      </w:r>
      <w:r>
        <w:rPr>
          <w:rStyle w:val="Emphasis"/>
          <w:rFonts w:ascii="Times New Roman;Times;serif" w:hAnsi="Times New Roman;Times;serif"/>
          <w:sz w:val="20"/>
          <w:shd w:fill="FFFFFF" w:val="clear"/>
        </w:rPr>
        <w:t>June 30, 2023.  </w:t>
      </w:r>
      <w:r>
        <w:rPr>
          <w:rFonts w:ascii="Times New Roman;Times;serif" w:hAnsi="Times New Roman;Times;serif"/>
          <w:sz w:val="20"/>
          <w:shd w:fill="FFFFFF" w:val="clear"/>
        </w:rPr>
        <w:t xml:space="preserve">This expense will be recognized over a weighted average of approximately 0.9 years. The total unrecognized compensation cost for unvested outstanding restricted stock was </w:t>
      </w:r>
      <w:r>
        <w:rPr>
          <w:rFonts w:ascii="Times New Roman;Times;serif" w:hAnsi="Times New Roman;Times;serif"/>
          <w:sz w:val="20"/>
        </w:rPr>
        <w:t>$7.7 mi</w:t>
      </w:r>
      <w:r>
        <w:rPr>
          <w:rFonts w:ascii="Times New Roman;Times;serif" w:hAnsi="Times New Roman;Times;serif"/>
          <w:sz w:val="20"/>
          <w:shd w:fill="FFFFFF" w:val="clear"/>
        </w:rPr>
        <w:t xml:space="preserve">llion at </w:t>
      </w:r>
      <w:r>
        <w:rPr>
          <w:rStyle w:val="Emphasis"/>
          <w:rFonts w:ascii="Times New Roman;Times;serif" w:hAnsi="Times New Roman;Times;serif"/>
          <w:sz w:val="20"/>
          <w:shd w:fill="FFFFFF" w:val="clear"/>
        </w:rPr>
        <w:t xml:space="preserve">June 30, 2023. </w:t>
      </w:r>
      <w:r>
        <w:rPr>
          <w:rFonts w:ascii="Times New Roman;Times;serif" w:hAnsi="Times New Roman;Times;serif"/>
          <w:sz w:val="20"/>
          <w:shd w:fill="FFFFFF" w:val="clear"/>
        </w:rPr>
        <w:t>This expense will be recognized over a weighted-average expense period of approximately 2.2 years.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Company granted no stock options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2023</w:t>
      </w:r>
      <w:r>
        <w:rPr>
          <w:rFonts w:ascii="Times New Roman;Times;serif" w:hAnsi="Times New Roman;Times;serif"/>
          <w:sz w:val="20"/>
        </w:rPr>
        <w:t xml:space="preserve">. The Company granted 20,564 stock options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2022.  </w:t>
      </w:r>
      <w:r>
        <w:rPr>
          <w:rFonts w:ascii="Times New Roman;Times;serif" w:hAnsi="Times New Roman;Times;serif"/>
          <w:sz w:val="20"/>
        </w:rPr>
        <w:t xml:space="preserve">The stock options granted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2022, </w:t>
      </w:r>
      <w:r>
        <w:rPr>
          <w:rFonts w:ascii="Times New Roman;Times;serif" w:hAnsi="Times New Roman;Times;serif"/>
          <w:sz w:val="20"/>
        </w:rPr>
        <w:t xml:space="preserve">will vest over 2 years. The weighted average assumptions used in the Black Scholes valuation model for stock options granted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2022 </w:t>
      </w:r>
      <w:r>
        <w:rPr>
          <w:rFonts w:ascii="Times New Roman;Times;serif" w:hAnsi="Times New Roman;Times;serif"/>
          <w:sz w:val="20"/>
        </w:rPr>
        <w:t>are as follows:</w:t>
      </w:r>
    </w:p>
    <w:p>
      <w:pPr>
        <w:pStyle w:val="TextBody"/>
        <w:bidi w:val="0"/>
        <w:spacing w:before="0" w:after="0"/>
        <w:ind w:left="0" w:right="0" w:firstLine="720"/>
        <w:jc w:val="both"/>
        <w:rPr/>
      </w:pPr>
      <w:r>
        <w:rPr/>
        <w:t> </w:t>
      </w:r>
    </w:p>
    <w:tbl>
      <w:tblPr>
        <w:tblW w:w="2535" w:type="dxa"/>
        <w:jc w:val="left"/>
        <w:tblInd w:w="0" w:type="dxa"/>
        <w:tblLayout w:type="fixed"/>
        <w:tblCellMar>
          <w:top w:w="0" w:type="dxa"/>
          <w:left w:w="0" w:type="dxa"/>
          <w:bottom w:w="0" w:type="dxa"/>
          <w:right w:w="0" w:type="dxa"/>
        </w:tblCellMar>
      </w:tblPr>
      <w:tblGrid>
        <w:gridCol w:w="1745"/>
        <w:gridCol w:w="60"/>
        <w:gridCol w:w="60"/>
        <w:gridCol w:w="485"/>
        <w:gridCol w:w="185"/>
      </w:tblGrid>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71.40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3.10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life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6.14</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None</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4.</w:t>
      </w:r>
      <w:r>
        <w:rPr>
          <w:rFonts w:ascii="Times New Roman;Times;serif" w:hAnsi="Times New Roman;Times;serif"/>
          <w:b/>
          <w:sz w:val="20"/>
        </w:rPr>
        <w:t xml:space="preserve"> Computation of Net Loss per Common Share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1.1 million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w:t>
      </w:r>
      <w:r>
        <w:rPr>
          <w:rFonts w:ascii="Times New Roman;Times;serif" w:hAnsi="Times New Roman;Times;serif"/>
          <w:sz w:val="20"/>
          <w:shd w:fill="FFFFFF" w:val="clear"/>
        </w:rPr>
        <w:t xml:space="preserve"> 1.0 </w:t>
      </w:r>
      <w:r>
        <w:rPr>
          <w:rFonts w:ascii="Times New Roman;Times;serif" w:hAnsi="Times New Roman;Times;serif"/>
          <w:sz w:val="20"/>
        </w:rPr>
        <w:t xml:space="preserve">million relate to shares tied to the derivative liability for which the contingency has </w:t>
      </w:r>
      <w:r>
        <w:rPr>
          <w:rStyle w:val="Emphasis"/>
          <w:rFonts w:ascii="Times New Roman;Times;serif" w:hAnsi="Times New Roman;Times;serif"/>
          <w:sz w:val="20"/>
        </w:rPr>
        <w:t>not</w:t>
      </w:r>
      <w:r>
        <w:rPr>
          <w:rFonts w:ascii="Times New Roman;Times;serif" w:hAnsi="Times New Roman;Times;serif"/>
          <w:sz w:val="20"/>
        </w:rPr>
        <w:t xml:space="preserve"> yet been met, and 0.1 million relate to outstanding stock options as they were considered anti-dilutive. </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(in thousands, except per share data):</w:t>
      </w:r>
    </w:p>
    <w:p>
      <w:pPr>
        <w:pStyle w:val="TextBody"/>
        <w:bidi w:val="0"/>
        <w:spacing w:before="0" w:after="0"/>
        <w:ind w:left="0" w:right="0" w:hanging="0"/>
        <w:jc w:val="left"/>
        <w:rPr/>
      </w:pPr>
      <w:r>
        <w:rPr/>
        <w:t> </w:t>
      </w:r>
    </w:p>
    <w:tbl>
      <w:tblPr>
        <w:tblW w:w="7151" w:type="dxa"/>
        <w:jc w:val="left"/>
        <w:tblInd w:w="0" w:type="dxa"/>
        <w:tblLayout w:type="fixed"/>
        <w:tblCellMar>
          <w:top w:w="0" w:type="dxa"/>
          <w:left w:w="0" w:type="dxa"/>
          <w:bottom w:w="0" w:type="dxa"/>
          <w:right w:w="0" w:type="dxa"/>
        </w:tblCellMar>
      </w:tblPr>
      <w:tblGrid>
        <w:gridCol w:w="4505"/>
        <w:gridCol w:w="60"/>
        <w:gridCol w:w="199"/>
        <w:gridCol w:w="943"/>
        <w:gridCol w:w="127"/>
        <w:gridCol w:w="95"/>
        <w:gridCol w:w="199"/>
        <w:gridCol w:w="943"/>
        <w:gridCol w:w="80"/>
      </w:tblGrid>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29,706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28,520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subject to repurchase</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(1,448</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used in per-share calculation ― basic</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28,258</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27,560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used in per-share calculation ― diluted</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28,258</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27,560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Goodwill and Other Intangibles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rPr/>
      </w:pPr>
      <w:r>
        <w:rPr/>
        <w:t> </w:t>
      </w:r>
    </w:p>
    <w:p>
      <w:pPr>
        <w:pStyle w:val="TextBody"/>
        <w:bidi w:val="0"/>
        <w:spacing w:before="0" w:after="0"/>
        <w:ind w:left="144" w:right="144" w:firstLine="540"/>
        <w:jc w:val="both"/>
        <w:rPr/>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Goodwill is reviewed annually on </w:t>
      </w:r>
      <w:r>
        <w:rPr>
          <w:rStyle w:val="Emphasis"/>
          <w:rFonts w:ascii="Times New Roman;Times;serif" w:hAnsi="Times New Roman;Times;serif"/>
          <w:sz w:val="20"/>
        </w:rPr>
        <w:t>February 28th</w:t>
      </w:r>
      <w:r>
        <w:rPr>
          <w:rFonts w:ascii="Times New Roman;Times;serif" w:hAnsi="Times New Roman;Times;serif"/>
          <w:sz w:val="20"/>
        </w:rPr>
        <w:t xml:space="preserve"> 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w:t>
      </w:r>
    </w:p>
    <w:p>
      <w:pPr>
        <w:pStyle w:val="TextBody"/>
        <w:bidi w:val="0"/>
        <w:spacing w:before="0" w:after="0"/>
        <w:ind w:left="144" w:right="144" w:firstLine="540"/>
        <w:jc w:val="both"/>
        <w:rPr/>
      </w:pPr>
      <w:r>
        <w:rPr/>
        <w:t> </w:t>
      </w:r>
    </w:p>
    <w:p>
      <w:pPr>
        <w:pStyle w:val="TextBody"/>
        <w:bidi w:val="0"/>
        <w:spacing w:before="0" w:after="0"/>
        <w:ind w:left="144" w:right="144" w:firstLine="540"/>
        <w:jc w:val="both"/>
        <w:rPr/>
      </w:pPr>
      <w:r>
        <w:rPr>
          <w:rFonts w:ascii="Times New Roman;Times;serif" w:hAnsi="Times New Roman;Times;serif"/>
          <w:sz w:val="20"/>
        </w:rPr>
        <w:t xml:space="preserve">There were </w:t>
      </w:r>
      <w:r>
        <w:rPr>
          <w:rStyle w:val="Emphasis"/>
          <w:rFonts w:ascii="Times New Roman;Times;serif" w:hAnsi="Times New Roman;Times;serif"/>
          <w:sz w:val="20"/>
        </w:rPr>
        <w:t>no</w:t>
      </w:r>
      <w:r>
        <w:rPr>
          <w:rFonts w:ascii="Times New Roman;Times;serif" w:hAnsi="Times New Roman;Times;serif"/>
          <w:sz w:val="20"/>
        </w:rPr>
        <w:t xml:space="preserve"> changes to goodwill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or year ended </w:t>
      </w:r>
      <w:r>
        <w:rPr>
          <w:rStyle w:val="Emphasis"/>
          <w:rFonts w:ascii="Times New Roman;Times;serif" w:hAnsi="Times New Roman;Times;serif"/>
          <w:sz w:val="20"/>
        </w:rPr>
        <w:t>March 31, 2023.</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Company did not identify any triggering events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2023</w:t>
      </w:r>
      <w:r>
        <w:rPr>
          <w:rFonts w:ascii="Times New Roman;Times;serif" w:hAnsi="Times New Roman;Times;serif"/>
          <w:sz w:val="20"/>
        </w:rPr>
        <w:t xml:space="preserve"> that would require interim impairment testing of goodwill.</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Intangible assets at </w:t>
      </w:r>
      <w:r>
        <w:rPr>
          <w:rStyle w:val="Emphasis"/>
          <w:rFonts w:ascii="Times New Roman;Times;serif" w:hAnsi="Times New Roman;Times;serif"/>
          <w:sz w:val="20"/>
        </w:rPr>
        <w:t xml:space="preserve"> June 30, 2023</w:t>
      </w:r>
      <w:r>
        <w:rPr>
          <w:rFonts w:ascii="Times New Roman;Times;serif" w:hAnsi="Times New Roman;Times;serif"/>
          <w:sz w:val="20"/>
        </w:rPr>
        <w:t> and </w:t>
      </w:r>
      <w:r>
        <w:rPr>
          <w:rStyle w:val="Emphasis"/>
          <w:rFonts w:ascii="Times New Roman;Times;serif" w:hAnsi="Times New Roman;Times;serif"/>
          <w:sz w:val="20"/>
        </w:rPr>
        <w:t xml:space="preserve"> March 31, 2023</w:t>
      </w:r>
      <w:r>
        <w:rPr>
          <w:rFonts w:ascii="Times New Roman;Times;serif" w:hAnsi="Times New Roman;Times;serif"/>
          <w:sz w:val="20"/>
        </w:rPr>
        <w:t> consisted of the following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613"/>
        <w:gridCol w:w="60"/>
        <w:gridCol w:w="153"/>
        <w:gridCol w:w="726"/>
        <w:gridCol w:w="60"/>
        <w:gridCol w:w="60"/>
        <w:gridCol w:w="242"/>
        <w:gridCol w:w="1269"/>
        <w:gridCol w:w="80"/>
        <w:gridCol w:w="60"/>
        <w:gridCol w:w="176"/>
        <w:gridCol w:w="687"/>
        <w:gridCol w:w="60"/>
        <w:gridCol w:w="60"/>
        <w:gridCol w:w="153"/>
        <w:gridCol w:w="726"/>
        <w:gridCol w:w="60"/>
        <w:gridCol w:w="60"/>
        <w:gridCol w:w="242"/>
        <w:gridCol w:w="1269"/>
        <w:gridCol w:w="80"/>
        <w:gridCol w:w="60"/>
        <w:gridCol w:w="176"/>
        <w:gridCol w:w="687"/>
        <w:gridCol w:w="60"/>
        <w:gridCol w:w="60"/>
        <w:gridCol w:w="81"/>
        <w:gridCol w:w="1116"/>
        <w:gridCol w:w="69"/>
      </w:tblGrid>
      <w:tr>
        <w:trPr/>
        <w:tc>
          <w:tcPr>
            <w:tcW w:w="1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9" w:type="dxa"/>
            <w:tcBorders/>
            <w:shd w:fill="FFFF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 Useful Life</w:t>
            </w:r>
          </w:p>
        </w:tc>
        <w:tc>
          <w:tcPr>
            <w:tcW w:w="69" w:type="dxa"/>
            <w:tcBorders/>
            <w:shd w:fill="FFFFFF" w:val="clear"/>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w:t>
            </w:r>
          </w:p>
        </w:tc>
        <w:tc>
          <w:tcPr>
            <w:tcW w:w="69" w:type="dxa"/>
            <w:tcBorders/>
            <w:shd w:fill="CCEE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Backlog</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w:t>
            </w:r>
          </w:p>
        </w:tc>
        <w:tc>
          <w:tcPr>
            <w:tcW w:w="69" w:type="dxa"/>
            <w:tcBorders/>
            <w:shd w:fill="FFFFFF" w:val="clear"/>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name and trademarks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126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126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rStyle w:val="Emphasis"/>
                <w:rFonts w:ascii="Times New Roman" w:hAnsi="Times New Roman"/>
                <w:sz w:val="20"/>
              </w:rPr>
              <w:t>Indefinite</w:t>
            </w:r>
          </w:p>
        </w:tc>
        <w:tc>
          <w:tcPr>
            <w:tcW w:w="69" w:type="dxa"/>
            <w:tcBorders/>
            <w:shd w:fill="CCEE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w:t>
            </w:r>
          </w:p>
        </w:tc>
        <w:tc>
          <w:tcPr>
            <w:tcW w:w="69" w:type="dxa"/>
            <w:tcBorders/>
            <w:shd w:fill="FFFFFF" w:val="clear"/>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Core technology and know-how</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5-10</w:t>
            </w:r>
          </w:p>
        </w:tc>
        <w:tc>
          <w:tcPr>
            <w:tcW w:w="69" w:type="dxa"/>
            <w:tcBorders/>
            <w:shd w:fill="CCEE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 xml:space="preserve">The Company recorded intangible amortization expense related to customer relationship and core technology and know-how of $0.5 million and </w:t>
      </w:r>
      <w:r>
        <w:rPr>
          <w:rFonts w:ascii="Times New Roman;Times;serif" w:hAnsi="Times New Roman;Times;serif"/>
          <w:sz w:val="20"/>
        </w:rPr>
        <w:t>$0.7 million,</w:t>
      </w:r>
      <w:r>
        <w:rPr>
          <w:rFonts w:ascii="Times New Roman;Times;serif" w:hAnsi="Times New Roman;Times;serif"/>
          <w:sz w:val="20"/>
          <w:shd w:fill="FFFFFF" w:val="clear"/>
        </w:rPr>
        <w:t xml:space="preserve">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xml:space="preserve"> respectively. Additionally, the Company recorded intangible amortization related to backlog that is reported in cost of revenues of less t</w:t>
      </w:r>
      <w:r>
        <w:rPr>
          <w:rFonts w:ascii="Times New Roman;Times;serif" w:hAnsi="Times New Roman;Times;serif"/>
          <w:sz w:val="20"/>
        </w:rPr>
        <w:t>han $0.1 million in ea</w:t>
      </w:r>
      <w:r>
        <w:rPr>
          <w:rFonts w:ascii="Times New Roman;Times;serif" w:hAnsi="Times New Roman;Times;serif"/>
          <w:sz w:val="20"/>
          <w:shd w:fill="FFFFFF" w:val="clear"/>
        </w:rPr>
        <w:t xml:space="preserve">ch of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2022.</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rPr/>
      </w:pPr>
      <w:r>
        <w:rPr/>
        <w:t> </w:t>
      </w:r>
    </w:p>
    <w:tbl>
      <w:tblPr>
        <w:tblW w:w="2700" w:type="dxa"/>
        <w:jc w:val="left"/>
        <w:tblInd w:w="0" w:type="dxa"/>
        <w:tblLayout w:type="fixed"/>
        <w:tblCellMar>
          <w:top w:w="0" w:type="dxa"/>
          <w:left w:w="0" w:type="dxa"/>
          <w:bottom w:w="0" w:type="dxa"/>
          <w:right w:w="0" w:type="dxa"/>
        </w:tblCellMar>
      </w:tblPr>
      <w:tblGrid>
        <w:gridCol w:w="1970"/>
        <w:gridCol w:w="60"/>
        <w:gridCol w:w="125"/>
        <w:gridCol w:w="485"/>
        <w:gridCol w:w="60"/>
      </w:tblGrid>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ended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1,614</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1,648</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6.</w:t>
      </w:r>
      <w:r>
        <w:rPr>
          <w:rFonts w:ascii="Times New Roman;Times;serif" w:hAnsi="Times New Roman;Times;serif"/>
          <w:b/>
          <w:sz w:val="20"/>
        </w:rPr>
        <w:t xml:space="preserve">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2023</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certificates of deposits and money market accounts.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Contingent consideration relates to the earnout payment set forth in the Stock Purchase Agreement governing the acquisition of NEPSI that provides that the selling stockholders </w:t>
      </w:r>
      <w:r>
        <w:rPr>
          <w:rStyle w:val="Emphasis"/>
          <w:rFonts w:ascii="Times New Roman;Times;serif" w:hAnsi="Times New Roman;Times;serif"/>
          <w:sz w:val="20"/>
        </w:rPr>
        <w:t xml:space="preserve">may </w:t>
      </w:r>
      <w:r>
        <w:rPr>
          <w:rFonts w:ascii="Times New Roman;Times;serif" w:hAnsi="Times New Roman;Times;serif"/>
          <w:sz w:val="20"/>
        </w:rPr>
        <w:t xml:space="preserve">receive up to an additional 1,000,000 shares of common stock of the Company upon the achievement of certain specified revenue objectives over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the NEPSI Acquisition Date. </w:t>
      </w:r>
      <w:r>
        <w:rPr>
          <w:rFonts w:ascii="Times New Roman;Times;serif" w:hAnsi="Times New Roman;Times;serif"/>
          <w:sz w:val="20"/>
          <w:shd w:fill="FFFFFF" w:val="clear"/>
        </w:rPr>
        <w:t xml:space="preserve">See Note </w:t>
      </w:r>
      <w:r>
        <w:rPr>
          <w:rStyle w:val="Emphasis"/>
          <w:rFonts w:ascii="Times New Roman;Times;serif" w:hAnsi="Times New Roman;Times;serif"/>
          <w:sz w:val="20"/>
          <w:shd w:fill="FFFFFF" w:val="clear"/>
        </w:rPr>
        <w:t>13</w:t>
      </w:r>
      <w:r>
        <w:rPr>
          <w:rFonts w:ascii="Times New Roman;Times;serif" w:hAnsi="Times New Roman;Times;serif"/>
          <w:sz w:val="20"/>
        </w:rPr>
        <w:t>, "Contingent Consideration" for further discussion. The Company relied on a Monte Carlo method to determine the fair value of the contingent consideration on the closing of the acquisition of NEPSI and continues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(in thousands):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1625"/>
        <w:gridCol w:w="60"/>
        <w:gridCol w:w="264"/>
        <w:gridCol w:w="1031"/>
        <w:gridCol w:w="60"/>
        <w:gridCol w:w="60"/>
        <w:gridCol w:w="429"/>
        <w:gridCol w:w="1674"/>
        <w:gridCol w:w="60"/>
        <w:gridCol w:w="60"/>
        <w:gridCol w:w="769"/>
        <w:gridCol w:w="1604"/>
        <w:gridCol w:w="60"/>
        <w:gridCol w:w="60"/>
        <w:gridCol w:w="474"/>
        <w:gridCol w:w="1850"/>
        <w:gridCol w:w="65"/>
      </w:tblGrid>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Unobservable Inputs (Level 3)</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2023:</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2,620</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25"/>
        <w:gridCol w:w="60"/>
        <w:gridCol w:w="264"/>
        <w:gridCol w:w="1031"/>
        <w:gridCol w:w="60"/>
        <w:gridCol w:w="60"/>
        <w:gridCol w:w="429"/>
        <w:gridCol w:w="1674"/>
        <w:gridCol w:w="60"/>
        <w:gridCol w:w="60"/>
        <w:gridCol w:w="769"/>
        <w:gridCol w:w="1604"/>
        <w:gridCol w:w="60"/>
        <w:gridCol w:w="60"/>
        <w:gridCol w:w="474"/>
        <w:gridCol w:w="1850"/>
        <w:gridCol w:w="65"/>
      </w:tblGrid>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2023:</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1,270</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44" w:right="144" w:firstLine="555"/>
        <w:jc w:val="both"/>
        <w:rPr>
          <w:rFonts w:ascii="Times New Roman;Times;serif" w:hAnsi="Times New Roman;Times;serif"/>
          <w:sz w:val="20"/>
        </w:rPr>
      </w:pPr>
      <w:r>
        <w:rPr>
          <w:rFonts w:ascii="Times New Roman;Times;serif" w:hAnsi="Times New Roman;Times;serif"/>
          <w:sz w:val="20"/>
        </w:rPr>
        <w:t>The table below reflects the activity for the Company’s derivative liability measured at fair value on a recurring basis (in thousands):</w:t>
      </w:r>
    </w:p>
    <w:p>
      <w:pPr>
        <w:pStyle w:val="TextBody"/>
        <w:bidi w:val="0"/>
        <w:spacing w:before="0" w:after="0"/>
        <w:ind w:left="144" w:right="144" w:hanging="0"/>
        <w:jc w:val="left"/>
        <w:rPr/>
      </w:pPr>
      <w:r>
        <w:rPr/>
        <w:t> </w:t>
      </w:r>
    </w:p>
    <w:tbl>
      <w:tblPr>
        <w:tblW w:w="5514" w:type="dxa"/>
        <w:jc w:val="left"/>
        <w:tblInd w:w="0" w:type="dxa"/>
        <w:tblLayout w:type="fixed"/>
        <w:tblCellMar>
          <w:top w:w="0" w:type="dxa"/>
          <w:left w:w="0" w:type="dxa"/>
          <w:bottom w:w="0" w:type="dxa"/>
          <w:right w:w="0" w:type="dxa"/>
        </w:tblCellMar>
      </w:tblPr>
      <w:tblGrid>
        <w:gridCol w:w="2210"/>
        <w:gridCol w:w="60"/>
        <w:gridCol w:w="650"/>
        <w:gridCol w:w="2534"/>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Acquisition Contingent Consideration</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left"/>
              <w:rPr/>
            </w:pPr>
            <w:r>
              <w:rPr/>
              <w:t> </w:t>
            </w:r>
          </w:p>
        </w:tc>
        <w:tc>
          <w:tcPr>
            <w:tcW w:w="2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60" w:type="dxa"/>
            <w:tcBorders/>
            <w:shd w:fill="CCEEFF" w:val="clear"/>
            <w:vAlign w:val="center"/>
          </w:tcPr>
          <w:p>
            <w:pPr>
              <w:pStyle w:val="TableContents"/>
              <w:bidi w:val="0"/>
              <w:spacing w:before="0" w:after="0"/>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Accounts Receivable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293" w:type="dxa"/>
        <w:jc w:val="left"/>
        <w:tblInd w:w="0" w:type="dxa"/>
        <w:tblLayout w:type="fixed"/>
        <w:tblCellMar>
          <w:top w:w="0" w:type="dxa"/>
          <w:left w:w="0" w:type="dxa"/>
          <w:bottom w:w="0" w:type="dxa"/>
          <w:right w:w="0" w:type="dxa"/>
        </w:tblCellMar>
      </w:tblPr>
      <w:tblGrid>
        <w:gridCol w:w="2525"/>
        <w:gridCol w:w="60"/>
        <w:gridCol w:w="208"/>
        <w:gridCol w:w="981"/>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20,707</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9,958</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rPr/>
      </w:pPr>
      <w:r>
        <w:rPr/>
        <w:t> </w:t>
      </w:r>
    </w:p>
    <w:tbl>
      <w:tblPr>
        <w:tblW w:w="4648" w:type="dxa"/>
        <w:jc w:val="left"/>
        <w:tblInd w:w="0" w:type="dxa"/>
        <w:tblLayout w:type="fixed"/>
        <w:tblCellMar>
          <w:top w:w="0" w:type="dxa"/>
          <w:left w:w="0" w:type="dxa"/>
          <w:bottom w:w="0" w:type="dxa"/>
          <w:right w:w="0" w:type="dxa"/>
        </w:tblCellMar>
      </w:tblPr>
      <w:tblGrid>
        <w:gridCol w:w="1880"/>
        <w:gridCol w:w="60"/>
        <w:gridCol w:w="208"/>
        <w:gridCol w:w="981"/>
        <w:gridCol w:w="60"/>
        <w:gridCol w:w="60"/>
        <w:gridCol w:w="234"/>
        <w:gridCol w:w="110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16,654</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15,200</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2,996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2,136</w:t>
            </w:r>
          </w:p>
        </w:tc>
        <w:tc>
          <w:tcPr>
            <w:tcW w:w="60" w:type="dxa"/>
            <w:tcBorders/>
            <w:shd w:fill="FFFFFF" w:val="clear"/>
            <w:vAlign w:val="center"/>
          </w:tcPr>
          <w:p>
            <w:pPr>
              <w:pStyle w:val="TableContents"/>
              <w:bidi w:val="0"/>
              <w:spacing w:before="0" w:after="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inventory write-downs of $</w:t>
      </w:r>
      <w:r>
        <w:rPr>
          <w:rFonts w:ascii="Times New Roman;Times;serif" w:hAnsi="Times New Roman;Times;serif"/>
          <w:sz w:val="20"/>
        </w:rPr>
        <w:t>0.4</w:t>
      </w:r>
      <w:r>
        <w:rPr>
          <w:rFonts w:ascii="Times New Roman;Times;serif" w:hAnsi="Times New Roman;Times;serif"/>
          <w:sz w:val="20"/>
          <w:shd w:fill="FFFFFF" w:val="clear"/>
        </w:rPr>
        <w:t xml:space="preserve"> million a</w:t>
      </w:r>
      <w:r>
        <w:rPr>
          <w:rFonts w:ascii="Times New Roman;Times;serif" w:hAnsi="Times New Roman;Times;serif"/>
          <w:sz w:val="20"/>
        </w:rPr>
        <w:t>nd $0.3 million f</w:t>
      </w:r>
      <w:r>
        <w:rPr>
          <w:rFonts w:ascii="Times New Roman;Times;serif" w:hAnsi="Times New Roman;Times;serif"/>
          <w:sz w:val="20"/>
          <w:shd w:fill="FFFFFF" w:val="clear"/>
        </w:rPr>
        <w:t xml:space="preserve">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June 30, 2023</w:t>
      </w:r>
      <w:r>
        <w:rPr>
          <w:rFonts w:ascii="Times New Roman;Times;serif" w:hAnsi="Times New Roman;Times;serif"/>
          <w:sz w:val="20"/>
          <w:shd w:fill="FFFFFF" w:val="clear"/>
        </w:rPr>
        <w:t xml:space="preserve"> and </w:t>
      </w:r>
      <w:r>
        <w:rPr>
          <w:rStyle w:val="Emphasis"/>
          <w:rFonts w:ascii="Times New Roman;Times;serif" w:hAnsi="Times New Roman;Times;serif"/>
          <w:sz w:val="20"/>
        </w:rPr>
        <w:t>2022</w:t>
      </w:r>
      <w:r>
        <w:rPr>
          <w:rFonts w:ascii="Times New Roman;Times;serif" w:hAnsi="Times New Roman;Times;serif"/>
          <w:sz w:val="20"/>
          <w:shd w:fill="FFFFFF" w:val="clear"/>
        </w:rPr>
        <w:t xml:space="preserve">, respectively. </w:t>
      </w:r>
      <w:r>
        <w:rPr>
          <w:rFonts w:ascii="Times New Roman;Times;serif" w:hAnsi="Times New Roman;Times;serif"/>
          <w:sz w:val="20"/>
        </w:rPr>
        <w:t>These write-downs were based on the Company's evaluation of its inventory on hand for excess quantities and obsolescence.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and </w:t>
      </w:r>
      <w:r>
        <w:rPr>
          <w:rStyle w:val="Emphasis"/>
          <w:rFonts w:ascii="Times New Roman;Times;serif" w:hAnsi="Times New Roman;Times;serif"/>
          <w:sz w:val="20"/>
        </w:rPr>
        <w:t xml:space="preserve"> March 31, 2023</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9.</w:t>
      </w:r>
      <w:r>
        <w:rPr>
          <w:rFonts w:ascii="Times New Roman;Times;serif" w:hAnsi="Times New Roman;Times;serif"/>
          <w:b/>
          <w:sz w:val="20"/>
        </w:rPr>
        <w:t xml:space="preserve"> Prepaid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conducted an analysis as to whether it was entitled to employee retention credits (“ERC”) under the CARES Act as amended by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Based on the analysis, the Company determined that it was entitled to an ERC of approximately $3.3 million related to payroll taxes paid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2020.</w:t>
      </w:r>
      <w:r>
        <w:rPr>
          <w:rFonts w:ascii="Times New Roman" w:hAnsi="Times New Roman"/>
          <w:caps w:val="false"/>
          <w:smallCaps w:val="false"/>
          <w:sz w:val="20"/>
        </w:rPr>
        <w:t>  The Company determined it met all the criteria required under the gross receipts test of the applicable Internal Revenue Service regulations related to ERCs.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accounting for payroll tax credits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scope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the Company has chosen to account for the ERCs by analogizing to the International Accounting Standards Board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In accordance with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an entity recognizes government grants only when there is reasonable assurance that the entity will comply with the conditions attached to them and the grants will be received.  The  Company evaluated its eligibility for the ERC and determined that it met all the criteria to claim a refundable tax credit against the employer portion of Social Security taxes for up to 70%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periods ended </w:t>
      </w:r>
      <w:r>
        <w:rPr>
          <w:rStyle w:val="Emphasis"/>
          <w:rFonts w:ascii="Times New Roman" w:hAnsi="Times New Roman"/>
          <w:caps w:val="false"/>
          <w:smallCaps w:val="false"/>
          <w:sz w:val="20"/>
        </w:rPr>
        <w:t>March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and for up to 50%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 ended </w:t>
      </w:r>
      <w:r>
        <w:rPr>
          <w:rStyle w:val="Emphasis"/>
          <w:rFonts w:ascii="Times New Roman" w:hAnsi="Times New Roman"/>
          <w:caps w:val="false"/>
          <w:smallCaps w:val="false"/>
          <w:sz w:val="20"/>
        </w:rPr>
        <w:t>March 31, 2020.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recorded a $3.3 million receivable in Prepaid expenses and other current assets and a benefit of $1.8 million to Cost of revenues, $0.8 million to SG&amp;A and $0.7 million to Research and development in the fiscal year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for the ERC that is expected to be received based on the amended filings.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received $2.2 million for the initial claims that were processed.  The remaining balance is expected to be received during fiscal </w:t>
      </w:r>
      <w:r>
        <w:rPr>
          <w:rStyle w:val="Emphasis"/>
          <w:rFonts w:ascii="Times New Roman" w:hAnsi="Times New Roman"/>
          <w:caps w:val="false"/>
          <w:smallCaps w:val="false"/>
          <w:sz w:val="20"/>
        </w:rPr>
        <w:t>2023.</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Property, Plant and Equipment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5843" w:type="dxa"/>
        <w:jc w:val="left"/>
        <w:tblInd w:w="0" w:type="dxa"/>
        <w:tblLayout w:type="fixed"/>
        <w:tblCellMar>
          <w:top w:w="0" w:type="dxa"/>
          <w:left w:w="0" w:type="dxa"/>
          <w:bottom w:w="0" w:type="dxa"/>
          <w:right w:w="0" w:type="dxa"/>
        </w:tblCellMar>
      </w:tblPr>
      <w:tblGrid>
        <w:gridCol w:w="3035"/>
        <w:gridCol w:w="60"/>
        <w:gridCol w:w="191"/>
        <w:gridCol w:w="998"/>
        <w:gridCol w:w="80"/>
        <w:gridCol w:w="60"/>
        <w:gridCol w:w="216"/>
        <w:gridCol w:w="1123"/>
        <w:gridCol w:w="80"/>
      </w:tblGrid>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 -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5,416</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43,156</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 right of use asset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1,535</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6,815</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58,651</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expense was $0.6 million and $0.7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908" w:type="dxa"/>
        <w:jc w:val="left"/>
        <w:tblInd w:w="0" w:type="dxa"/>
        <w:tblLayout w:type="fixed"/>
        <w:tblCellMar>
          <w:top w:w="0" w:type="dxa"/>
          <w:left w:w="0" w:type="dxa"/>
          <w:bottom w:w="0" w:type="dxa"/>
          <w:right w:w="0" w:type="dxa"/>
        </w:tblCellMar>
      </w:tblPr>
      <w:tblGrid>
        <w:gridCol w:w="3140"/>
        <w:gridCol w:w="60"/>
        <w:gridCol w:w="208"/>
        <w:gridCol w:w="981"/>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20"/>
              </w:rPr>
            </w:pPr>
            <w:r>
              <w:rPr>
                <w:sz w:val="20"/>
              </w:rPr>
              <w:t>$</w:t>
            </w:r>
          </w:p>
        </w:tc>
        <w:tc>
          <w:tcPr>
            <w:tcW w:w="981" w:type="dxa"/>
            <w:tcBorders/>
            <w:shd w:fill="CCEEFF" w:val="clear"/>
            <w:vAlign w:val="center"/>
          </w:tcPr>
          <w:p>
            <w:pPr>
              <w:pStyle w:val="TableContents"/>
              <w:bidi w:val="0"/>
              <w:spacing w:before="0" w:after="283"/>
              <w:jc w:val="right"/>
              <w:rPr>
                <w:sz w:val="20"/>
              </w:rPr>
            </w:pPr>
            <w:r>
              <w:rPr>
                <w:sz w:val="20"/>
              </w:rPr>
              <w:t>10,878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13,935</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2,267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3,646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3,870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contract loss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3,530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3,464</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1,730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5,653</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4,443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5,430</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409</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1,926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2,638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396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717</w:t>
            </w:r>
          </w:p>
        </w:tc>
        <w:tc>
          <w:tcPr>
            <w:tcW w:w="60" w:type="dxa"/>
            <w:tcBorders/>
            <w:shd w:fill="CCEEFF" w:val="clear"/>
            <w:vAlign w:val="center"/>
          </w:tcPr>
          <w:p>
            <w:pPr>
              <w:pStyle w:val="TableContents"/>
              <w:bidi w:val="0"/>
              <w:spacing w:before="0" w:after="0"/>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38,383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rPr/>
      </w:pPr>
      <w:r>
        <w:rPr/>
        <w:t> </w:t>
      </w:r>
    </w:p>
    <w:tbl>
      <w:tblPr>
        <w:tblW w:w="6117" w:type="dxa"/>
        <w:jc w:val="left"/>
        <w:tblInd w:w="0" w:type="dxa"/>
        <w:tblLayout w:type="fixed"/>
        <w:tblCellMar>
          <w:top w:w="0" w:type="dxa"/>
          <w:left w:w="0" w:type="dxa"/>
          <w:bottom w:w="0" w:type="dxa"/>
          <w:right w:w="0" w:type="dxa"/>
        </w:tblCellMar>
      </w:tblPr>
      <w:tblGrid>
        <w:gridCol w:w="3470"/>
        <w:gridCol w:w="60"/>
        <w:gridCol w:w="230"/>
        <w:gridCol w:w="895"/>
        <w:gridCol w:w="147"/>
        <w:gridCol w:w="110"/>
        <w:gridCol w:w="230"/>
        <w:gridCol w:w="895"/>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2,638</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2,066</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Provisions for warranties during the period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Settlements during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(920</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1,926</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income tax expense of $0.1 million and less than $0.1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June 30, 2023</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xml:space="preserve"> respectively.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June 30, 2023</w:t>
      </w:r>
      <w:r>
        <w:rPr>
          <w:rFonts w:ascii="Times New Roman;Times;serif" w:hAnsi="Times New Roman;Times;serif"/>
          <w:sz w:val="20"/>
        </w:rPr>
        <w:t>.</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Contingent Consideration</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i/>
          <w:sz w:val="20"/>
        </w:rPr>
      </w:pPr>
      <w:r>
        <w:rPr>
          <w:rFonts w:ascii="Times New Roman;Times;serif" w:hAnsi="Times New Roman;Times;serif"/>
          <w:i/>
          <w:sz w:val="20"/>
        </w:rPr>
        <w:t>Acquisition of NEPSI</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October 1, 2020 (</w:t>
      </w:r>
      <w:r>
        <w:rPr>
          <w:rFonts w:ascii="Times New Roman;Times;serif" w:hAnsi="Times New Roman;Times;serif"/>
          <w:sz w:val="20"/>
        </w:rPr>
        <w:t>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unit. The purchase price was $26.0 million in cash and 873,657 restricted shares of common stock of the Company. As part of the transaction, the selling stockholders </w:t>
      </w:r>
      <w:r>
        <w:rPr>
          <w:rStyle w:val="Emphasis"/>
          <w:rFonts w:ascii="Times New Roman;Times;serif" w:hAnsi="Times New Roman;Times;serif"/>
          <w:sz w:val="20"/>
        </w:rPr>
        <w:t xml:space="preserve"> may </w:t>
      </w:r>
      <w:r>
        <w:rPr>
          <w:rFonts w:ascii="Times New Roman;Times;serif" w:hAnsi="Times New Roman;Times;serif"/>
          <w:sz w:val="20"/>
        </w:rPr>
        <w:t>receive up to an additional 1,000,000 shares of common stock of the Company upon the achievement of certain specified revenue objectives during varying periods of up to </w:t>
      </w:r>
      <w:r>
        <w:rPr>
          <w:rStyle w:val="Emphasis"/>
          <w:rFonts w:ascii="Times New Roman;Times;serif" w:hAnsi="Times New Roman;Times;serif"/>
          <w:sz w:val="20"/>
        </w:rPr>
        <w:t>four</w:t>
      </w:r>
      <w:r>
        <w:rPr>
          <w:rFonts w:ascii="Times New Roman;Times;serif" w:hAnsi="Times New Roman;Times;serif"/>
          <w:sz w:val="20"/>
        </w:rPr>
        <w:t> years following closing of the NEPSI Acquisition.</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144" w:right="144"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evaluated the NEPSI Acquisition earnout payment set forth in the NEPSI Stock Purchase Agreement, which </w:t>
      </w:r>
      <w:r>
        <w:rPr>
          <w:rStyle w:val="Emphasis"/>
          <w:rFonts w:ascii="Times New Roman;Times;serif" w:hAnsi="Times New Roman;Times;serif"/>
          <w:sz w:val="20"/>
        </w:rPr>
        <w:t xml:space="preserve">may </w:t>
      </w:r>
      <w:r>
        <w:rPr>
          <w:rFonts w:ascii="Times New Roman;Times;serif" w:hAnsi="Times New Roman;Times;serif"/>
          <w:sz w:val="20"/>
        </w:rPr>
        <w:t xml:space="preserve">require settlement in the Company's common stock, and determined the contingent consideration qualified for liability classification and derivative treatment under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As a result, for each period, the fair value of the contingent consideration will be remeasured and the resulting gain or loss will be recognized in operating expenses until the share amount is fixed.</w:t>
      </w:r>
    </w:p>
    <w:p>
      <w:pPr>
        <w:pStyle w:val="TextBody"/>
        <w:bidi w:val="0"/>
        <w:spacing w:before="0" w:after="0"/>
        <w:ind w:left="144" w:right="144"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the key assumptions used in a Monte Carlo simulation to calculate the fair value of the contingent consideration related to the NEPSI Acquisition:</w:t>
      </w:r>
    </w:p>
    <w:p>
      <w:pPr>
        <w:pStyle w:val="TextBody"/>
        <w:bidi w:val="0"/>
        <w:spacing w:before="0" w:after="0"/>
        <w:ind w:left="0" w:right="0" w:firstLine="720"/>
        <w:jc w:val="both"/>
        <w:rPr/>
      </w:pPr>
      <w:r>
        <w:rPr/>
        <w:t> </w:t>
      </w:r>
    </w:p>
    <w:tbl>
      <w:tblPr>
        <w:tblW w:w="7880" w:type="dxa"/>
        <w:jc w:val="left"/>
        <w:tblInd w:w="0" w:type="dxa"/>
        <w:tblLayout w:type="fixed"/>
        <w:tblCellMar>
          <w:top w:w="0" w:type="dxa"/>
          <w:left w:w="0" w:type="dxa"/>
          <w:bottom w:w="0" w:type="dxa"/>
          <w:right w:w="0" w:type="dxa"/>
        </w:tblCellMar>
      </w:tblPr>
      <w:tblGrid>
        <w:gridCol w:w="1850"/>
        <w:gridCol w:w="60"/>
        <w:gridCol w:w="216"/>
        <w:gridCol w:w="658"/>
        <w:gridCol w:w="185"/>
        <w:gridCol w:w="60"/>
        <w:gridCol w:w="283"/>
        <w:gridCol w:w="861"/>
        <w:gridCol w:w="185"/>
        <w:gridCol w:w="60"/>
        <w:gridCol w:w="294"/>
        <w:gridCol w:w="895"/>
        <w:gridCol w:w="185"/>
        <w:gridCol w:w="60"/>
        <w:gridCol w:w="179"/>
        <w:gridCol w:w="545"/>
        <w:gridCol w:w="185"/>
        <w:gridCol w:w="60"/>
        <w:gridCol w:w="216"/>
        <w:gridCol w:w="658"/>
        <w:gridCol w:w="185"/>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Fiscal Year 2023</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Year 2022</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144"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The Company recorded net losses of $1.3 million and $0.2 million resulting from the increases in the fair value of the contingent consideration in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Debt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xml:space="preserve">  </w:t>
      </w:r>
      <w:r>
        <w:rPr>
          <w:rFonts w:ascii="Times New Roman;Times;serif" w:hAnsi="Times New Roman;Times;serif"/>
          <w:sz w:val="20"/>
        </w:rPr>
        <w:t xml:space="preserve">As part of the acquisition of Neeltran, the Company identified four equipment financing agreements that Neeltran had entered into prior to the acquisition of Neeltran on </w:t>
      </w:r>
      <w:r>
        <w:rPr>
          <w:rStyle w:val="Emphasis"/>
          <w:rFonts w:ascii="Times New Roman;Times;serif" w:hAnsi="Times New Roman;Times;serif"/>
          <w:sz w:val="20"/>
        </w:rPr>
        <w:t>May 6, 2021. </w:t>
      </w:r>
      <w:r>
        <w:rPr>
          <w:rFonts w:ascii="Times New Roman;Times;serif" w:hAnsi="Times New Roman;Times;serif"/>
          <w:sz w:val="20"/>
        </w:rPr>
        <w:t>The current and long-term aggregate debt balanc</w:t>
      </w:r>
      <w:r>
        <w:rPr>
          <w:rFonts w:ascii="Times New Roman;Times;serif" w:hAnsi="Times New Roman;Times;serif"/>
          <w:sz w:val="20"/>
          <w:shd w:fill="FFFFFF" w:val="clear"/>
        </w:rPr>
        <w:t xml:space="preserve">e is $0.1 million as of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 xml:space="preserve">March 31, 2023, </w:t>
      </w:r>
      <w:r>
        <w:rPr>
          <w:rFonts w:ascii="Times New Roman;Times;serif" w:hAnsi="Times New Roman;Times;serif"/>
          <w:sz w:val="20"/>
        </w:rPr>
        <w:t>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15.</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w:t>
      </w:r>
      <w:r>
        <w:rPr>
          <w:rStyle w:val="Emphasis"/>
          <w:rFonts w:ascii="Times New Roman;Times;serif" w:hAnsi="Times New Roman;Times;serif"/>
          <w:sz w:val="20"/>
        </w:rPr>
        <w:t>third</w:t>
      </w:r>
      <w:r>
        <w:rPr>
          <w:rFonts w:ascii="Times New Roman;Times;serif" w:hAnsi="Times New Roman;Times;serif"/>
          <w:sz w:val="20"/>
        </w:rPr>
        <w:t xml:space="preserve"> party.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b/>
          <w:i/>
          <w:sz w:val="20"/>
        </w:rPr>
        <w:t>Finance</w:t>
      </w:r>
      <w:r>
        <w:rPr>
          <w:rFonts w:cs="Times New Roman;Times;serif"/>
          <w:bCs/>
          <w:iCs/>
          <w:szCs w:val="20"/>
        </w:rPr>
        <w:t xml:space="preserve">﻿ </w:t>
      </w:r>
      <w:r>
        <w:rPr>
          <w:rFonts w:ascii="Times New Roman;Times;serif" w:hAnsi="Times New Roman;Times;serif"/>
          <w:b/>
          <w:i/>
          <w:sz w:val="20"/>
        </w:rPr>
        <w:t>Leases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w:t>
      </w:r>
      <w:r>
        <w:rPr>
          <w:rStyle w:val="Emphasis"/>
          <w:rFonts w:ascii="Times New Roman;Times;serif" w:hAnsi="Times New Roman;Times;serif"/>
          <w:sz w:val="20"/>
          <w:shd w:fill="FFFFFF" w:val="clear"/>
        </w:rPr>
        <w:t>3,</w:t>
      </w:r>
      <w:r>
        <w:rPr>
          <w:rFonts w:ascii="Times New Roman;Times;serif" w:hAnsi="Times New Roman;Times;serif"/>
          <w:sz w:val="20"/>
          <w:shd w:fill="FFFFFF" w:val="clear"/>
        </w:rPr>
        <w:t xml:space="preserve"> the right-of-use asset related to the finance lease, net of accumulated amortization is $13.2 thousand, and is included in the property and equipment, net on the Company's condensed consolidated balance sheet.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w:t>
      </w:r>
      <w:r>
        <w:rPr>
          <w:rStyle w:val="Emphasis"/>
          <w:rFonts w:ascii="Times New Roman;Times;serif" w:hAnsi="Times New Roman;Times;serif"/>
          <w:sz w:val="20"/>
        </w:rPr>
        <w:t>1</w:t>
      </w:r>
      <w:r>
        <w:rPr>
          <w:rFonts w:ascii="Times New Roman;Times;serif" w:hAnsi="Times New Roman;Times;serif"/>
          <w:sz w:val="20"/>
        </w:rPr>
        <w:t xml:space="preserve">) accreted to reflect interest using the incremental borrowing rate if the rate implicit in the lease is </w:t>
      </w:r>
      <w:r>
        <w:rPr>
          <w:rStyle w:val="Emphasis"/>
          <w:rFonts w:ascii="Times New Roman;Times;serif" w:hAnsi="Times New Roman;Times;serif"/>
          <w:sz w:val="20"/>
        </w:rPr>
        <w:t>not</w:t>
      </w:r>
      <w:r>
        <w:rPr>
          <w:rFonts w:ascii="Times New Roman;Times;serif" w:hAnsi="Times New Roman;Times;serif"/>
          <w:sz w:val="20"/>
        </w:rPr>
        <w:t xml:space="preserve"> readily determinable, and (</w:t>
      </w:r>
      <w:r>
        <w:rPr>
          <w:rStyle w:val="Emphasis"/>
          <w:rFonts w:ascii="Times New Roman;Times;serif" w:hAnsi="Times New Roman;Times;serif"/>
          <w:sz w:val="20"/>
        </w:rPr>
        <w:t>2</w:t>
      </w:r>
      <w:r>
        <w:rPr>
          <w:rFonts w:ascii="Times New Roman;Times;serif" w:hAnsi="Times New Roman;Times;serif"/>
          <w:sz w:val="20"/>
        </w:rPr>
        <w:t>) reduced to reflect lease payments made during the period. Amortization expense for finance lease right-of-use assets and interest accretion on finance lease liabilities are recorded to depreciation expense and interest expense, respectively in the Company's condensed consolidated statement of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248" w:type="dxa"/>
        <w:jc w:val="left"/>
        <w:tblInd w:w="0" w:type="dxa"/>
        <w:tblLayout w:type="fixed"/>
        <w:tblCellMar>
          <w:top w:w="0" w:type="dxa"/>
          <w:left w:w="0" w:type="dxa"/>
          <w:bottom w:w="0" w:type="dxa"/>
          <w:right w:w="0" w:type="dxa"/>
        </w:tblCellMar>
      </w:tblPr>
      <w:tblGrid>
        <w:gridCol w:w="3230"/>
        <w:gridCol w:w="60"/>
        <w:gridCol w:w="151"/>
        <w:gridCol w:w="1038"/>
        <w:gridCol w:w="185"/>
        <w:gridCol w:w="60"/>
        <w:gridCol w:w="88"/>
        <w:gridCol w:w="1251"/>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 Financing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 Operating</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2,857</w:t>
            </w:r>
          </w:p>
        </w:tc>
        <w:tc>
          <w:tcPr>
            <w:tcW w:w="185" w:type="dxa"/>
            <w:tcBorders/>
            <w:shd w:fill="CCEEFF" w:val="clear"/>
            <w:vAlign w:val="center"/>
          </w:tcPr>
          <w:p>
            <w:pPr>
              <w:pStyle w:val="TableContents"/>
              <w:bidi w:val="0"/>
              <w:spacing w:before="0" w:after="0"/>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2,858</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ST Financing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ST Operating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807</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LT Operating</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2,184</w:t>
            </w:r>
          </w:p>
        </w:tc>
        <w:tc>
          <w:tcPr>
            <w:tcW w:w="185" w:type="dxa"/>
            <w:tcBorders/>
            <w:shd w:fill="FFFFFF" w:val="clear"/>
            <w:vAlign w:val="center"/>
          </w:tcPr>
          <w:p>
            <w:pPr>
              <w:pStyle w:val="TableContents"/>
              <w:bidi w:val="0"/>
              <w:spacing w:before="0" w:after="0"/>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2,992</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rStyle w:val="Emphasis"/>
                <w:rFonts w:ascii="Times New Roman" w:hAnsi="Times New Roman"/>
                <w:sz w:val="20"/>
              </w:rPr>
              <w:t>3.79 years</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3.95 years</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rStyle w:val="Emphasis"/>
                <w:rFonts w:ascii="Times New Roman" w:hAnsi="Times New Roman"/>
                <w:sz w:val="20"/>
              </w:rPr>
              <w:t>6.67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costs related to the Company's finance lease are </w:t>
      </w:r>
      <w:r>
        <w:rPr>
          <w:rStyle w:val="Emphasis"/>
          <w:rFonts w:ascii="Times New Roman;Times;serif" w:hAnsi="Times New Roman;Times;serif"/>
          <w:sz w:val="20"/>
        </w:rPr>
        <w:t>not</w:t>
      </w:r>
      <w:r>
        <w:rPr>
          <w:rFonts w:ascii="Times New Roman;Times;serif" w:hAnsi="Times New Roman;Times;serif"/>
          <w:sz w:val="20"/>
        </w:rPr>
        <w:t xml:space="preserve"> material. 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2023</w:t>
      </w:r>
      <w:r>
        <w:rPr>
          <w:rFonts w:ascii="Times New Roman;Times;serif" w:hAnsi="Times New Roman;Times;serif"/>
          <w:sz w:val="20"/>
        </w:rPr>
        <w:t> and </w:t>
      </w:r>
      <w:r>
        <w:rPr>
          <w:rStyle w:val="Emphasis"/>
          <w:rFonts w:ascii="Times New Roman;Times;serif" w:hAnsi="Times New Roman;Times;serif"/>
          <w:sz w:val="20"/>
        </w:rPr>
        <w:t>2022</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4419" w:type="dxa"/>
        <w:jc w:val="left"/>
        <w:tblInd w:w="0" w:type="dxa"/>
        <w:tblLayout w:type="fixed"/>
        <w:tblCellMar>
          <w:top w:w="0" w:type="dxa"/>
          <w:left w:w="0" w:type="dxa"/>
          <w:bottom w:w="0" w:type="dxa"/>
          <w:right w:w="0" w:type="dxa"/>
        </w:tblCellMar>
      </w:tblPr>
      <w:tblGrid>
        <w:gridCol w:w="2540"/>
        <w:gridCol w:w="60"/>
        <w:gridCol w:w="476"/>
        <w:gridCol w:w="1283"/>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40" w:type="dxa"/>
            <w:tcBorders/>
            <w:shd w:fill="CCEEFF" w:val="cle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Operating lease costs - fixed</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4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Short-term lease costs</w:t>
            </w:r>
          </w:p>
        </w:tc>
        <w:tc>
          <w:tcPr>
            <w:tcW w:w="60" w:type="dxa"/>
            <w:tcBorders/>
            <w:shd w:fill="FFFFFF" w:val="clear"/>
            <w:vAlign w:val="center"/>
          </w:tcPr>
          <w:p>
            <w:pPr>
              <w:pStyle w:val="TableContents"/>
              <w:bidi w:val="0"/>
              <w:spacing w:before="0" w:after="0"/>
              <w:ind w:left="0" w:right="0" w:hanging="0"/>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lease costs</w:t>
            </w:r>
          </w:p>
        </w:tc>
        <w:tc>
          <w:tcPr>
            <w:tcW w:w="60" w:type="dxa"/>
            <w:tcBorders/>
            <w:shd w:fill="CCEEFF" w:val="clear"/>
            <w:vAlign w:val="center"/>
          </w:tcPr>
          <w:p>
            <w:pPr>
              <w:pStyle w:val="TableContents"/>
              <w:bidi w:val="0"/>
              <w:spacing w:before="0" w:after="283"/>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4419" w:type="dxa"/>
        <w:jc w:val="left"/>
        <w:tblInd w:w="0" w:type="dxa"/>
        <w:tblLayout w:type="fixed"/>
        <w:tblCellMar>
          <w:top w:w="0" w:type="dxa"/>
          <w:left w:w="0" w:type="dxa"/>
          <w:bottom w:w="0" w:type="dxa"/>
          <w:right w:w="0" w:type="dxa"/>
        </w:tblCellMar>
      </w:tblPr>
      <w:tblGrid>
        <w:gridCol w:w="2540"/>
        <w:gridCol w:w="60"/>
        <w:gridCol w:w="476"/>
        <w:gridCol w:w="1283"/>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40" w:type="dxa"/>
            <w:tcBorders/>
            <w:shd w:fill="CCEEFF" w:val="cle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lease costs</w:t>
            </w:r>
          </w:p>
        </w:tc>
        <w:tc>
          <w:tcPr>
            <w:tcW w:w="60" w:type="dxa"/>
            <w:tcBorders/>
            <w:shd w:fill="CCEEFF" w:val="clear"/>
            <w:vAlign w:val="center"/>
          </w:tcPr>
          <w:p>
            <w:pPr>
              <w:pStyle w:val="TableContents"/>
              <w:bidi w:val="0"/>
              <w:spacing w:before="0" w:after="283"/>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rPr/>
      </w:pPr>
      <w:r>
        <w:rPr/>
        <w:t> </w:t>
      </w:r>
    </w:p>
    <w:tbl>
      <w:tblPr>
        <w:tblW w:w="3315" w:type="dxa"/>
        <w:jc w:val="left"/>
        <w:tblInd w:w="0" w:type="dxa"/>
        <w:tblLayout w:type="fixed"/>
        <w:tblCellMar>
          <w:top w:w="0" w:type="dxa"/>
          <w:left w:w="0" w:type="dxa"/>
          <w:bottom w:w="0" w:type="dxa"/>
          <w:right w:w="0" w:type="dxa"/>
        </w:tblCellMar>
      </w:tblPr>
      <w:tblGrid>
        <w:gridCol w:w="2585"/>
        <w:gridCol w:w="60"/>
        <w:gridCol w:w="125"/>
        <w:gridCol w:w="485"/>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March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732</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485" w:type="dxa"/>
            <w:tcBorders>
              <w:top w:val="single" w:sz="2" w:space="0" w:color="000000"/>
            </w:tcBorders>
            <w:shd w:fill="FFFF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16.</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shd w:fill="FFFFFF" w:val="clear"/>
        </w:rPr>
        <w:t>June 30, 2023</w:t>
      </w:r>
      <w:r>
        <w:rPr>
          <w:rFonts w:ascii="Times New Roman;Times;serif" w:hAnsi="Times New Roman;Times;serif"/>
          <w:sz w:val="20"/>
        </w:rPr>
        <w:t xml:space="preserve">, the Company had $0.6 million of restricted cash included in long-term assets and $0.5 million of restricted cash included in current assets. As of </w:t>
      </w:r>
      <w:r>
        <w:rPr>
          <w:rStyle w:val="Emphasis"/>
          <w:rFonts w:ascii="Times New Roman;Times;serif" w:hAnsi="Times New Roman;Times;serif"/>
          <w:sz w:val="20"/>
        </w:rPr>
        <w:t>March 31, 2023</w:t>
      </w:r>
      <w:r>
        <w:rPr>
          <w:rFonts w:ascii="Times New Roman;Times;serif" w:hAnsi="Times New Roman;Times;serif"/>
          <w:sz w:val="20"/>
        </w:rPr>
        <w:t>, the Company had $0.6 million of restricted cash included in long term assets and $1.7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17</w:t>
      </w:r>
      <w:r>
        <w:rPr>
          <w:rFonts w:ascii="Times New Roman;Times;serif" w:hAnsi="Times New Roman;Times;serif"/>
          <w:sz w:val="20"/>
        </w:rPr>
        <w:t xml:space="preserve">. </w:t>
      </w:r>
      <w:r>
        <w:rPr>
          <w:rFonts w:ascii="Times New Roman" w:hAnsi="Times New Roman"/>
          <w:b/>
          <w:sz w:val="20"/>
        </w:rPr>
        <w:t>Restructuring</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charges resulting from operational restructuring actions in accordance with ASC Topic </w:t>
      </w:r>
      <w:r>
        <w:rPr>
          <w:rStyle w:val="Emphasis"/>
          <w:rFonts w:ascii="Times New Roman;Times;serif" w:hAnsi="Times New Roman;Times;serif"/>
          <w:sz w:val="20"/>
        </w:rPr>
        <w:t>420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Exit or Disposal Cost Obligations</w:t>
      </w:r>
      <w:r>
        <w:rPr>
          <w:rFonts w:ascii="Times New Roman;Times;serif" w:hAnsi="Times New Roman;Times;serif"/>
          <w:sz w:val="20"/>
        </w:rPr>
        <w:t> (“ASC </w:t>
      </w:r>
      <w:r>
        <w:rPr>
          <w:rStyle w:val="Emphasis"/>
          <w:rFonts w:ascii="Times New Roman;Times;serif" w:hAnsi="Times New Roman;Times;serif"/>
          <w:sz w:val="20"/>
        </w:rPr>
        <w:t>420”</w:t>
      </w:r>
      <w:r>
        <w:rPr>
          <w:rFonts w:ascii="Times New Roman;Times;serif" w:hAnsi="Times New Roman;Times;serif"/>
          <w:sz w:val="20"/>
        </w:rPr>
        <w:t>) and ASC Topic </w:t>
      </w:r>
      <w:r>
        <w:rPr>
          <w:rStyle w:val="Emphasis"/>
          <w:rFonts w:ascii="Times New Roman;Times;serif" w:hAnsi="Times New Roman;Times;serif"/>
          <w:sz w:val="20"/>
        </w:rPr>
        <w:t>712</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Compensation</w:t>
      </w:r>
      <w:r>
        <w:rPr>
          <w:rFonts w:ascii="Times New Roman;Times;serif" w:hAnsi="Times New Roman;Times;serif"/>
          <w:sz w:val="20"/>
        </w:rPr>
        <w:t>—</w:t>
      </w:r>
      <w:r>
        <w:rPr>
          <w:rFonts w:ascii="Times New Roman;Times;serif" w:hAnsi="Times New Roman;Times;serif"/>
          <w:i/>
          <w:sz w:val="20"/>
        </w:rPr>
        <w:t>Nonretirement Postemployment Benefits</w:t>
      </w:r>
      <w:r>
        <w:rPr>
          <w:rFonts w:ascii="Times New Roman;Times;serif" w:hAnsi="Times New Roman;Times;serif"/>
          <w:sz w:val="20"/>
        </w:rPr>
        <w:t> (“ASC </w:t>
      </w:r>
      <w:r>
        <w:rPr>
          <w:rStyle w:val="Emphasis"/>
          <w:rFonts w:ascii="Times New Roman;Times;serif" w:hAnsi="Times New Roman;Times;serif"/>
          <w:sz w:val="20"/>
        </w:rPr>
        <w:t>712”</w:t>
      </w:r>
      <w:r>
        <w:rPr>
          <w:rFonts w:ascii="Times New Roman;Times;serif" w:hAnsi="Times New Roman;Times;serif"/>
          <w:sz w:val="20"/>
        </w:rPr>
        <w:t>).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24, 2023</w:t>
      </w:r>
      <w:r>
        <w:rPr>
          <w:rFonts w:ascii="Times New Roman" w:hAnsi="Times New Roman"/>
          <w:i/>
          <w:caps w:val="false"/>
          <w:smallCaps w:val="false"/>
          <w:sz w:val="20"/>
        </w:rPr>
        <w:t>,</w:t>
      </w:r>
      <w:r>
        <w:rPr>
          <w:rFonts w:ascii="Times New Roman" w:hAnsi="Times New Roman"/>
          <w:caps w:val="false"/>
          <w:smallCaps w:val="false"/>
          <w:sz w:val="20"/>
        </w:rPr>
        <w:t> the Company approved a plan to reduce its global workforce by approximately 5%, effective as of such date. The purpose of the workforce reduction was to reduce operating expenses to better align with the Company’s current revenues. In fiscal </w:t>
      </w:r>
      <w:r>
        <w:rPr>
          <w:rStyle w:val="Emphasis"/>
          <w:rFonts w:ascii="Times New Roman" w:hAnsi="Times New Roman"/>
          <w:caps w:val="false"/>
          <w:smallCaps w:val="false"/>
          <w:sz w:val="20"/>
        </w:rPr>
        <w:t>2022</w:t>
      </w:r>
      <w:r>
        <w:rPr>
          <w:rFonts w:ascii="Times New Roman" w:hAnsi="Times New Roman"/>
          <w:i/>
          <w:caps w:val="false"/>
          <w:smallCaps w:val="false"/>
          <w:sz w:val="20"/>
        </w:rPr>
        <w:t>,</w:t>
      </w:r>
      <w:r>
        <w:rPr>
          <w:rFonts w:ascii="Times New Roman" w:hAnsi="Times New Roman"/>
          <w:caps w:val="false"/>
          <w:smallCaps w:val="false"/>
          <w:sz w:val="20"/>
        </w:rPr>
        <w:t> the Company recorded restructuring charges of $1.0 million as a result of this reduction in force, which was comprised of severance pay. All amounts related to these restructuring activities are expected to be paid by </w:t>
      </w:r>
      <w:r>
        <w:rPr>
          <w:rStyle w:val="Emphasis"/>
          <w:rFonts w:ascii="Times New Roman" w:hAnsi="Times New Roman"/>
          <w:caps w:val="false"/>
          <w:smallCaps w:val="false"/>
          <w:sz w:val="20"/>
        </w:rPr>
        <w:t xml:space="preserve">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restructuring charges and cash payments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2023 </w:t>
      </w:r>
      <w:r>
        <w:rPr>
          <w:rFonts w:ascii="Times New Roman" w:hAnsi="Times New Roman"/>
          <w:caps w:val="false"/>
          <w:smallCaps w:val="false"/>
          <w:sz w:val="20"/>
        </w:rPr>
        <w:t xml:space="preserve">and year ended </w:t>
      </w:r>
      <w:r>
        <w:rPr>
          <w:rStyle w:val="Emphasis"/>
          <w:rFonts w:ascii="Times New Roman" w:hAnsi="Times New Roman"/>
          <w:caps w:val="false"/>
          <w:smallCaps w:val="false"/>
          <w:sz w:val="20"/>
        </w:rPr>
        <w:t>March 31, 2023 (</w:t>
      </w:r>
      <w:r>
        <w:rPr>
          <w:rFonts w:ascii="Times New Roman" w:hAnsi="Times New Roman"/>
          <w:caps w:val="false"/>
          <w:smallCaps w:val="false"/>
          <w:sz w:val="20"/>
        </w:rPr>
        <w:t>in thousands):</w:t>
      </w:r>
    </w:p>
    <w:p>
      <w:pPr>
        <w:pStyle w:val="TextBody"/>
        <w:bidi w:val="0"/>
        <w:spacing w:before="0" w:after="0"/>
        <w:ind w:left="160" w:right="0" w:hanging="0"/>
        <w:jc w:val="left"/>
        <w:rPr>
          <w:caps w:val="false"/>
          <w:smallCaps w:val="false"/>
        </w:rPr>
      </w:pPr>
      <w:r>
        <w:rPr>
          <w:caps w:val="false"/>
          <w:smallCaps w:val="false"/>
        </w:rPr>
        <w:t> </w:t>
      </w:r>
    </w:p>
    <w:tbl>
      <w:tblPr>
        <w:tblW w:w="5174" w:type="dxa"/>
        <w:jc w:val="left"/>
        <w:tblInd w:w="0" w:type="dxa"/>
        <w:tblLayout w:type="fixed"/>
        <w:tblCellMar>
          <w:top w:w="0" w:type="dxa"/>
          <w:left w:w="0" w:type="dxa"/>
          <w:bottom w:w="0" w:type="dxa"/>
          <w:right w:w="0" w:type="dxa"/>
        </w:tblCellMar>
      </w:tblPr>
      <w:tblGrid>
        <w:gridCol w:w="3830"/>
        <w:gridCol w:w="60"/>
        <w:gridCol w:w="288"/>
        <w:gridCol w:w="916"/>
        <w:gridCol w:w="80"/>
      </w:tblGrid>
      <w:tr>
        <w:trPr/>
        <w:tc>
          <w:tcPr>
            <w:tcW w:w="3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Severance pay</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and benefits</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April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Charges to operations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payments</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June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324" w:type="dxa"/>
        <w:jc w:val="left"/>
        <w:tblInd w:w="0" w:type="dxa"/>
        <w:tblLayout w:type="fixed"/>
        <w:tblCellMar>
          <w:top w:w="0" w:type="dxa"/>
          <w:left w:w="0" w:type="dxa"/>
          <w:bottom w:w="0" w:type="dxa"/>
          <w:right w:w="0" w:type="dxa"/>
        </w:tblCellMar>
      </w:tblPr>
      <w:tblGrid>
        <w:gridCol w:w="3980"/>
        <w:gridCol w:w="60"/>
        <w:gridCol w:w="246"/>
        <w:gridCol w:w="958"/>
        <w:gridCol w:w="80"/>
      </w:tblGrid>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Severance pay</w:t>
            </w:r>
          </w:p>
        </w:tc>
        <w:tc>
          <w:tcPr>
            <w:tcW w:w="8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and benefits</w:t>
            </w:r>
          </w:p>
        </w:tc>
        <w:tc>
          <w:tcPr>
            <w:tcW w:w="8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April 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Charges to operations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w:t>
            </w:r>
          </w:p>
        </w:tc>
        <w:tc>
          <w:tcPr>
            <w:tcW w:w="8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payments</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March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restructuring charges discussed above are included within restructuring in the Company’s condensed consolidated statements of operations. The Company includes accrued restructuring within accounts payable and accrued expenses in the consolidated balance sheets.  The Company's restructuring charges relate primarily to the Grid business segment operations in the United States.</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18.</w:t>
      </w:r>
      <w:r>
        <w:rPr>
          <w:rFonts w:ascii="Times New Roman;Times;serif" w:hAnsi="Times New Roman;Times;serif"/>
          <w:b/>
          <w:sz w:val="20"/>
        </w:rPr>
        <w:t xml:space="preserve"> Business Segments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i/>
          <w:sz w:val="20"/>
        </w:rPr>
        <w:t>280,</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we aggregate four operating segments into </w:t>
      </w:r>
      <w:r>
        <w:rPr>
          <w:rStyle w:val="Emphasis"/>
          <w:rFonts w:ascii="Times New Roman;Times;serif" w:hAnsi="Times New Roman;Times;serif"/>
          <w:sz w:val="20"/>
        </w:rPr>
        <w:t>one</w:t>
      </w:r>
      <w:r>
        <w:rPr>
          <w:rFonts w:ascii="Times New Roman;Times;serif" w:hAnsi="Times New Roman;Times;serif"/>
          <w:sz w:val="20"/>
        </w:rPr>
        <w:t> reporting segment for financial reporting purposes due to their similar operating and financial characteristics. Our operating segments reflect the way in which internally-reported financial information is used to make decisions and allocate resources.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i/>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operating results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are as follows (in thousands):</w:t>
      </w:r>
    </w:p>
    <w:p>
      <w:pPr>
        <w:pStyle w:val="TextBody"/>
        <w:bidi w:val="0"/>
        <w:spacing w:before="0" w:after="0"/>
        <w:ind w:left="0" w:right="0" w:firstLine="720"/>
        <w:jc w:val="both"/>
        <w:rPr/>
      </w:pPr>
      <w:r>
        <w:rPr/>
        <w:t> </w:t>
      </w:r>
    </w:p>
    <w:tbl>
      <w:tblPr>
        <w:tblW w:w="3503" w:type="dxa"/>
        <w:jc w:val="left"/>
        <w:tblInd w:w="0" w:type="dxa"/>
        <w:tblLayout w:type="fixed"/>
        <w:tblCellMar>
          <w:top w:w="0" w:type="dxa"/>
          <w:left w:w="0" w:type="dxa"/>
          <w:bottom w:w="0" w:type="dxa"/>
          <w:right w:w="0" w:type="dxa"/>
        </w:tblCellMar>
      </w:tblPr>
      <w:tblGrid>
        <w:gridCol w:w="875"/>
        <w:gridCol w:w="60"/>
        <w:gridCol w:w="202"/>
        <w:gridCol w:w="955"/>
        <w:gridCol w:w="97"/>
        <w:gridCol w:w="97"/>
        <w:gridCol w:w="202"/>
        <w:gridCol w:w="955"/>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Grid</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25,737</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19,829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Wind</w:t>
            </w:r>
          </w:p>
        </w:tc>
        <w:tc>
          <w:tcPr>
            <w:tcW w:w="60"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4,517</w:t>
            </w:r>
          </w:p>
        </w:tc>
        <w:tc>
          <w:tcPr>
            <w:tcW w:w="97"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30,254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5246" w:type="dxa"/>
        <w:jc w:val="left"/>
        <w:tblInd w:w="0" w:type="dxa"/>
        <w:tblLayout w:type="fixed"/>
        <w:tblCellMar>
          <w:top w:w="0" w:type="dxa"/>
          <w:left w:w="0" w:type="dxa"/>
          <w:bottom w:w="0" w:type="dxa"/>
          <w:right w:w="0" w:type="dxa"/>
        </w:tblCellMar>
      </w:tblPr>
      <w:tblGrid>
        <w:gridCol w:w="2600"/>
        <w:gridCol w:w="60"/>
        <w:gridCol w:w="211"/>
        <w:gridCol w:w="924"/>
        <w:gridCol w:w="135"/>
        <w:gridCol w:w="101"/>
        <w:gridCol w:w="211"/>
        <w:gridCol w:w="924"/>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Grid</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(1,971</w:t>
            </w:r>
          </w:p>
        </w:tc>
        <w:tc>
          <w:tcPr>
            <w:tcW w:w="1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Wind</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(649</w:t>
            </w:r>
          </w:p>
        </w:tc>
        <w:tc>
          <w:tcPr>
            <w:tcW w:w="13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(386</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Unallocated corporate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(2,713</w:t>
            </w:r>
          </w:p>
        </w:tc>
        <w:tc>
          <w:tcPr>
            <w:tcW w:w="1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(5,333</w:t>
            </w:r>
          </w:p>
        </w:tc>
        <w:tc>
          <w:tcPr>
            <w:tcW w:w="13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loss.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Unallocated corporate expenses consist of a loss on contingent consideration of $1.3 million and $0.2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Additionally, unallocated corporate expenses consist of stock-based compensation expense </w:t>
      </w:r>
      <w:r>
        <w:rPr>
          <w:rFonts w:ascii="Times New Roman;Times;serif" w:hAnsi="Times New Roman;Times;serif"/>
          <w:sz w:val="20"/>
          <w:shd w:fill="FFFFFF" w:val="clear"/>
        </w:rPr>
        <w:t>of $</w:t>
      </w:r>
      <w:r>
        <w:rPr>
          <w:rFonts w:ascii="Times New Roman;Times;serif" w:hAnsi="Times New Roman;Times;serif"/>
          <w:sz w:val="20"/>
        </w:rPr>
        <w:t>1.4</w:t>
      </w:r>
      <w:r>
        <w:rPr>
          <w:rFonts w:ascii="Times New Roman;Times;serif" w:hAnsi="Times New Roman;Times;serif"/>
          <w:sz w:val="20"/>
          <w:shd w:fill="FFFFFF" w:val="clear"/>
        </w:rPr>
        <w:t xml:space="preserve"> million and</w:t>
      </w:r>
      <w:r>
        <w:rPr>
          <w:rFonts w:ascii="Times New Roman;Times;serif" w:hAnsi="Times New Roman;Times;serif"/>
          <w:sz w:val="20"/>
        </w:rPr>
        <w:t xml:space="preserve"> $1.0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June 30, 2023</w:t>
      </w:r>
      <w:r>
        <w:rPr>
          <w:rFonts w:ascii="Times New Roman;Times;serif" w:hAnsi="Times New Roman;Times;serif"/>
          <w:sz w:val="20"/>
        </w:rPr>
        <w:t> and </w:t>
      </w:r>
      <w:r>
        <w:rPr>
          <w:rStyle w:val="Emphasis"/>
          <w:rFonts w:ascii="Times New Roman;Times;serif" w:hAnsi="Times New Roman;Times;serif"/>
          <w:sz w:val="20"/>
        </w:rPr>
        <w:t xml:space="preserve"> March 31, 2023</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108" w:type="dxa"/>
        <w:jc w:val="left"/>
        <w:tblInd w:w="0" w:type="dxa"/>
        <w:tblLayout w:type="fixed"/>
        <w:tblCellMar>
          <w:top w:w="0" w:type="dxa"/>
          <w:left w:w="0" w:type="dxa"/>
          <w:bottom w:w="0" w:type="dxa"/>
          <w:right w:w="0" w:type="dxa"/>
        </w:tblCellMar>
      </w:tblPr>
      <w:tblGrid>
        <w:gridCol w:w="1340"/>
        <w:gridCol w:w="60"/>
        <w:gridCol w:w="181"/>
        <w:gridCol w:w="1008"/>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135,296</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14,361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19.</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June 2016, </w:t>
      </w:r>
      <w:r>
        <w:rPr>
          <w:rFonts w:ascii="Times New Roman;Times;serif" w:hAnsi="Times New Roman;Times;serif"/>
          <w:sz w:val="20"/>
        </w:rPr>
        <w:t xml:space="preserve">the FASB issued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xml:space="preserve"> </w:t>
      </w:r>
      <w:r>
        <w:rPr>
          <w:rFonts w:ascii="Times New Roman;Times;serif" w:hAnsi="Times New Roman;Times;serif"/>
          <w:i/>
          <w:sz w:val="20"/>
        </w:rPr>
        <w:t xml:space="preserve">Financial Instruments-Credit Losses (Topic </w:t>
      </w:r>
      <w:r>
        <w:rPr>
          <w:rStyle w:val="Emphasis"/>
          <w:rFonts w:ascii="Times New Roman;Times;serif" w:hAnsi="Times New Roman;Times;serif"/>
          <w:i/>
          <w:sz w:val="20"/>
        </w:rPr>
        <w:t>326</w:t>
      </w:r>
      <w:r>
        <w:rPr>
          <w:rFonts w:ascii="Times New Roman;Times;serif" w:hAnsi="Times New Roman;Times;serif"/>
          <w:i/>
          <w:sz w:val="20"/>
        </w:rPr>
        <w:t>): Measurement of Credit Losses on Financial Instruments</w:t>
      </w:r>
      <w:r>
        <w:rPr>
          <w:rFonts w:ascii="Times New Roman;Times;serif" w:hAnsi="Times New Roman;Times;serif"/>
          <w:sz w:val="20"/>
        </w:rPr>
        <w:t xml:space="preserve">. The amendments in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xml:space="preserve"> will provide more decision-useful information about the expected credit losses on financial instruments and other commitments to extend credit held by a reporting entity at each reporting date. Following the release of ASU </w:t>
      </w:r>
      <w:r>
        <w:rPr>
          <w:rStyle w:val="Emphasis"/>
          <w:rFonts w:ascii="Times New Roman;Times;serif" w:hAnsi="Times New Roman;Times;serif"/>
          <w:sz w:val="20"/>
        </w:rPr>
        <w:t>2019</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xml:space="preserve"> in </w:t>
      </w:r>
      <w:r>
        <w:rPr>
          <w:rStyle w:val="Emphasis"/>
          <w:rFonts w:ascii="Times New Roman;Times;serif" w:hAnsi="Times New Roman;Times;serif"/>
          <w:sz w:val="20"/>
        </w:rPr>
        <w:t xml:space="preserve">November 2019, </w:t>
      </w:r>
      <w:r>
        <w:rPr>
          <w:rFonts w:ascii="Times New Roman;Times;serif" w:hAnsi="Times New Roman;Times;serif"/>
          <w:sz w:val="20"/>
        </w:rPr>
        <w:t xml:space="preserve">the effective date, as long as the Company remains a smaller reporting company, was annual reporting periods beginning after </w:t>
      </w:r>
      <w:r>
        <w:rPr>
          <w:rStyle w:val="Emphasis"/>
          <w:rFonts w:ascii="Times New Roman;Times;serif" w:hAnsi="Times New Roman;Times;serif"/>
          <w:sz w:val="20"/>
        </w:rPr>
        <w:t>December 15, 2022.  </w:t>
      </w:r>
      <w:r>
        <w:rPr>
          <w:rFonts w:ascii="Times New Roman;Times;serif" w:hAnsi="Times New Roman;Times;serif"/>
          <w:sz w:val="20"/>
        </w:rPr>
        <w:t xml:space="preserve">As of </w:t>
      </w:r>
      <w:r>
        <w:rPr>
          <w:rStyle w:val="Emphasis"/>
          <w:rFonts w:ascii="Times New Roman;Times;serif" w:hAnsi="Times New Roman;Times;serif"/>
          <w:sz w:val="20"/>
        </w:rPr>
        <w:t xml:space="preserve">April 1, 2023, </w:t>
      </w:r>
      <w:r>
        <w:rPr>
          <w:rFonts w:ascii="Times New Roman;Times;serif" w:hAnsi="Times New Roman;Times;serif"/>
          <w:sz w:val="20"/>
        </w:rPr>
        <w:t xml:space="preserve">the Company has adopted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xml:space="preserve"> and noted </w:t>
      </w:r>
      <w:r>
        <w:rPr>
          <w:rStyle w:val="Emphasis"/>
          <w:rFonts w:ascii="Times New Roman;Times;serif" w:hAnsi="Times New Roman;Times;serif"/>
          <w:sz w:val="20"/>
        </w:rPr>
        <w:t>no</w:t>
      </w:r>
      <w:r>
        <w:rPr>
          <w:rFonts w:ascii="Times New Roman;Times;serif" w:hAnsi="Times New Roman;Times;serif"/>
          <w:sz w:val="20"/>
        </w:rPr>
        <w:t xml:space="preserve"> material impact on its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October 2021, </w:t>
      </w:r>
      <w:r>
        <w:rPr>
          <w:rFonts w:ascii="Times New Roman;Times;serif" w:hAnsi="Times New Roman;Times;serif"/>
          <w:sz w:val="20"/>
        </w:rPr>
        <w:t xml:space="preserve">the FASB issued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08,</w:t>
      </w:r>
      <w:r>
        <w:rPr>
          <w:rFonts w:ascii="Times New Roman;Times;serif" w:hAnsi="Times New Roman;Times;serif"/>
          <w:sz w:val="20"/>
        </w:rPr>
        <w:t xml:space="preserve"> </w:t>
      </w:r>
      <w:r>
        <w:rPr>
          <w:rFonts w:ascii="Times New Roman;Times;serif" w:hAnsi="Times New Roman;Times;serif"/>
          <w:i/>
          <w:sz w:val="20"/>
        </w:rPr>
        <w:t xml:space="preserve">Business Combinations (Topic </w:t>
      </w:r>
      <w:r>
        <w:rPr>
          <w:rStyle w:val="Emphasis"/>
          <w:rFonts w:ascii="Times New Roman;Times;serif" w:hAnsi="Times New Roman;Times;serif"/>
          <w:i/>
          <w:sz w:val="20"/>
        </w:rPr>
        <w:t>805</w:t>
      </w:r>
      <w:r>
        <w:rPr>
          <w:rFonts w:ascii="Times New Roman;Times;serif" w:hAnsi="Times New Roman;Times;serif"/>
          <w:i/>
          <w:sz w:val="20"/>
        </w:rPr>
        <w:t>): Accounting for Contract Assets and Contract Liabilities from Contracts with Customers</w:t>
      </w:r>
      <w:r>
        <w:rPr>
          <w:rFonts w:ascii="Times New Roman;Times;serif" w:hAnsi="Times New Roman;Times;serif"/>
          <w:sz w:val="20"/>
        </w:rPr>
        <w:t xml:space="preserve">. The amendments in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08</w:t>
      </w:r>
      <w:r>
        <w:rPr>
          <w:rFonts w:ascii="Times New Roman;Times;serif" w:hAnsi="Times New Roman;Times;serif"/>
          <w:sz w:val="20"/>
        </w:rPr>
        <w:t xml:space="preserve"> will improve the accounting for acquired revenue contracts with customers in a business combination. Following the release of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08</w:t>
      </w:r>
      <w:r>
        <w:rPr>
          <w:rFonts w:ascii="Times New Roman;Times;serif" w:hAnsi="Times New Roman;Times;serif"/>
          <w:sz w:val="20"/>
        </w:rPr>
        <w:t xml:space="preserve"> in </w:t>
      </w:r>
      <w:r>
        <w:rPr>
          <w:rStyle w:val="Emphasis"/>
          <w:rFonts w:ascii="Times New Roman;Times;serif" w:hAnsi="Times New Roman;Times;serif"/>
          <w:sz w:val="20"/>
        </w:rPr>
        <w:t xml:space="preserve">October 2021, </w:t>
      </w:r>
      <w:r>
        <w:rPr>
          <w:rFonts w:ascii="Times New Roman;Times;serif" w:hAnsi="Times New Roman;Times;serif"/>
          <w:sz w:val="20"/>
        </w:rPr>
        <w:t xml:space="preserve">the effective date was annual reporting periods beginning after </w:t>
      </w:r>
      <w:r>
        <w:rPr>
          <w:rStyle w:val="Emphasis"/>
          <w:rFonts w:ascii="Times New Roman;Times;serif" w:hAnsi="Times New Roman;Times;serif"/>
          <w:sz w:val="20"/>
        </w:rPr>
        <w:t xml:space="preserve">December 15, 2022. </w:t>
      </w:r>
      <w:r>
        <w:rPr>
          <w:rFonts w:ascii="Times New Roman;Times;serif" w:hAnsi="Times New Roman;Times;serif"/>
          <w:sz w:val="20"/>
        </w:rPr>
        <w:t xml:space="preserve">As of </w:t>
      </w:r>
      <w:r>
        <w:rPr>
          <w:rStyle w:val="Emphasis"/>
          <w:rFonts w:ascii="Times New Roman;Times;serif" w:hAnsi="Times New Roman;Times;serif"/>
          <w:sz w:val="20"/>
        </w:rPr>
        <w:t xml:space="preserve">April 1, 2023, </w:t>
      </w:r>
      <w:r>
        <w:rPr>
          <w:rFonts w:ascii="Times New Roman;Times;serif" w:hAnsi="Times New Roman;Times;serif"/>
          <w:sz w:val="20"/>
        </w:rPr>
        <w:t xml:space="preserve">the Company has adopted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08</w:t>
      </w:r>
      <w:r>
        <w:rPr>
          <w:rFonts w:ascii="Times New Roman;Times;serif" w:hAnsi="Times New Roman;Times;serif"/>
          <w:sz w:val="20"/>
        </w:rPr>
        <w:t xml:space="preserve"> and noted </w:t>
      </w:r>
      <w:r>
        <w:rPr>
          <w:rStyle w:val="Emphasis"/>
          <w:rFonts w:ascii="Times New Roman;Times;serif" w:hAnsi="Times New Roman;Times;serif"/>
          <w:sz w:val="20"/>
        </w:rPr>
        <w:t>no</w:t>
      </w:r>
      <w:r>
        <w:rPr>
          <w:rFonts w:ascii="Times New Roman;Times;serif" w:hAnsi="Times New Roman;Times;serif"/>
          <w:sz w:val="20"/>
        </w:rPr>
        <w:t xml:space="preserve"> material impact on its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20.</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 of Northeast Power Systems, Inc. ("NEPSI") and Neeltran, Inc. ("Neeltran"), changes in macroeconomic and market conditions, including increasing inflation and impacts from the COVID-19 pandemic,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COVID-19 pandemic has adversely impacted our business, financial condition and results of operations and other future pandemics or health crises may have similar impacts; </w:t>
      </w:r>
      <w:r>
        <w:rPr>
          <w:sz w:val="20"/>
        </w:rPr>
        <w:t xml:space="preserve"> </w:t>
      </w:r>
      <w:r>
        <w:rPr>
          <w:rFonts w:ascii="Times New Roman;Times;serif" w:hAnsi="Times New Roman;Times;serif"/>
          <w:i/>
          <w:sz w:val="20"/>
        </w:rPr>
        <w:t>Changes in U.S. government defense spending could negatively impact our financial position, results of operations, liquidity and overall business;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have not manufactured our Amperium wire in commercial quantities, and a failure to manufacture our Amperium wire in commercial quantities at acceptable cost and quality levels would substantially limit our future revenue and profit potential;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w:t>
      </w:r>
      <w:r>
        <w:rPr>
          <w:sz w:val="20"/>
        </w:rPr>
        <w:t xml:space="preserve"> </w:t>
      </w:r>
      <w:r>
        <w:rPr>
          <w:rFonts w:ascii="Times New Roman;Times;serif" w:hAnsi="Times New Roman;Times;serif"/>
          <w:i/>
          <w:sz w:val="20"/>
        </w:rPr>
        <w:t>Our business and operations would be adversely impacted in the event of a failure or security breach of our or any critical third parties information technology infrastructure and networks;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w:t>
      </w:r>
      <w:r>
        <w:rPr>
          <w:sz w:val="20"/>
        </w:rPr>
        <w:t xml:space="preserve"> </w:t>
      </w:r>
      <w:r>
        <w:rPr>
          <w:rFonts w:ascii="Times New Roman;Times;serif" w:hAnsi="Times New Roman;Times;serif"/>
          <w:i/>
          <w:sz w:val="20"/>
        </w:rPr>
        <w:t>We may acquire additional complementary businesses or technologies, which may require us to incur substantial costs for which we may never r</w:t>
      </w:r>
      <w:r>
        <w:rPr>
          <w:rFonts w:ascii="Times New Roman;Times;serif" w:hAnsi="Times New Roman;Times;serif"/>
          <w:i/>
          <w:sz w:val="20"/>
          <w:shd w:fill="FFFFFF" w:val="clear"/>
        </w:rPr>
        <w:t>ealize</w:t>
      </w:r>
      <w:r>
        <w:rPr>
          <w:rFonts w:ascii="Times New Roman;Times;serif" w:hAnsi="Times New Roman;Times;serif"/>
          <w:i/>
          <w:color w:val="000000"/>
          <w:sz w:val="20"/>
          <w:shd w:fill="FFFFFF" w:val="clear"/>
        </w:rPr>
        <w:t xml:space="preserve"> the anticipated benefits;</w:t>
      </w:r>
      <w:r>
        <w:rPr>
          <w:rFonts w:ascii="Times New Roman;Times;serif" w:hAnsi="Times New Roman;Times;serif"/>
          <w:i/>
          <w:sz w:val="20"/>
          <w:shd w:fill="FFFFFF" w:val="clear"/>
        </w:rPr>
        <w:t xml:space="preserve"> W</w:t>
      </w:r>
      <w:r>
        <w:rPr>
          <w:rFonts w:ascii="Times New Roman;Times;serif" w:hAnsi="Times New Roman;Times;serif"/>
          <w:i/>
          <w:sz w:val="20"/>
        </w:rPr>
        <w:t>e or third parties on whom we depend may be adversely affected by natural disasters, including events resulting from climate change, and our business continuity and disaster recovery plans may not adequately protect us or our value chain from such events; Adverse changes in domestic and global economic conditions could adversely affect our operating results; Our international operations are subject to risks that we do not face in the United States, which could have an adverse effect on our operating results;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competition, which could limit our ability to acquire or retain customers; Our products face competition, which could limit our ability to acquire or retain customers; Industry consolidation could result in more powerful competitors and fewer customers; Our products face competition, which could limit our ability to acquire or retain customers; Industry consolidation could result in more powerful competitors and fewer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We may be unable to adequately prevent disclosure of trade secrets and other proprietary information;</w:t>
      </w:r>
      <w:r>
        <w:rPr>
          <w:sz w:val="20"/>
        </w:rPr>
        <w:t xml:space="preserve"> </w:t>
      </w:r>
      <w:r>
        <w:rPr>
          <w:rFonts w:ascii="Times New Roman;Times;serif" w:hAnsi="Times New Roman;Times;serif"/>
          <w:i/>
          <w:sz w:val="20"/>
        </w:rPr>
        <w:t>Our patents may not provide meaningful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face risks related to our legal proceedings; We face risks related to our common stock; and the other important factors discussed under the caption "Risk Factors" in Part 1. Item 1A of our Annual Report on Form 10-K for the fiscal year ended March 31, 2023,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   </w:t>
      </w:r>
      <w:r>
        <w:rPr>
          <w:sz w:val="20"/>
        </w:rPr>
        <w:t xml:space="preserve">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American Superconductor®, Amperium®, AMSC®, D-VAR®, PowerModule™, D-VAR VVO</w:t>
      </w:r>
      <w:r>
        <w:rPr>
          <w:rFonts w:ascii="Times New Roman;Times;serif" w:hAnsi="Times New Roman;Times;serif"/>
          <w:i/>
          <w:sz w:val="20"/>
        </w:rPr>
        <w:t xml:space="preserve">®, </w:t>
      </w:r>
      <w:r>
        <w:rPr>
          <w:rFonts w:ascii="Times New Roman;Times;serif" w:hAnsi="Times New Roman;Times;serif"/>
          <w:sz w:val="20"/>
        </w:rPr>
        <w:t>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  </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Through our Gridtec™ Solutions, our Grid business segment enables electric utilities and renewable energy project 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Through our Windtec™ Solutions,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MW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2023 refers to the fiscal year that began on April 1, 2023. Other fiscal years follow similarly.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experience inflationary pressure in our supply chain and some delays in sourcing materials needed for our products, resulting in some production disruption, both of which have increased our cost of revenues and decreased gross margin.  While the impact of inflation has been challenging, we continue to take actions to limit this pressure including adjusting the pricing of our products and services. Changes in macroeconomic and market conditions arising from the COVID-19 pandemic, or for other reasons, such as the ongoing war between Russia and Ukraine, inflation, rising interest rates, labor force availability, sourcing, material delays and global supply chain disruptions could have a material adverse effect on our business, financial condition and results of operation.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From time-to-time we may undertake restructuring activities in order to align our global organization in a manner that we believe will better position us to achieve our long-term goals. In January 2023, we undertook a reduction in force that involved approximately 5% of our global workforce. This restructuring is expected to incur $1.0 million of cash expenses, $0.7 million of which has been paid as of June 30, 2023 and to result in annualized cost savings of approximately $5.0 million, </w:t>
      </w:r>
      <w:r>
        <w:rPr>
          <w:rFonts w:ascii="Times New Roman" w:hAnsi="Times New Roman"/>
          <w:caps w:val="false"/>
          <w:smallCaps w:val="false"/>
          <w:sz w:val="20"/>
        </w:rPr>
        <w:t xml:space="preserve">beginning in fiscal </w:t>
      </w:r>
      <w:r>
        <w:rPr>
          <w:rFonts w:ascii="Times New Roman" w:hAnsi="Times New Roman"/>
          <w:caps w:val="false"/>
          <w:smallCaps w:val="false"/>
          <w:sz w:val="20"/>
          <w:shd w:fill="FFFFFF" w:val="clear"/>
        </w:rPr>
        <w:t>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2023, we completed the process of determining and verifying our eligibility and amount of payroll tax credits known as the Employee Retention Credit (“ERC”) under the CARES Act which Congress enacted as part of the Taxpayer Certainty and Disaster Tax Relief Act of 2020.  This resulted in filing certain amended payroll tax forms for eligible quarters in 2020 and 2021, which, in the aggregate, totaled $3.3 million. We recognized a receivable in prepaid expenses and other current assets and a benefit to cost of revenues and operating expenses in the quarter ended March 31, 2023. During the quarter ended June 30, 2023, we received $2.2 million in payments for the initial claims that were processed.  The remaining balance is expected to be paid during fiscal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Annual Report on Form 10-K for the fiscal year ended March 31,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months ended </w:t>
      </w:r>
      <w:r>
        <w:rPr>
          <w:rFonts w:ascii="Times New Roman;Times;serif" w:hAnsi="Times New Roman;Times;serif"/>
          <w:b/>
          <w:i/>
          <w:sz w:val="20"/>
          <w:shd w:fill="FFFFFF" w:val="clear"/>
        </w:rPr>
        <w:t>June 30, 2023</w:t>
      </w:r>
      <w:r>
        <w:rPr>
          <w:rFonts w:ascii="Times New Roman;Times;serif" w:hAnsi="Times New Roman;Times;serif"/>
          <w:b/>
          <w:i/>
          <w:sz w:val="20"/>
        </w:rPr>
        <w:t>, compared to the three months ended June 30, 2022</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Total revenues increased 33% to $30.3 million for the three months ended </w:t>
      </w:r>
      <w:r>
        <w:rPr>
          <w:rFonts w:ascii="Times New Roman;Times;serif" w:hAnsi="Times New Roman;Times;serif"/>
          <w:sz w:val="20"/>
          <w:shd w:fill="FFFFFF" w:val="clear"/>
        </w:rPr>
        <w:t>June 30, 2023</w:t>
      </w:r>
      <w:r>
        <w:rPr>
          <w:rFonts w:ascii="Times New Roman;Times;serif" w:hAnsi="Times New Roman;Times;serif"/>
          <w:sz w:val="20"/>
        </w:rPr>
        <w:t>, compared to $22.7 for the three months ended June 30, 2022. Our revenues are summarized as follows (in thousands):</w:t>
      </w:r>
    </w:p>
    <w:p>
      <w:pPr>
        <w:pStyle w:val="TextBody"/>
        <w:bidi w:val="0"/>
        <w:spacing w:before="0" w:after="0"/>
        <w:ind w:left="0" w:right="0" w:firstLine="720"/>
        <w:jc w:val="both"/>
        <w:rPr/>
      </w:pPr>
      <w:r>
        <w:rPr/>
        <w:t> </w:t>
      </w:r>
    </w:p>
    <w:tbl>
      <w:tblPr>
        <w:tblW w:w="3531" w:type="dxa"/>
        <w:jc w:val="left"/>
        <w:tblInd w:w="0" w:type="dxa"/>
        <w:tblLayout w:type="fixed"/>
        <w:tblCellMar>
          <w:top w:w="0" w:type="dxa"/>
          <w:left w:w="0" w:type="dxa"/>
          <w:bottom w:w="0" w:type="dxa"/>
          <w:right w:w="0" w:type="dxa"/>
        </w:tblCellMar>
      </w:tblPr>
      <w:tblGrid>
        <w:gridCol w:w="875"/>
        <w:gridCol w:w="60"/>
        <w:gridCol w:w="204"/>
        <w:gridCol w:w="966"/>
        <w:gridCol w:w="98"/>
        <w:gridCol w:w="98"/>
        <w:gridCol w:w="204"/>
        <w:gridCol w:w="966"/>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25,737</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19,829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30,254</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Grid business unit accounted for 85% of total revenues for the three months ended June 30, 2023, compared to 87% for the three months ended June 30, 2022. Our Grid business unit revenues increased 30% to $25.7 million in the three months ended June 30, 2023, from $19.8 million in the three months ended June 30, 2022. The increase in the Grid business unit revenue in the three months ended June 30, 2023, compared to the three months ended June 30, 2022 was primarily driven by higher new energy power systems revenues than in the prior year period.</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Wind business unit accounted for 15% of total revenues for the three months ended June 30, 2023, compared to 13% for the three months ended June 30, 2022. Revenues in the Wind business unit increased 58% to $4.5 million in the three months ended June 30, 2023, from $2.9 million in the three months ended June 30, 2022. The increase in the three months ended June 30, 2023, was driven by additional shipments of electrical control systems ("ECS") to Inox in the three months ended June 30, 2023.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17% to $24.0 millio</w:t>
      </w:r>
      <w:r>
        <w:rPr>
          <w:rFonts w:ascii="Times New Roman;Times;serif" w:hAnsi="Times New Roman;Times;serif"/>
          <w:sz w:val="20"/>
          <w:shd w:fill="FFFFFF" w:val="clear"/>
        </w:rPr>
        <w:t xml:space="preserve">n for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compared to $20.5 million for the three months ended </w:t>
      </w:r>
      <w:r>
        <w:rPr>
          <w:rFonts w:ascii="Times New Roman;Times;serif" w:hAnsi="Times New Roman;Times;serif"/>
          <w:sz w:val="20"/>
        </w:rPr>
        <w:t>June 30, 2022</w:t>
      </w:r>
      <w:r>
        <w:rPr>
          <w:rFonts w:ascii="Times New Roman;Times;serif" w:hAnsi="Times New Roman;Times;serif"/>
          <w:sz w:val="20"/>
          <w:shd w:fill="FFFFFF" w:val="clear"/>
        </w:rPr>
        <w:t>. Gross margin was </w:t>
      </w:r>
      <w:r>
        <w:rPr>
          <w:rFonts w:ascii="Times New Roman;Times;serif" w:hAnsi="Times New Roman;Times;serif"/>
          <w:sz w:val="20"/>
        </w:rPr>
        <w:t>21%</w:t>
      </w:r>
      <w:r>
        <w:rPr>
          <w:rFonts w:ascii="Times New Roman;Times;serif" w:hAnsi="Times New Roman;Times;serif"/>
          <w:sz w:val="20"/>
          <w:shd w:fill="FFFFFF" w:val="clear"/>
        </w:rPr>
        <w:t>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compared to 10%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2022</w:t>
      </w:r>
      <w:r>
        <w:rPr>
          <w:rFonts w:ascii="Times New Roman;Times;serif" w:hAnsi="Times New Roman;Times;serif"/>
          <w:sz w:val="20"/>
          <w:shd w:fill="FFFFFF" w:val="clear"/>
        </w:rPr>
        <w:t>.  The increase in gross margin in the three months ended </w:t>
      </w:r>
      <w:r>
        <w:rPr>
          <w:rFonts w:ascii="Times New Roman;Times;serif" w:hAnsi="Times New Roman;Times;serif"/>
          <w:sz w:val="20"/>
        </w:rPr>
        <w:t>June 30, 2023</w:t>
      </w:r>
      <w:r>
        <w:rPr>
          <w:rFonts w:ascii="Times New Roman;Times;serif" w:hAnsi="Times New Roman;Times;serif"/>
          <w:sz w:val="20"/>
          <w:shd w:fill="FFFFFF" w:val="clear"/>
        </w:rPr>
        <w:t>, was due to higher revenues, and a more favorable product mix in our Grid business unit.</w:t>
      </w:r>
    </w:p>
    <w:p>
      <w:pPr>
        <w:pStyle w:val="TextBody"/>
        <w:bidi w:val="0"/>
        <w:spacing w:before="0" w:after="0"/>
        <w:ind w:left="0" w:right="0" w:firstLine="555"/>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Research and development ("R&amp;D") expenses decreased 30% in the three months ended June 30, 2023, to $1.9 million from $2.7 million in the three months ended June 30, 2022. The decrease was driven by </w:t>
      </w:r>
      <w:r>
        <w:rPr>
          <w:rFonts w:ascii="Times New Roman" w:hAnsi="Times New Roman"/>
          <w:caps w:val="false"/>
          <w:smallCaps w:val="false"/>
          <w:sz w:val="20"/>
        </w:rPr>
        <w:t>decreased compensation expense as well as increased labor charges reclassified to cost of goods sold for revenue generating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Selling, general and administrative ("SG&amp;A") expenses increased </w:t>
      </w:r>
      <w:r>
        <w:rPr>
          <w:rFonts w:ascii="Times New Roman;Times;serif" w:hAnsi="Times New Roman;Times;serif"/>
          <w:sz w:val="20"/>
        </w:rPr>
        <w:t>4%</w:t>
      </w:r>
      <w:r>
        <w:rPr>
          <w:rFonts w:ascii="Times New Roman;Times;serif" w:hAnsi="Times New Roman;Times;serif"/>
          <w:sz w:val="20"/>
          <w:shd w:fill="FFFFFF" w:val="clear"/>
        </w:rPr>
        <w:t xml:space="preserve"> in the three months ended </w:t>
      </w:r>
      <w:r>
        <w:rPr>
          <w:rFonts w:ascii="Times New Roman;Times;serif" w:hAnsi="Times New Roman;Times;serif"/>
          <w:sz w:val="20"/>
        </w:rPr>
        <w:t>June 30, 2023</w:t>
      </w:r>
      <w:r>
        <w:rPr>
          <w:rFonts w:ascii="Times New Roman;Times;serif" w:hAnsi="Times New Roman;Times;serif"/>
          <w:sz w:val="20"/>
          <w:shd w:fill="FFFFFF" w:val="clear"/>
        </w:rPr>
        <w:t>, to $</w:t>
      </w:r>
      <w:r>
        <w:rPr>
          <w:rFonts w:ascii="Times New Roman;Times;serif" w:hAnsi="Times New Roman;Times;serif"/>
          <w:sz w:val="20"/>
        </w:rPr>
        <w:t>7.9</w:t>
      </w:r>
      <w:r>
        <w:rPr>
          <w:rFonts w:ascii="Times New Roman;Times;serif" w:hAnsi="Times New Roman;Times;serif"/>
          <w:sz w:val="20"/>
          <w:shd w:fill="FFFFFF" w:val="clear"/>
        </w:rPr>
        <w:t xml:space="preserve"> million from $7.6 million in the three months ended </w:t>
      </w:r>
      <w:r>
        <w:rPr>
          <w:rFonts w:ascii="Times New Roman;Times;serif" w:hAnsi="Times New Roman;Times;serif"/>
          <w:sz w:val="20"/>
        </w:rPr>
        <w:t>June 30, 2022</w:t>
      </w:r>
      <w:r>
        <w:rPr>
          <w:rFonts w:ascii="Times New Roman;Times;serif" w:hAnsi="Times New Roman;Times;serif"/>
          <w:sz w:val="20"/>
          <w:shd w:fill="FFFFFF" w:val="clear"/>
        </w:rPr>
        <w:t>. The increase in SG&amp;A expense in the three months ended June 30, 2023, was due to higher compensation and stock compensation expense than in the prior year period.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 related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recorded amortization expense related to our core technology and know-how, customer relationships, and other intangible assets of $</w:t>
      </w:r>
      <w:r>
        <w:rPr>
          <w:rFonts w:ascii="Times New Roman;Times;serif" w:hAnsi="Times New Roman;Times;serif"/>
          <w:sz w:val="20"/>
        </w:rPr>
        <w:t>0.5</w:t>
      </w:r>
      <w:r>
        <w:rPr>
          <w:rFonts w:ascii="Times New Roman;Times;serif" w:hAnsi="Times New Roman;Times;serif"/>
          <w:sz w:val="20"/>
          <w:shd w:fill="FFFFFF" w:val="clear"/>
        </w:rPr>
        <w:t xml:space="preserve"> million in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and $0.7 million in the three months ended </w:t>
      </w:r>
      <w:r>
        <w:rPr>
          <w:rFonts w:ascii="Times New Roman;Times;serif" w:hAnsi="Times New Roman;Times;serif"/>
          <w:sz w:val="20"/>
        </w:rPr>
        <w:t>June 30, 2022</w:t>
      </w:r>
      <w:r>
        <w:rPr>
          <w:rFonts w:ascii="Times New Roman;Times;serif" w:hAnsi="Times New Roman;Times;serif"/>
          <w:sz w:val="20"/>
          <w:shd w:fill="FFFFFF" w:val="clear"/>
        </w:rPr>
        <w:t xml:space="preserve">. </w:t>
      </w:r>
      <w:r>
        <w:rPr>
          <w:rFonts w:ascii="Times New Roman;Times;serif" w:hAnsi="Times New Roman;Times;serif"/>
          <w:sz w:val="20"/>
        </w:rPr>
        <w:t>The decrease in amortization expense in the three months ended June 30, 2023 is a result of using the economic consumption method as the basis to amortize the acquired customer relationship intangible assets from Northeast Power Systems, Inc. ("NEPSI") and Neeltran, Inc. (“Neeltran”).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The change in fair value of our contingent consideration for the earnout payment on the acquisition of NEPSI resulted in a loss of $</w:t>
      </w:r>
      <w:r>
        <w:rPr>
          <w:rFonts w:ascii="Times New Roman" w:hAnsi="Times New Roman"/>
          <w:caps w:val="false"/>
          <w:smallCaps w:val="false"/>
          <w:sz w:val="20"/>
        </w:rPr>
        <w:t>1.3</w:t>
      </w:r>
      <w:r>
        <w:rPr>
          <w:rFonts w:ascii="Times New Roman" w:hAnsi="Times New Roman"/>
          <w:caps w:val="false"/>
          <w:smallCaps w:val="false"/>
          <w:sz w:val="20"/>
          <w:shd w:fill="FFFFFF" w:val="clear"/>
        </w:rPr>
        <w:t> million and $0.2 million in the three months ended June 30, 2023, and June 30, 2022 respectively. The change in the fair value was primarily driven by an increased likelihood of achieving certain revenue targets and an increase in the Company's stock price.</w:t>
      </w:r>
    </w:p>
    <w:p>
      <w:pPr>
        <w:pStyle w:val="TextBody"/>
        <w:bidi w:val="0"/>
        <w:spacing w:before="0" w:after="0"/>
        <w:ind w:left="144" w:right="144" w:firstLine="555"/>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loss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loss is summarized as follows (in thousands):</w:t>
      </w:r>
    </w:p>
    <w:p>
      <w:pPr>
        <w:pStyle w:val="TextBody"/>
        <w:bidi w:val="0"/>
        <w:spacing w:before="0" w:after="0"/>
        <w:ind w:left="0" w:right="0" w:firstLine="720"/>
        <w:jc w:val="both"/>
        <w:rPr/>
      </w:pPr>
      <w:r>
        <w:rPr/>
        <w:t> </w:t>
      </w:r>
    </w:p>
    <w:tbl>
      <w:tblPr>
        <w:tblW w:w="5277" w:type="dxa"/>
        <w:jc w:val="left"/>
        <w:tblInd w:w="0" w:type="dxa"/>
        <w:tblLayout w:type="fixed"/>
        <w:tblCellMar>
          <w:top w:w="0" w:type="dxa"/>
          <w:left w:w="0" w:type="dxa"/>
          <w:bottom w:w="0" w:type="dxa"/>
          <w:right w:w="0" w:type="dxa"/>
        </w:tblCellMar>
      </w:tblPr>
      <w:tblGrid>
        <w:gridCol w:w="2600"/>
        <w:gridCol w:w="60"/>
        <w:gridCol w:w="214"/>
        <w:gridCol w:w="935"/>
        <w:gridCol w:w="137"/>
        <w:gridCol w:w="102"/>
        <w:gridCol w:w="214"/>
        <w:gridCol w:w="935"/>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(7,281</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(2,713</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(5,333</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sz w:val="20"/>
          <w:shd w:fill="FFFFFF" w:val="clear"/>
        </w:rPr>
        <w:t>r Grid business segment generated operating losses of $</w:t>
      </w:r>
      <w:r>
        <w:rPr>
          <w:rFonts w:ascii="Times New Roman;Times;serif" w:hAnsi="Times New Roman;Times;serif"/>
          <w:sz w:val="20"/>
        </w:rPr>
        <w:t>2.0</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compared to operating losses of $7.3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2022</w:t>
      </w:r>
      <w:r>
        <w:rPr>
          <w:rFonts w:ascii="Times New Roman;Times;serif" w:hAnsi="Times New Roman;Times;serif"/>
          <w:sz w:val="20"/>
          <w:shd w:fill="FFFFFF" w:val="clear"/>
        </w:rPr>
        <w:t>. The decrease in the Grid business unit operating loss in the three months ended June 30, 2023, was due to higher gross revenues and gross margins due to a favorable product mix </w:t>
      </w:r>
      <w:r>
        <w:rPr>
          <w:rFonts w:ascii="Times New Roman;Times;serif" w:hAnsi="Times New Roman;Times;serif"/>
          <w:sz w:val="20"/>
        </w:rPr>
        <w:t>as well as reduction of remaining acquired Neeltran backlog</w:t>
      </w:r>
      <w:r>
        <w:rPr>
          <w:rFonts w:ascii="Times New Roman;Times;serif" w:hAnsi="Times New Roman;Times;serif"/>
          <w:sz w:val="20"/>
          <w:shd w:fill="FFFFFF" w:val="clear"/>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Wind business segment generated operating losses of $</w:t>
      </w:r>
      <w:r>
        <w:rPr>
          <w:rFonts w:ascii="Times New Roman;Times;serif" w:hAnsi="Times New Roman;Times;serif"/>
          <w:sz w:val="20"/>
        </w:rPr>
        <w:t>0.6</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compared to operating losses of $0.4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2022</w:t>
      </w:r>
      <w:r>
        <w:rPr>
          <w:rFonts w:ascii="Times New Roman;Times;serif" w:hAnsi="Times New Roman;Times;serif"/>
          <w:sz w:val="20"/>
          <w:shd w:fill="FFFFFF" w:val="clear"/>
        </w:rPr>
        <w:t>. The increase in the Wind business unit operating loss was due to lower gross margins.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Unallocated corporate expenses included a loss on contingent consideration of $</w:t>
      </w:r>
      <w:r>
        <w:rPr>
          <w:rFonts w:ascii="Times New Roman;Times;serif" w:hAnsi="Times New Roman;Times;serif"/>
          <w:sz w:val="20"/>
        </w:rPr>
        <w:t>1.3</w:t>
      </w:r>
      <w:r>
        <w:rPr>
          <w:rFonts w:ascii="Times New Roman;Times;serif" w:hAnsi="Times New Roman;Times;serif"/>
          <w:sz w:val="20"/>
          <w:shd w:fill="FFFFFF" w:val="clear"/>
        </w:rPr>
        <w:t> million and $0.2 million in the three months ended June 30, 2023 and 2022, respectively. Additionally, unallocated corporate expenses primarily consisted of stock-based compensation expense of $1.4 million and $1.0 million in the three months ended June 30, 2023 and 2022, respectivel</w:t>
      </w:r>
      <w:r>
        <w:rPr>
          <w:rFonts w:ascii="Times New Roman;Times;serif" w:hAnsi="Times New Roman;Times;serif"/>
          <w:sz w:val="20"/>
        </w:rPr>
        <w:t>y.</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Interest income, net, was $0.2 million in the three months ended June 30, 2023 compared to less than $0.1 million in the three months ended June 30,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income (expense), net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Other expense, net, was $0.1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compared to other income, net, of $0.2 million in the three months ended June 30, 2022. The increase in other expense, net, during the three months ended June 30, 2023, was driven by the impacts of unfavorable fluctuations in foreign currencies during the period.</w:t>
      </w:r>
    </w:p>
    <w:p>
      <w:pPr>
        <w:pStyle w:val="TextBody"/>
        <w:bidi w:val="0"/>
        <w:spacing w:before="0" w:after="0"/>
        <w:ind w:left="0" w:right="0" w:firstLine="720"/>
        <w:jc w:val="both"/>
        <w:rPr/>
      </w:pPr>
      <w:r>
        <w:rP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Income tax expense was $0.1 million in the three months ended June 30, 2023 compared to less than $0.1 million in the three months ended June 30, 2022.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Net loss was $</w:t>
      </w:r>
      <w:r>
        <w:rPr>
          <w:rFonts w:ascii="Times New Roman;Times;serif" w:hAnsi="Times New Roman;Times;serif"/>
          <w:sz w:val="20"/>
        </w:rPr>
        <w:t>5.4</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compared to $8.7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2022</w:t>
      </w:r>
      <w:r>
        <w:rPr>
          <w:rFonts w:ascii="Times New Roman;Times;serif" w:hAnsi="Times New Roman;Times;serif"/>
          <w:sz w:val="20"/>
          <w:shd w:fill="FFFFFF" w:val="clear"/>
        </w:rPr>
        <w:t>. The decrease in net loss was driven primarily by the increased revenues and gross margins.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loss as net loss before, stock-based compensation, amortization of acquisition-related intangibles, change in fair value of contingent consideration, and other non-cash or unusual charges.  We believe non-GAAP</w:t>
      </w:r>
      <w:r>
        <w:rPr>
          <w:rFonts w:ascii="Times New Roman;Times;serif" w:hAnsi="Times New Roman;Times;serif"/>
          <w:sz w:val="20"/>
        </w:rPr>
        <w:t xml:space="preserve">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pStyle w:val="TextBody"/>
        <w:bidi w:val="0"/>
        <w:spacing w:before="0" w:after="0"/>
        <w:ind w:left="0" w:right="0" w:firstLine="720"/>
        <w:jc w:val="both"/>
        <w:rPr/>
      </w:pPr>
      <w:r>
        <w:rPr/>
        <w:t> </w:t>
      </w:r>
    </w:p>
    <w:tbl>
      <w:tblPr>
        <w:tblW w:w="6643" w:type="dxa"/>
        <w:jc w:val="left"/>
        <w:tblInd w:w="0" w:type="dxa"/>
        <w:tblLayout w:type="fixed"/>
        <w:tblCellMar>
          <w:top w:w="0" w:type="dxa"/>
          <w:left w:w="0" w:type="dxa"/>
          <w:bottom w:w="0" w:type="dxa"/>
          <w:right w:w="0" w:type="dxa"/>
        </w:tblCellMar>
      </w:tblPr>
      <w:tblGrid>
        <w:gridCol w:w="3965"/>
        <w:gridCol w:w="60"/>
        <w:gridCol w:w="202"/>
        <w:gridCol w:w="954"/>
        <w:gridCol w:w="129"/>
        <w:gridCol w:w="97"/>
        <w:gridCol w:w="202"/>
        <w:gridCol w:w="954"/>
        <w:gridCol w:w="8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1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acquisition-related intangibles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1,350</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(2,147</w:t>
            </w:r>
          </w:p>
        </w:tc>
        <w:tc>
          <w:tcPr>
            <w:tcW w:w="1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net loss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1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28,258</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27,560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incurred non-GAAP net losses of $</w:t>
      </w:r>
      <w:r>
        <w:rPr>
          <w:rFonts w:ascii="Times New Roman;Times;serif" w:hAnsi="Times New Roman;Times;serif"/>
          <w:sz w:val="20"/>
        </w:rPr>
        <w:t>2.1</w:t>
      </w:r>
      <w:r>
        <w:rPr>
          <w:rFonts w:ascii="Times New Roman;Times;serif" w:hAnsi="Times New Roman;Times;serif"/>
          <w:sz w:val="20"/>
          <w:shd w:fill="FFFFFF" w:val="clear"/>
        </w:rPr>
        <w:t xml:space="preserve"> million, or $</w:t>
      </w:r>
      <w:r>
        <w:rPr>
          <w:rFonts w:ascii="Times New Roman;Times;serif" w:hAnsi="Times New Roman;Times;serif"/>
          <w:sz w:val="20"/>
        </w:rPr>
        <w:t>0.08</w:t>
      </w:r>
      <w:r>
        <w:rPr>
          <w:rFonts w:ascii="Times New Roman;Times;serif" w:hAnsi="Times New Roman;Times;serif"/>
          <w:sz w:val="20"/>
          <w:shd w:fill="FFFFFF" w:val="clear"/>
        </w:rPr>
        <w:t> per share,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2023</w:t>
      </w:r>
      <w:r>
        <w:rPr>
          <w:rFonts w:ascii="Times New Roman;Times;serif" w:hAnsi="Times New Roman;Times;serif"/>
          <w:sz w:val="20"/>
          <w:shd w:fill="FFFFFF" w:val="clear"/>
        </w:rPr>
        <w:t>, compared to $6.8 million, or $0.25 per share,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2022</w:t>
      </w:r>
      <w:r>
        <w:rPr>
          <w:rFonts w:ascii="Times New Roman;Times;serif" w:hAnsi="Times New Roman;Times;serif"/>
          <w:sz w:val="20"/>
          <w:shd w:fill="FFFFFF" w:val="clear"/>
        </w:rPr>
        <w:t>. The improvement in the non-GAAP net loss for the three months ended June 30, 2023 was due to a lower operating loss driven by higher revenues and gross margins.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experienced recurring operating losses and, as of </w:t>
      </w:r>
      <w:r>
        <w:rPr>
          <w:rFonts w:ascii="Times New Roman;Times;serif" w:hAnsi="Times New Roman;Times;serif"/>
          <w:sz w:val="20"/>
          <w:shd w:fill="FFFFFF" w:val="clear"/>
        </w:rPr>
        <w:t>June 30, 2023</w:t>
      </w:r>
      <w:r>
        <w:rPr>
          <w:rFonts w:ascii="Times New Roman;Times;serif" w:hAnsi="Times New Roman;Times;serif"/>
          <w:sz w:val="20"/>
        </w:rPr>
        <w:t xml:space="preserve">, had an accumulated deficit of $1,061 million.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sz w:val="20"/>
          <w:shd w:fill="FFFFFF" w:val="clear"/>
        </w:rPr>
        <w:t>June 30, 2023</w:t>
      </w:r>
      <w:r>
        <w:rPr>
          <w:rFonts w:ascii="Times New Roman;Times;serif" w:hAnsi="Times New Roman;Times;serif"/>
          <w:sz w:val="20"/>
        </w:rPr>
        <w:t xml:space="preserve">, we had cash, cash equivalents and restricted cash of $23.1 million, compared to $25.7 million as of March 31, 2023, a decrease of $2.6 million. As of </w:t>
      </w:r>
      <w:r>
        <w:rPr>
          <w:rFonts w:ascii="Times New Roman;Times;serif" w:hAnsi="Times New Roman;Times;serif"/>
          <w:sz w:val="20"/>
          <w:shd w:fill="FFFFFF" w:val="clear"/>
        </w:rPr>
        <w:t>June 30, 2023</w:t>
      </w:r>
      <w:r>
        <w:rPr>
          <w:rFonts w:ascii="Times New Roman;Times;serif" w:hAnsi="Times New Roman;Times;serif"/>
          <w:sz w:val="20"/>
        </w:rPr>
        <w:t>, we had approximately $2.3 million of cash, cash equivalents, and restricted cash in foreign bank accounts. Our cash, cash equivalents, and restricted cash are summarized as follows (in thousands):</w:t>
      </w:r>
    </w:p>
    <w:p>
      <w:pPr>
        <w:pStyle w:val="TextBody"/>
        <w:bidi w:val="0"/>
        <w:spacing w:before="0" w:after="0"/>
        <w:ind w:left="0" w:right="0" w:firstLine="555"/>
        <w:jc w:val="both"/>
        <w:rPr/>
      </w:pPr>
      <w:r>
        <w:rPr/>
        <w:t> </w:t>
      </w:r>
    </w:p>
    <w:tbl>
      <w:tblPr>
        <w:tblW w:w="6673" w:type="dxa"/>
        <w:jc w:val="left"/>
        <w:tblInd w:w="0" w:type="dxa"/>
        <w:tblLayout w:type="fixed"/>
        <w:tblCellMar>
          <w:top w:w="0" w:type="dxa"/>
          <w:left w:w="0" w:type="dxa"/>
          <w:bottom w:w="0" w:type="dxa"/>
          <w:right w:w="0" w:type="dxa"/>
        </w:tblCellMar>
      </w:tblPr>
      <w:tblGrid>
        <w:gridCol w:w="3890"/>
        <w:gridCol w:w="60"/>
        <w:gridCol w:w="208"/>
        <w:gridCol w:w="981"/>
        <w:gridCol w:w="60"/>
        <w:gridCol w:w="60"/>
        <w:gridCol w:w="236"/>
        <w:gridCol w:w="1118"/>
        <w:gridCol w:w="6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23,360</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2023, net cash used in operating activities was $2.2 million, compared to $5.9 million for the three months ended June 30, 2022. The decrease in net cash used in operations was due primarily to a decrease in prepaid expenses and other current assets and deferred revenue in the three months ended June 30, 2023 as compared to June 30, 2022. Cash flows from operating activities included a reimbursement of $2.1 million in the three months ended June 30, 2023 for the ERC receivable in prepaid expenses and other current assets at March 31, 2023.</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2023, net cash used in investing activities was $0.3 million, compared to $0.5 million for the three months ended June 30, 2022. The decrease in net cash used in investing activities was primarily due to a decrease in purchases of property, plant and equipment.</w:t>
      </w:r>
    </w:p>
    <w:p>
      <w:pPr>
        <w:pStyle w:val="TextBody"/>
        <w:bidi w:val="0"/>
        <w:spacing w:before="0" w:after="0"/>
        <w:ind w:left="144" w:right="144"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2023 and 2022, respectively, net cash used in financing activities remained consistent at less than $0.1 million.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2023, we had $0.6 million of restricted cash included in long-term assets and $0.5 million of restricted cash included in current assets.  At March 31, 2023, we had $0.6 million of restricted cash included in long-term assets and $1.7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June 30, 2023,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14, "Debt," Note 15, "Leases" and Note 16, "Commitments and Contingencies" to our condensed consolidated financial statements included elsewhere in this Quarterly Report on Form 10-Q.</w:t>
      </w:r>
    </w:p>
    <w:p>
      <w:pPr>
        <w:pStyle w:val="TextBody"/>
        <w:bidi w:val="0"/>
        <w:spacing w:before="0" w:after="0"/>
        <w:ind w:left="0" w:right="0" w:firstLine="720"/>
        <w:jc w:val="both"/>
        <w:rPr/>
      </w:pPr>
      <w:r>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or other sources of instability, including the ongoing war between Russia and Ukraine, instability of financial institutions and political instability in the United States,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 </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Instruments-Credit Losses (Topic 326): Measurement of Credit Losses on Financial Instruments</w:t>
      </w:r>
      <w:r>
        <w:rPr>
          <w:rFonts w:ascii="Times New Roman;Times;serif" w:hAnsi="Times New Roman;Times;serif"/>
          <w:sz w:val="20"/>
        </w:rPr>
        <w:t>. The amendments in ASU 2016-13 will provide more decision-useful information about the expected credit losses on financial instruments and other commitments to extend credit held by a reporting entity at each reporting date. Following the release of ASU 2019-10 in November 2019, the effective date, as long as we remain a smaller reporting company, was annual reporting periods beginning after December 15, 2022.  As of April 1, 2023, we have adopted ASU 2016-13 and noted no material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October 2021, the FASB issued ASU 2021-08, </w:t>
      </w:r>
      <w:r>
        <w:rPr>
          <w:rFonts w:ascii="Times New Roman;Times;serif" w:hAnsi="Times New Roman;Times;serif"/>
          <w:i/>
          <w:sz w:val="20"/>
        </w:rPr>
        <w:t>Business Combinations (Topic 805): Accounting for Contract Assets and Contract Liabilities from Contracts with Customers</w:t>
      </w:r>
      <w:r>
        <w:rPr>
          <w:rFonts w:ascii="Times New Roman;Times;serif" w:hAnsi="Times New Roman;Times;serif"/>
          <w:sz w:val="20"/>
        </w:rPr>
        <w:t>. The amendments in ASU 2021-08 will improve the accounting for acquired revenue contracts with customers in a business combination. Following the release of ASU 2021-08 in October 2021, the effective date was annual reporting periods beginning after December 15, 2022. As of April 1, 2023, we have adopted ASU 2021-08 and noted no material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June 30, 2023</w:t>
      </w:r>
      <w:r>
        <w:rPr>
          <w:rFonts w:ascii="Times New Roman;Times;serif" w:hAnsi="Times New Roman;Times;serif"/>
          <w:sz w:val="20"/>
        </w:rPr>
        <w:t xml:space="preser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r>
        <w:rPr>
          <w:rFonts w:ascii="Times New Roman;Times;serif" w:hAnsi="Times New Roman;Times;serif"/>
          <w:sz w:val="20"/>
          <w:shd w:fill="FFFFFF" w:val="clear"/>
        </w:rPr>
        <w:t>June 30, 2023</w:t>
      </w:r>
      <w:r>
        <w:rPr>
          <w:rFonts w:ascii="Times New Roman;Times;serif" w:hAnsi="Times New Roman;Times;serif"/>
          <w:sz w:val="20"/>
        </w:rPr>
        <w:t>, our Chief Executive Officer and Chief Financial Officer concluded that, as of such date, our disclosure controls and procedures were effective at the reasonable assurance level.</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Rules 13a-15(f) and 15d-15(f) under the Exchange Act) during the quarter ended June 30, 2023 that have materially affected, or are reasonably likely to materially affect, our internal control over financial reporting.</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2023, filed with the SEC on May 31, 2023.</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705"/>
        <w:gridCol w:w="9500"/>
      </w:tblGrid>
      <w:tr>
        <w:trPr/>
        <w:tc>
          <w:tcPr>
            <w:tcW w:w="70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95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USE OF PROCEEDS, AND ISSUER PURCHASES OF EQUITY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June 30, 2023</w:t>
      </w:r>
      <w:r>
        <w:rPr>
          <w:rFonts w:ascii="Times New Roman;Times;serif" w:hAnsi="Times New Roman;Times;serif"/>
          <w:sz w:val="20"/>
        </w:rPr>
        <w:t xml:space="preserve"> was as follows:</w:t>
      </w:r>
    </w:p>
    <w:p>
      <w:pPr>
        <w:pStyle w:val="TextBody"/>
        <w:bidi w:val="0"/>
        <w:spacing w:before="0" w:after="0"/>
        <w:ind w:left="0" w:right="0" w:firstLine="720"/>
        <w:jc w:val="both"/>
        <w:rPr/>
      </w:pPr>
      <w:r>
        <w:rPr/>
        <w:t> </w:t>
      </w:r>
    </w:p>
    <w:tbl>
      <w:tblPr>
        <w:tblW w:w="8556" w:type="dxa"/>
        <w:jc w:val="left"/>
        <w:tblInd w:w="0" w:type="dxa"/>
        <w:tblLayout w:type="fixed"/>
        <w:tblCellMar>
          <w:top w:w="0" w:type="dxa"/>
          <w:left w:w="0" w:type="dxa"/>
          <w:bottom w:w="28" w:type="dxa"/>
          <w:right w:w="0" w:type="dxa"/>
        </w:tblCellMar>
      </w:tblPr>
      <w:tblGrid>
        <w:gridCol w:w="2435"/>
        <w:gridCol w:w="60"/>
        <w:gridCol w:w="227"/>
        <w:gridCol w:w="992"/>
        <w:gridCol w:w="60"/>
        <w:gridCol w:w="60"/>
        <w:gridCol w:w="168"/>
        <w:gridCol w:w="736"/>
        <w:gridCol w:w="60"/>
        <w:gridCol w:w="60"/>
        <w:gridCol w:w="294"/>
        <w:gridCol w:w="1285"/>
        <w:gridCol w:w="60"/>
        <w:gridCol w:w="60"/>
        <w:gridCol w:w="969"/>
        <w:gridCol w:w="970"/>
        <w:gridCol w:w="60"/>
      </w:tblGrid>
      <w:tr>
        <w:trPr/>
        <w:tc>
          <w:tcPr>
            <w:tcW w:w="24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 2023 - April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shd w:fill="CCEEFF" w:val="clear"/>
            <w:tcMar>
              <w:bottom w:w="0" w:type="dxa"/>
            </w:tcMar>
            <w:vAlign w:val="center"/>
          </w:tcPr>
          <w:p>
            <w:pPr>
              <w:pStyle w:val="TableContents"/>
              <w:bidi w:val="0"/>
              <w:spacing w:before="0" w:after="283"/>
              <w:jc w:val="center"/>
              <w:rPr/>
            </w:pPr>
            <w:r>
              <w:rPr/>
              <w:t> </w:t>
            </w:r>
          </w:p>
        </w:tc>
        <w:tc>
          <w:tcPr>
            <w:tcW w:w="736"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shd w:fill="CCEEFF" w:val="clear"/>
            <w:tcMar>
              <w:bottom w:w="0" w:type="dxa"/>
            </w:tcMar>
            <w:vAlign w:val="center"/>
          </w:tcPr>
          <w:p>
            <w:pPr>
              <w:pStyle w:val="TableContents"/>
              <w:bidi w:val="0"/>
              <w:spacing w:before="0" w:after="283"/>
              <w:jc w:val="center"/>
              <w:rPr/>
            </w:pPr>
            <w:r>
              <w:rPr/>
              <w:t> </w:t>
            </w:r>
          </w:p>
        </w:tc>
        <w:tc>
          <w:tcPr>
            <w:tcW w:w="12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2023 - May 31,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shd w:fill="FFFFFF" w:val="clear"/>
            <w:tcMar>
              <w:bottom w:w="0" w:type="dxa"/>
            </w:tcMar>
            <w:vAlign w:val="center"/>
          </w:tcPr>
          <w:p>
            <w:pPr>
              <w:pStyle w:val="TableContents"/>
              <w:bidi w:val="0"/>
              <w:spacing w:before="0" w:after="283"/>
              <w:jc w:val="center"/>
              <w:rPr/>
            </w:pPr>
            <w:r>
              <w:rPr/>
              <w:t> </w:t>
            </w:r>
          </w:p>
        </w:tc>
        <w:tc>
          <w:tcPr>
            <w:tcW w:w="736"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shd w:fill="FFFFFF" w:val="clear"/>
            <w:tcMar>
              <w:bottom w:w="0" w:type="dxa"/>
            </w:tcMar>
            <w:vAlign w:val="center"/>
          </w:tcPr>
          <w:p>
            <w:pPr>
              <w:pStyle w:val="TableContents"/>
              <w:bidi w:val="0"/>
              <w:spacing w:before="0" w:after="283"/>
              <w:jc w:val="center"/>
              <w:rPr/>
            </w:pPr>
            <w:r>
              <w:rPr/>
              <w:t> </w:t>
            </w:r>
          </w:p>
        </w:tc>
        <w:tc>
          <w:tcPr>
            <w:tcW w:w="12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2023 - June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 </w:t>
            </w:r>
          </w:p>
        </w:tc>
        <w:tc>
          <w:tcPr>
            <w:tcW w:w="992"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bottom w:val="single" w:sz="2" w:space="0" w:color="000000"/>
            </w:tcBorders>
            <w:shd w:fill="CCEEFF" w:val="clear"/>
            <w:vAlign w:val="center"/>
          </w:tcPr>
          <w:p>
            <w:pPr>
              <w:pStyle w:val="TableContents"/>
              <w:bidi w:val="0"/>
              <w:spacing w:before="0" w:after="283"/>
              <w:jc w:val="center"/>
              <w:rPr/>
            </w:pPr>
            <w:r>
              <w:rPr/>
              <w:t> </w:t>
            </w:r>
          </w:p>
        </w:tc>
        <w:tc>
          <w:tcPr>
            <w:tcW w:w="736"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bottom w:val="single" w:sz="2" w:space="0" w:color="000000"/>
            </w:tcBorders>
            <w:shd w:fill="CCEEFF" w:val="clear"/>
            <w:vAlign w:val="center"/>
          </w:tcPr>
          <w:p>
            <w:pPr>
              <w:pStyle w:val="TableContents"/>
              <w:bidi w:val="0"/>
              <w:spacing w:before="0" w:after="283"/>
              <w:jc w:val="center"/>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bottom w:val="single" w:sz="2" w:space="0" w:color="000000"/>
            </w:tcBorders>
            <w:shd w:fill="CCEEFF" w:val="clear"/>
            <w:vAlign w:val="center"/>
          </w:tcPr>
          <w:p>
            <w:pPr>
              <w:pStyle w:val="TableContents"/>
              <w:bidi w:val="0"/>
              <w:spacing w:before="0" w:after="283"/>
              <w:jc w:val="left"/>
              <w:rPr/>
            </w:pPr>
            <w:r>
              <w:rPr/>
              <w:t> </w:t>
            </w:r>
          </w:p>
        </w:tc>
        <w:tc>
          <w:tcPr>
            <w:tcW w:w="970" w:type="dxa"/>
            <w:tcBorders>
              <w:bottom w:val="single" w:sz="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 </w:t>
            </w:r>
          </w:p>
        </w:tc>
        <w:tc>
          <w:tcPr>
            <w:tcW w:w="992"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bottom w:val="double" w:sz="6" w:space="0" w:color="000000"/>
            </w:tcBorders>
            <w:shd w:fill="FFFFFF" w:val="clear"/>
            <w:vAlign w:val="center"/>
          </w:tcPr>
          <w:p>
            <w:pPr>
              <w:pStyle w:val="TableContents"/>
              <w:bidi w:val="0"/>
              <w:spacing w:before="0" w:after="283"/>
              <w:jc w:val="center"/>
              <w:rPr/>
            </w:pPr>
            <w:r>
              <w:rPr/>
              <w:t> </w:t>
            </w:r>
          </w:p>
        </w:tc>
        <w:tc>
          <w:tcPr>
            <w:tcW w:w="736"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vAlign w:val="center"/>
          </w:tcPr>
          <w:p>
            <w:pPr>
              <w:pStyle w:val="TableContents"/>
              <w:bidi w:val="0"/>
              <w:spacing w:before="0" w:after="283"/>
              <w:jc w:val="center"/>
              <w:rPr/>
            </w:pPr>
            <w:r>
              <w:rP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vAlign w:val="center"/>
          </w:tcPr>
          <w:p>
            <w:pPr>
              <w:pStyle w:val="TableContents"/>
              <w:bidi w:val="0"/>
              <w:spacing w:before="0" w:after="283"/>
              <w:jc w:val="left"/>
              <w:rPr/>
            </w:pPr>
            <w:r>
              <w:rPr/>
              <w:t> </w:t>
            </w:r>
          </w:p>
        </w:tc>
        <w:tc>
          <w:tcPr>
            <w:tcW w:w="970" w:type="dxa"/>
            <w:tcBorders>
              <w:bottom w:val="double" w:sz="6"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June 30, 2023</w:t>
      </w:r>
      <w:r>
        <w:rPr>
          <w:rFonts w:ascii="Times New Roman;Times;serif" w:hAnsi="Times New Roman;Times;serif"/>
          <w:sz w:val="20"/>
          <w:shd w:fill="FFFFFF" w:val="clear"/>
        </w:rPr>
        <w:t>, we did not repurchase shares in connection with our stock-based compensation plans</w:t>
      </w:r>
      <w:r>
        <w:rPr>
          <w:rFonts w:ascii="Times New Roman;Times;serif" w:hAnsi="Times New Roman;Times;serif"/>
          <w:sz w:val="20"/>
        </w:rPr>
        <w:t>.</w:t>
      </w:r>
    </w:p>
    <w:p>
      <w:pPr>
        <w:pStyle w:val="TextBody"/>
        <w:bidi w:val="0"/>
        <w:spacing w:before="0" w:after="0"/>
        <w:ind w:left="0" w:right="0" w:hanging="0"/>
        <w:jc w:val="both"/>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4" w:name="item5"/>
            <w:bookmarkEnd w:id="14"/>
            <w:r>
              <w:rPr>
                <w:rFonts w:ascii="Times New Roman;Times;serif" w:hAnsi="Times New Roman;Times;serif"/>
                <w:b/>
                <w:sz w:val="20"/>
              </w:rPr>
              <w:t>ITEM 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5650"/>
        <w:gridCol w:w="60"/>
        <w:gridCol w:w="500"/>
        <w:gridCol w:w="60"/>
        <w:gridCol w:w="732"/>
        <w:gridCol w:w="60"/>
        <w:gridCol w:w="650"/>
        <w:gridCol w:w="60"/>
        <w:gridCol w:w="584"/>
        <w:gridCol w:w="60"/>
        <w:gridCol w:w="1004"/>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25"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hyperlink r:id="rId2">
              <w:r>
                <w:rPr>
                  <w:rStyle w:val="InternetLink"/>
                </w:rPr>
                <w:t>Fiscal 2023 Executive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center"/>
              <w:rPr/>
            </w:pPr>
            <w:r>
              <w:rPr/>
              <w:t> </w:t>
            </w:r>
          </w:p>
        </w:tc>
        <w:tc>
          <w:tcPr>
            <w:tcW w:w="732"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center"/>
              <w:rPr/>
            </w:pPr>
            <w:r>
              <w:rPr/>
              <w:t> </w:t>
            </w:r>
          </w:p>
        </w:tc>
        <w:tc>
          <w:tcPr>
            <w:tcW w:w="584" w:type="dxa"/>
            <w:tcBorders/>
            <w:vAlign w:val="center"/>
          </w:tcPr>
          <w:p>
            <w:pPr>
              <w:pStyle w:val="TableContents"/>
              <w:bidi w:val="0"/>
              <w:spacing w:before="0" w:after="283"/>
              <w:jc w:val="center"/>
              <w:rPr/>
            </w:pPr>
            <w:r>
              <w:rPr/>
              <w:t>6/21/23</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hyperlink w:anchor="ex_535444.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hyperlink w:anchor="ex_535445.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hyperlink w:anchor="ex_535446.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hyperlink w:anchor="ex_535447.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r>
              <w:rPr/>
              <w:t>104 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 as of </w:t>
      </w:r>
      <w:r>
        <w:rPr>
          <w:rFonts w:ascii="Times New Roman;Times;serif" w:hAnsi="Times New Roman;Times;serif"/>
          <w:sz w:val="20"/>
          <w:shd w:fill="FFFFFF" w:val="clear"/>
        </w:rPr>
        <w:t>June 30, 2023</w:t>
      </w:r>
      <w:r>
        <w:rPr>
          <w:rFonts w:ascii="Times New Roman;Times;serif" w:hAnsi="Times New Roman;Times;serif"/>
          <w:sz w:val="20"/>
        </w:rPr>
        <w:t xml:space="preserve"> and March 31, 2023 (ii) Condensed Statements of Operations and Income for the three months ended </w:t>
      </w:r>
      <w:r>
        <w:rPr>
          <w:rFonts w:ascii="Times New Roman;Times;serif" w:hAnsi="Times New Roman;Times;serif"/>
          <w:sz w:val="20"/>
          <w:shd w:fill="FFFFFF" w:val="clear"/>
        </w:rPr>
        <w:t>June 30, 2023</w:t>
      </w:r>
      <w:r>
        <w:rPr>
          <w:rFonts w:ascii="Times New Roman;Times;serif" w:hAnsi="Times New Roman;Times;serif"/>
          <w:sz w:val="20"/>
        </w:rPr>
        <w:t xml:space="preserve"> and 2022, (iii) Condensed Consolidated Statements of Comprehensive (Loss) Income for the three months ended </w:t>
      </w:r>
      <w:r>
        <w:rPr>
          <w:rFonts w:ascii="Times New Roman;Times;serif" w:hAnsi="Times New Roman;Times;serif"/>
          <w:sz w:val="20"/>
          <w:shd w:fill="FFFFFF" w:val="clear"/>
        </w:rPr>
        <w:t>June 30, 2023</w:t>
      </w:r>
      <w:r>
        <w:rPr>
          <w:rFonts w:ascii="Times New Roman;Times;serif" w:hAnsi="Times New Roman;Times;serif"/>
          <w:sz w:val="20"/>
        </w:rPr>
        <w:t xml:space="preserve"> and 2022, (iv) Condensed Consolidated Statements of Cash Flows for the three months ended </w:t>
      </w:r>
      <w:r>
        <w:rPr>
          <w:rFonts w:ascii="Times New Roman;Times;serif" w:hAnsi="Times New Roman;Times;serif"/>
          <w:sz w:val="20"/>
          <w:shd w:fill="FFFFFF" w:val="clear"/>
        </w:rPr>
        <w:t>June 30, 2023</w:t>
      </w:r>
      <w:r>
        <w:rPr>
          <w:rFonts w:ascii="Times New Roman;Times;serif" w:hAnsi="Times New Roman;Times;serif"/>
          <w:sz w:val="20"/>
        </w:rPr>
        <w:t xml:space="preserve"> and 2022, and (v)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8"/>
        <w:gridCol w:w="1407"/>
        <w:gridCol w:w="320"/>
        <w:gridCol w:w="8030"/>
      </w:tblGrid>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83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left"/>
              <w:rPr/>
            </w:pPr>
            <w:r>
              <w:rPr/>
              <w:t> </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8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07" w:type="dxa"/>
            <w:tcBorders/>
            <w:vAlign w:val="center"/>
          </w:tcPr>
          <w:p>
            <w:pPr>
              <w:pStyle w:val="TableContents"/>
              <w:bidi w:val="0"/>
              <w:spacing w:before="0" w:after="283"/>
              <w:jc w:val="left"/>
              <w:rPr/>
            </w:pPr>
            <w:r>
              <w:rPr/>
              <w:t>August 9, 2023</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31 </w:t>
      </w:r>
    </w:p>
    <w:p>
      <w:pPr>
        <w:pStyle w:val="TextBody"/>
        <w:bidi w:val="0"/>
        <w:spacing w:before="0" w:after="0"/>
        <w:ind w:left="0" w:right="0" w:hanging="0"/>
        <w:jc w:val="right"/>
        <w:rPr>
          <w:rFonts w:ascii="Times New Roman;Times;serif" w:hAnsi="Times New Roman;Times;serif"/>
          <w:b/>
          <w:sz w:val="20"/>
        </w:rPr>
      </w:pPr>
      <w:bookmarkStart w:id="17" w:name="ex_535444.htm"/>
      <w:bookmarkStart w:id="18" w:name="ksex_535444"/>
      <w:bookmarkEnd w:id="17"/>
      <w:bookmarkEnd w:id="18"/>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4205" w:type="dxa"/>
        <w:jc w:val="left"/>
        <w:tblInd w:w="0" w:type="dxa"/>
        <w:tblLayout w:type="fixed"/>
        <w:tblCellMar>
          <w:top w:w="0" w:type="dxa"/>
          <w:left w:w="0" w:type="dxa"/>
          <w:bottom w:w="28" w:type="dxa"/>
          <w:right w:w="0" w:type="dxa"/>
        </w:tblCellMar>
      </w:tblPr>
      <w:tblGrid>
        <w:gridCol w:w="455"/>
        <w:gridCol w:w="149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90" w:type="dxa"/>
            <w:tcBorders>
              <w:bottom w:val="single" w:sz="2" w:space="0" w:color="000000"/>
            </w:tcBorders>
            <w:vAlign w:val="center"/>
          </w:tcPr>
          <w:p>
            <w:pPr>
              <w:pStyle w:val="TableContents"/>
              <w:bidi w:val="0"/>
              <w:spacing w:before="0" w:after="283"/>
              <w:jc w:val="left"/>
              <w:rPr/>
            </w:pPr>
            <w:r>
              <w:rPr/>
              <w:t>August 9, 2023</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9" w:name="ex_535445.htm"/>
      <w:bookmarkStart w:id="20" w:name="ksex_535445"/>
      <w:bookmarkEnd w:id="19"/>
      <w:bookmarkEnd w:id="20"/>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205" w:type="dxa"/>
        <w:jc w:val="left"/>
        <w:tblInd w:w="0" w:type="dxa"/>
        <w:tblLayout w:type="fixed"/>
        <w:tblCellMar>
          <w:top w:w="0" w:type="dxa"/>
          <w:left w:w="0" w:type="dxa"/>
          <w:bottom w:w="28" w:type="dxa"/>
          <w:right w:w="0" w:type="dxa"/>
        </w:tblCellMar>
      </w:tblPr>
      <w:tblGrid>
        <w:gridCol w:w="455"/>
        <w:gridCol w:w="149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90" w:type="dxa"/>
            <w:tcBorders>
              <w:bottom w:val="single" w:sz="2" w:space="0" w:color="000000"/>
            </w:tcBorders>
            <w:vAlign w:val="center"/>
          </w:tcPr>
          <w:p>
            <w:pPr>
              <w:pStyle w:val="TableContents"/>
              <w:bidi w:val="0"/>
              <w:spacing w:before="0" w:after="283"/>
              <w:jc w:val="left"/>
              <w:rPr/>
            </w:pPr>
            <w:r>
              <w:rPr/>
              <w:t>August 9, 2023</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1" w:name="ex_535446.htm"/>
      <w:bookmarkStart w:id="22" w:name="ksex_535446"/>
      <w:bookmarkEnd w:id="21"/>
      <w:bookmarkEnd w:id="22"/>
      <w:r>
        <w:rPr>
          <w:rFonts w:ascii="Times New Roman;Times;serif" w:hAnsi="Times New Roman;Times;serif"/>
          <w:b/>
          <w:sz w:val="20"/>
        </w:rPr>
        <w:t>Exhibit 32.1</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3" w:name="led11848F20218221632321164177"/>
      <w:bookmarkEnd w:id="23"/>
      <w:r>
        <w:rPr>
          <w:rFonts w:ascii="Times New Roman;Times;serif" w:hAnsi="Times New Roman;Times;serif"/>
          <w:sz w:val="20"/>
        </w:rPr>
        <w:t>June 30, 2023,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4205" w:type="dxa"/>
        <w:jc w:val="left"/>
        <w:tblInd w:w="0" w:type="dxa"/>
        <w:tblLayout w:type="fixed"/>
        <w:tblCellMar>
          <w:top w:w="0" w:type="dxa"/>
          <w:left w:w="0" w:type="dxa"/>
          <w:bottom w:w="0" w:type="dxa"/>
          <w:right w:w="0" w:type="dxa"/>
        </w:tblCellMar>
      </w:tblPr>
      <w:tblGrid>
        <w:gridCol w:w="455"/>
        <w:gridCol w:w="1490"/>
        <w:gridCol w:w="320"/>
        <w:gridCol w:w="1940"/>
      </w:tblGrid>
      <w:tr>
        <w:trPr/>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90" w:type="dxa"/>
            <w:tcBorders/>
            <w:vAlign w:val="center"/>
          </w:tcPr>
          <w:p>
            <w:pPr>
              <w:pStyle w:val="TableContents"/>
              <w:bidi w:val="0"/>
              <w:spacing w:before="0" w:after="283"/>
              <w:jc w:val="left"/>
              <w:rPr/>
            </w:pPr>
            <w:r>
              <w:rPr/>
              <w:t>August 9, 2023</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55"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55" w:type="dxa"/>
            <w:tcBorders/>
            <w:vAlign w:val="center"/>
          </w:tcPr>
          <w:p>
            <w:pPr>
              <w:pStyle w:val="TableContents"/>
              <w:bidi w:val="0"/>
              <w:spacing w:before="0" w:after="0"/>
              <w:ind w:left="0" w:right="0" w:hanging="0"/>
              <w:jc w:val="left"/>
              <w:rPr/>
            </w:pPr>
            <w:r>
              <w:rPr/>
              <w:t> </w:t>
            </w:r>
          </w:p>
        </w:tc>
        <w:tc>
          <w:tcPr>
            <w:tcW w:w="149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4" w:name="ex_535447.htm"/>
      <w:bookmarkStart w:id="25" w:name="ksex_535447"/>
      <w:bookmarkEnd w:id="24"/>
      <w:bookmarkEnd w:id="25"/>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26" w:name="led11848F20217171629241168204"/>
      <w:bookmarkEnd w:id="26"/>
      <w:r>
        <w:rPr>
          <w:rFonts w:ascii="Times New Roman;Times;serif" w:hAnsi="Times New Roman;Times;serif"/>
          <w:sz w:val="20"/>
        </w:rPr>
        <w:t>June 30, 2023,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205" w:type="dxa"/>
        <w:jc w:val="left"/>
        <w:tblInd w:w="0" w:type="dxa"/>
        <w:tblLayout w:type="fixed"/>
        <w:tblCellMar>
          <w:top w:w="0" w:type="dxa"/>
          <w:left w:w="0" w:type="dxa"/>
          <w:bottom w:w="28" w:type="dxa"/>
          <w:right w:w="0" w:type="dxa"/>
        </w:tblCellMar>
      </w:tblPr>
      <w:tblGrid>
        <w:gridCol w:w="455"/>
        <w:gridCol w:w="149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90" w:type="dxa"/>
            <w:tcBorders>
              <w:bottom w:val="single" w:sz="2" w:space="0" w:color="000000"/>
            </w:tcBorders>
            <w:vAlign w:val="center"/>
          </w:tcPr>
          <w:p>
            <w:pPr>
              <w:pStyle w:val="TableContents"/>
              <w:bidi w:val="0"/>
              <w:spacing w:before="0" w:after="283"/>
              <w:jc w:val="left"/>
              <w:rPr/>
            </w:pPr>
            <w:r>
              <w:rPr/>
              <w:t>August 9, 2023</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49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0807/000119312523171201/d497807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16989</Words>
  <Characters>92620</Characters>
  <CharactersWithSpaces>111421</CharactersWithSpaces>
  <Paragraphs>5368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