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175895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22" w:lineRule="exact"/>
        <w:rPr>
          <w:sz w:val="20"/>
          <w:szCs w:val="20"/>
          <w:color w:val="auto"/>
        </w:rPr>
      </w:pPr>
    </w:p>
    <w:p>
      <w:pPr>
        <w:ind w:left="360" w:hanging="291"/>
        <w:spacing w:after="0"/>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0"/>
          <w:szCs w:val="20"/>
          <w:color w:val="auto"/>
        </w:rPr>
      </w:pPr>
    </w:p>
    <w:p>
      <w:pPr>
        <w:ind w:left="360"/>
        <w:spacing w:after="0"/>
        <w:tabs>
          <w:tab w:leader="none" w:pos="3640" w:val="left"/>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American Superconductor Corporation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7320" w:type="dxa"/>
            <w:vAlign w:val="bottom"/>
            <w:gridSpan w:val="5"/>
          </w:tcPr>
          <w:p>
            <w:pPr>
              <w:ind w:left="2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53"/>
        </w:trPr>
        <w:tc>
          <w:tcPr>
            <w:tcW w:w="4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560" w:type="dxa"/>
            <w:vAlign w:val="bottom"/>
          </w:tcPr>
          <w:p>
            <w:pPr>
              <w:spacing w:after="0"/>
              <w:rPr>
                <w:sz w:val="21"/>
                <w:szCs w:val="21"/>
                <w:color w:val="auto"/>
              </w:rPr>
            </w:pPr>
          </w:p>
        </w:tc>
      </w:tr>
      <w:tr>
        <w:trPr>
          <w:trHeight w:val="358"/>
        </w:trPr>
        <w:tc>
          <w:tcPr>
            <w:tcW w:w="4100" w:type="dxa"/>
            <w:vAlign w:val="bottom"/>
          </w:tcPr>
          <w:p>
            <w:pPr>
              <w:jc w:val="center"/>
              <w:ind w:left="1448"/>
              <w:spacing w:after="0"/>
              <w:rPr>
                <w:sz w:val="20"/>
                <w:szCs w:val="20"/>
                <w:color w:val="auto"/>
              </w:rPr>
            </w:pPr>
            <w:r>
              <w:rPr>
                <w:rFonts w:ascii="Arial" w:cs="Arial" w:eastAsia="Arial" w:hAnsi="Arial"/>
                <w:sz w:val="14"/>
                <w:szCs w:val="14"/>
                <w:b w:val="1"/>
                <w:bCs w:val="1"/>
                <w:color w:val="auto"/>
                <w:w w:val="94"/>
              </w:rPr>
              <w:t>Delaware</w:t>
            </w:r>
          </w:p>
        </w:tc>
        <w:tc>
          <w:tcPr>
            <w:tcW w:w="7320" w:type="dxa"/>
            <w:vAlign w:val="bottom"/>
            <w:gridSpan w:val="5"/>
          </w:tcPr>
          <w:p>
            <w:pPr>
              <w:jc w:val="right"/>
              <w:ind w:right="2368"/>
              <w:spacing w:after="0"/>
              <w:rPr>
                <w:sz w:val="20"/>
                <w:szCs w:val="20"/>
                <w:color w:val="auto"/>
              </w:rPr>
            </w:pPr>
            <w:r>
              <w:rPr>
                <w:rFonts w:ascii="Arial" w:cs="Arial" w:eastAsia="Arial" w:hAnsi="Arial"/>
                <w:sz w:val="14"/>
                <w:szCs w:val="14"/>
                <w:b w:val="1"/>
                <w:bCs w:val="1"/>
                <w:color w:val="auto"/>
              </w:rPr>
              <w:t>04-2959321</w:t>
            </w:r>
          </w:p>
        </w:tc>
      </w:tr>
      <w:tr>
        <w:trPr>
          <w:trHeight w:val="133"/>
        </w:trPr>
        <w:tc>
          <w:tcPr>
            <w:tcW w:w="4100" w:type="dxa"/>
            <w:vAlign w:val="bottom"/>
            <w:tcBorders>
              <w:top w:val="single" w:sz="8" w:color="auto"/>
            </w:tcBorders>
          </w:tcPr>
          <w:p>
            <w:pPr>
              <w:jc w:val="center"/>
              <w:ind w:left="1428"/>
              <w:spacing w:after="0" w:line="133"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560" w:type="dxa"/>
            <w:vAlign w:val="bottom"/>
            <w:tcBorders>
              <w:top w:val="single" w:sz="8" w:color="auto"/>
            </w:tcBorders>
          </w:tcPr>
          <w:p>
            <w:pPr>
              <w:jc w:val="center"/>
              <w:ind w:right="968"/>
              <w:spacing w:after="0" w:line="13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left="1448"/>
              <w:spacing w:after="0"/>
              <w:rPr>
                <w:sz w:val="20"/>
                <w:szCs w:val="20"/>
                <w:color w:val="auto"/>
              </w:rPr>
            </w:pPr>
            <w:r>
              <w:rPr>
                <w:rFonts w:ascii="Arial" w:cs="Arial" w:eastAsia="Arial" w:hAnsi="Arial"/>
                <w:sz w:val="14"/>
                <w:szCs w:val="14"/>
                <w:b w:val="1"/>
                <w:bCs w:val="1"/>
                <w:color w:val="auto"/>
                <w:w w:val="93"/>
              </w:rPr>
              <w:t>incorporation or organization)</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6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Identification No.)</w:t>
            </w:r>
          </w:p>
        </w:tc>
      </w:tr>
      <w:tr>
        <w:trPr>
          <w:trHeight w:val="282"/>
        </w:trPr>
        <w:tc>
          <w:tcPr>
            <w:tcW w:w="4100" w:type="dxa"/>
            <w:vAlign w:val="bottom"/>
          </w:tcPr>
          <w:p>
            <w:pPr>
              <w:jc w:val="center"/>
              <w:ind w:left="1448"/>
              <w:spacing w:after="0"/>
              <w:rPr>
                <w:sz w:val="20"/>
                <w:szCs w:val="20"/>
                <w:color w:val="auto"/>
              </w:rPr>
            </w:pPr>
            <w:r>
              <w:rPr>
                <w:rFonts w:ascii="Arial" w:cs="Arial" w:eastAsia="Arial" w:hAnsi="Arial"/>
                <w:sz w:val="14"/>
                <w:szCs w:val="14"/>
                <w:b w:val="1"/>
                <w:bCs w:val="1"/>
                <w:color w:val="auto"/>
                <w:w w:val="89"/>
              </w:rPr>
              <w:t>64 Jackson Road, Devens, Massachusetts</w:t>
            </w:r>
          </w:p>
        </w:tc>
        <w:tc>
          <w:tcPr>
            <w:tcW w:w="7320" w:type="dxa"/>
            <w:vAlign w:val="bottom"/>
            <w:gridSpan w:val="5"/>
          </w:tcPr>
          <w:p>
            <w:pPr>
              <w:jc w:val="right"/>
              <w:ind w:right="2548"/>
              <w:spacing w:after="0"/>
              <w:rPr>
                <w:sz w:val="20"/>
                <w:szCs w:val="20"/>
                <w:color w:val="auto"/>
              </w:rPr>
            </w:pPr>
            <w:r>
              <w:rPr>
                <w:rFonts w:ascii="Arial" w:cs="Arial" w:eastAsia="Arial" w:hAnsi="Arial"/>
                <w:sz w:val="14"/>
                <w:szCs w:val="14"/>
                <w:b w:val="1"/>
                <w:bCs w:val="1"/>
                <w:color w:val="auto"/>
              </w:rPr>
              <w:t>01434</w:t>
            </w:r>
          </w:p>
        </w:tc>
      </w:tr>
      <w:tr>
        <w:trPr>
          <w:trHeight w:val="180"/>
        </w:trPr>
        <w:tc>
          <w:tcPr>
            <w:tcW w:w="4100" w:type="dxa"/>
            <w:vAlign w:val="bottom"/>
            <w:tcBorders>
              <w:top w:val="single" w:sz="8" w:color="auto"/>
            </w:tcBorders>
          </w:tcPr>
          <w:p>
            <w:pPr>
              <w:jc w:val="center"/>
              <w:ind w:left="14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tcPr>
          <w:p>
            <w:pPr>
              <w:jc w:val="center"/>
              <w:ind w:right="948"/>
              <w:spacing w:after="0"/>
              <w:rPr>
                <w:sz w:val="20"/>
                <w:szCs w:val="20"/>
                <w:color w:val="auto"/>
              </w:rPr>
            </w:pPr>
            <w:r>
              <w:rPr>
                <w:rFonts w:ascii="Arial" w:cs="Arial" w:eastAsia="Arial" w:hAnsi="Arial"/>
                <w:sz w:val="14"/>
                <w:szCs w:val="14"/>
                <w:b w:val="1"/>
                <w:bCs w:val="1"/>
                <w:color w:val="auto"/>
                <w:w w:val="95"/>
              </w:rPr>
              <w:t>(Zip Code)</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(978) 842-3000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194945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0" w:lineRule="exact"/>
        <w:rPr>
          <w:sz w:val="20"/>
          <w:szCs w:val="20"/>
          <w:color w:val="auto"/>
        </w:rPr>
      </w:pPr>
    </w:p>
    <w:p>
      <w:pPr>
        <w:jc w:val="both"/>
        <w:ind w:firstLine="366"/>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0"/>
          <w:szCs w:val="20"/>
          <w:color w:val="auto"/>
        </w:rPr>
      </w:pPr>
    </w:p>
    <w:p>
      <w:pPr>
        <w:jc w:val="both"/>
        <w:ind w:firstLine="363"/>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jc w:val="both"/>
        <w:ind w:right="20" w:firstLine="399"/>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18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20" w:type="dxa"/>
            <w:vAlign w:val="bottom"/>
          </w:tcPr>
          <w:p>
            <w:pPr>
              <w:ind w:left="420"/>
              <w:spacing w:after="0"/>
              <w:rPr>
                <w:sz w:val="20"/>
                <w:szCs w:val="20"/>
                <w:color w:val="auto"/>
              </w:rPr>
            </w:pPr>
            <w:r>
              <w:rPr>
                <w:rFonts w:ascii="Arial" w:cs="Arial" w:eastAsia="Arial" w:hAnsi="Arial"/>
                <w:sz w:val="14"/>
                <w:szCs w:val="14"/>
                <w:color w:val="auto"/>
              </w:rPr>
              <w:t>Accelerated filer o</w:t>
            </w:r>
          </w:p>
        </w:tc>
        <w:tc>
          <w:tcPr>
            <w:tcW w:w="4240" w:type="dxa"/>
            <w:vAlign w:val="bottom"/>
          </w:tcPr>
          <w:p>
            <w:pPr>
              <w:jc w:val="center"/>
              <w:ind w:right="308"/>
              <w:spacing w:after="0"/>
              <w:rPr>
                <w:sz w:val="20"/>
                <w:szCs w:val="20"/>
                <w:color w:val="auto"/>
              </w:rPr>
            </w:pPr>
            <w:r>
              <w:rPr>
                <w:rFonts w:ascii="Arial" w:cs="Arial" w:eastAsia="Arial" w:hAnsi="Arial"/>
                <w:sz w:val="14"/>
                <w:szCs w:val="14"/>
                <w:color w:val="auto"/>
                <w:w w:val="95"/>
              </w:rPr>
              <w:t>Non-accelerated filer o</w:t>
            </w:r>
          </w:p>
        </w:tc>
        <w:tc>
          <w:tcPr>
            <w:tcW w:w="2640" w:type="dxa"/>
            <w:vAlign w:val="bottom"/>
          </w:tcPr>
          <w:p>
            <w:pPr>
              <w:ind w:left="960"/>
              <w:spacing w:after="0"/>
              <w:rPr>
                <w:sz w:val="20"/>
                <w:szCs w:val="20"/>
                <w:color w:val="auto"/>
              </w:rPr>
            </w:pPr>
            <w:r>
              <w:rPr>
                <w:rFonts w:ascii="Arial" w:cs="Arial" w:eastAsia="Arial" w:hAnsi="Arial"/>
                <w:sz w:val="14"/>
                <w:szCs w:val="14"/>
                <w:color w:val="auto"/>
                <w:w w:val="92"/>
              </w:rPr>
              <w:t>Smaller reporting company o</w:t>
            </w:r>
          </w:p>
        </w:tc>
      </w:tr>
      <w:tr>
        <w:trPr>
          <w:trHeight w:val="144"/>
        </w:trPr>
        <w:tc>
          <w:tcPr>
            <w:tcW w:w="1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40" w:type="dxa"/>
            <w:vAlign w:val="bottom"/>
          </w:tcPr>
          <w:p>
            <w:pPr>
              <w:jc w:val="center"/>
              <w:ind w:right="268"/>
              <w:spacing w:after="0" w:line="144" w:lineRule="exact"/>
              <w:rPr>
                <w:sz w:val="20"/>
                <w:szCs w:val="20"/>
                <w:color w:val="auto"/>
              </w:rPr>
            </w:pPr>
            <w:r>
              <w:rPr>
                <w:rFonts w:ascii="Arial" w:cs="Arial" w:eastAsia="Arial" w:hAnsi="Arial"/>
                <w:sz w:val="14"/>
                <w:szCs w:val="14"/>
                <w:color w:val="auto"/>
                <w:w w:val="94"/>
              </w:rPr>
              <w:t>(Do not check if a smaller reporting company)</w:t>
            </w:r>
          </w:p>
        </w:tc>
        <w:tc>
          <w:tcPr>
            <w:tcW w:w="2640" w:type="dxa"/>
            <w:vAlign w:val="bottom"/>
          </w:tcPr>
          <w:p>
            <w:pPr>
              <w:spacing w:after="0"/>
              <w:rPr>
                <w:sz w:val="12"/>
                <w:szCs w:val="12"/>
                <w:color w:val="auto"/>
              </w:rPr>
            </w:pPr>
          </w:p>
        </w:tc>
      </w:tr>
    </w:tbl>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5800" w:type="dxa"/>
            <w:vAlign w:val="bottom"/>
            <w:gridSpan w:val="2"/>
          </w:tcPr>
          <w:p>
            <w:pPr>
              <w:jc w:val="right"/>
              <w:ind w:right="2408"/>
              <w:spacing w:after="0"/>
              <w:rPr>
                <w:sz w:val="20"/>
                <w:szCs w:val="20"/>
                <w:color w:val="auto"/>
              </w:rPr>
            </w:pPr>
            <w:r>
              <w:rPr>
                <w:rFonts w:ascii="Arial" w:cs="Arial" w:eastAsia="Arial" w:hAnsi="Arial"/>
                <w:sz w:val="14"/>
                <w:szCs w:val="14"/>
                <w:color w:val="auto"/>
              </w:rPr>
              <w:t>45,554,877</w:t>
            </w:r>
          </w:p>
        </w:tc>
      </w:tr>
      <w:tr>
        <w:trPr>
          <w:trHeight w:val="18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15"/>
                <w:szCs w:val="15"/>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as of August 2, 2010</w:t>
            </w:r>
          </w:p>
        </w:tc>
      </w:tr>
      <w:tr>
        <w:trPr>
          <w:trHeight w:val="165"/>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28"/>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618"/>
        </w:trPr>
        <w:tc>
          <w:tcPr>
            <w:tcW w:w="5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2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560" w:type="dxa"/>
            <w:vAlign w:val="bottom"/>
            <w:gridSpan w:val="2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40" w:type="dxa"/>
            <w:vAlign w:val="bottom"/>
            <w:tcBorders>
              <w:top w:val="single" w:sz="8" w:color="0000EE"/>
            </w:tcBorders>
            <w:gridSpan w:val="5"/>
          </w:tcPr>
          <w:p>
            <w:pPr>
              <w:spacing w:after="0"/>
              <w:rPr>
                <w:sz w:val="24"/>
                <w:szCs w:val="24"/>
                <w:color w:val="auto"/>
              </w:rPr>
            </w:pPr>
          </w:p>
        </w:tc>
        <w:tc>
          <w:tcPr>
            <w:tcW w:w="1800" w:type="dxa"/>
            <w:vAlign w:val="bottom"/>
            <w:tcBorders>
              <w:top w:val="single" w:sz="8" w:color="0000EE"/>
            </w:tcBorders>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400" w:type="dxa"/>
            <w:vAlign w:val="bottom"/>
            <w:gridSpan w:val="8"/>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as of June 30, 2010 and March 31, 2010</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9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Income for the three months ended June 30, 2010 and 2009</w:t>
              </w:r>
            </w:hyperlink>
          </w:p>
        </w:tc>
        <w:tc>
          <w:tcPr>
            <w:tcW w:w="1260" w:type="dxa"/>
            <w:vAlign w:val="bottom"/>
            <w:gridSpan w:val="3"/>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0" w:type="dxa"/>
            <w:vAlign w:val="bottom"/>
            <w:gridSpan w:val="14"/>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Statements of Comprehensive Income (Loss) for the three months ended June 30,</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2010 and 2009</w:t>
              </w:r>
            </w:hyperlink>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0" w:type="dxa"/>
            <w:vAlign w:val="bottom"/>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Unaudited Condensed Consolidated Statements of Cash Flows for the three months ended June 30, 2010 and 2009</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4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960" w:type="dxa"/>
            <w:vAlign w:val="bottom"/>
            <w:gridSpan w:val="2"/>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820" w:type="dxa"/>
            <w:vAlign w:val="bottom"/>
            <w:gridSpan w:val="4"/>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820" w:type="dxa"/>
            <w:vAlign w:val="bottom"/>
            <w:gridSpan w:val="4"/>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4840" w:type="dxa"/>
            <w:vAlign w:val="bottom"/>
            <w:gridSpan w:val="7"/>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840" w:type="dxa"/>
            <w:vAlign w:val="bottom"/>
            <w:gridSpan w:val="5"/>
          </w:tcPr>
          <w:p>
            <w:pPr>
              <w:spacing w:after="0"/>
              <w:rPr>
                <w:sz w:val="24"/>
                <w:szCs w:val="24"/>
                <w:color w:val="auto"/>
              </w:rPr>
            </w:pPr>
          </w:p>
        </w:tc>
        <w:tc>
          <w:tcPr>
            <w:tcW w:w="920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21"/>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tcBorders>
              <w:top w:val="single" w:sz="8" w:color="0000EE"/>
            </w:tcBorders>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150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700" w:type="dxa"/>
            <w:vAlign w:val="bottom"/>
            <w:gridSpan w:val="10"/>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72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300" w:type="dxa"/>
            <w:vAlign w:val="bottom"/>
            <w:gridSpan w:val="12"/>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Signature</w:t>
              </w:r>
            </w:hyperlink>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EX-31.1</w:t>
            </w:r>
          </w:p>
        </w:tc>
        <w:tc>
          <w:tcPr>
            <w:tcW w:w="7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EX-31.2</w:t>
            </w:r>
          </w:p>
        </w:tc>
        <w:tc>
          <w:tcPr>
            <w:tcW w:w="7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EX-32.1</w:t>
            </w:r>
          </w:p>
        </w:tc>
        <w:tc>
          <w:tcPr>
            <w:tcW w:w="7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4140"/>
        <w:spacing w:after="0"/>
        <w:tabs>
          <w:tab w:leader="none" w:pos="5000" w:val="left"/>
        </w:tabs>
        <w:rPr>
          <w:sz w:val="20"/>
          <w:szCs w:val="20"/>
          <w:color w:val="auto"/>
        </w:rPr>
      </w:pPr>
      <w:r>
        <w:rPr>
          <w:rFonts w:ascii="Arial" w:cs="Arial" w:eastAsia="Arial" w:hAnsi="Arial"/>
          <w:sz w:val="18"/>
          <w:szCs w:val="18"/>
          <w:b w:val="1"/>
          <w:bCs w:val="1"/>
          <w:color w:val="auto"/>
        </w:rPr>
        <w:t>ITEM 1.</w:t>
        <w:tab/>
        <w:t>FINANCIAL STATEMENTS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6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4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64,844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44,632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90,212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41,022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16,315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5,265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264,312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70,191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37,934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8,016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5,961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3,652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19,967</w:t>
            </w: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410,033</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400,184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79,113</w:t>
            </w:r>
          </w:p>
        </w:tc>
        <w:tc>
          <w:tcPr>
            <w:tcW w:w="4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3,360</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107,745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104,760</w:t>
            </w: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15,241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124,068</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119,219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706,741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(401,719)</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285,965</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280,965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410,033</w:t>
            </w:r>
          </w:p>
        </w:tc>
        <w:tc>
          <w:tcPr>
            <w:tcW w:w="4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960" w:type="dxa"/>
            <w:vAlign w:val="bottom"/>
            <w:gridSpan w:val="4"/>
          </w:tcPr>
          <w:p>
            <w:pPr>
              <w:ind w:left="1840"/>
              <w:spacing w:after="0"/>
              <w:rPr>
                <w:sz w:val="20"/>
                <w:szCs w:val="20"/>
                <w:color w:val="auto"/>
              </w:rPr>
            </w:pPr>
            <w:r>
              <w:rPr>
                <w:rFonts w:ascii="Arial" w:cs="Arial" w:eastAsia="Arial" w:hAnsi="Arial"/>
                <w:sz w:val="18"/>
                <w:szCs w:val="18"/>
                <w:color w:val="auto"/>
                <w:w w:val="94"/>
              </w:rPr>
              <w:t>The accompanying notes are an integral part of the unaudited condensed consolidated financial statements.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gridSpan w:val="2"/>
          </w:tcPr>
          <w:p>
            <w:pPr>
              <w:jc w:val="right"/>
              <w:ind w:right="22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97,209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73,000</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58,224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50,417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7,335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15,183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10,885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Amortization of acquisition related intangibles</w:t>
            </w:r>
          </w:p>
        </w:tc>
        <w:tc>
          <w:tcPr>
            <w:tcW w:w="2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Restructuring and impairments</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Total cost and operating expenses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81,128</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66,609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16,081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16,427</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7,257</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9,170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0.20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45,242</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43,789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45,983</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44,533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18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9,170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Other comprehensive income (loss)</w:t>
            </w:r>
          </w:p>
        </w:tc>
        <w:tc>
          <w:tcPr>
            <w:tcW w:w="34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Unrealized losses on investments</w:t>
            </w:r>
          </w:p>
        </w:tc>
        <w:tc>
          <w:tcPr>
            <w:tcW w:w="3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4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Comprehensive income (loss)</w:t>
            </w:r>
          </w:p>
        </w:tc>
        <w:tc>
          <w:tcPr>
            <w:tcW w:w="34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480" w:type="dxa"/>
            <w:vAlign w:val="bottom"/>
          </w:tcPr>
          <w:p>
            <w:pPr>
              <w:spacing w:after="0"/>
              <w:rPr>
                <w:sz w:val="24"/>
                <w:szCs w:val="2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$5,759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60" w:type="dxa"/>
            <w:vAlign w:val="bottom"/>
          </w:tcPr>
          <w:p>
            <w:pPr>
              <w:spacing w:after="0"/>
              <w:rPr>
                <w:sz w:val="24"/>
                <w:szCs w:val="24"/>
                <w:color w:val="auto"/>
              </w:rPr>
            </w:pPr>
          </w:p>
        </w:tc>
        <w:tc>
          <w:tcPr>
            <w:tcW w:w="8440" w:type="dxa"/>
            <w:vAlign w:val="bottom"/>
            <w:gridSpan w:val="4"/>
          </w:tcPr>
          <w:p>
            <w:pPr>
              <w:jc w:val="center"/>
              <w:ind w:left="570"/>
              <w:spacing w:after="0"/>
              <w:rPr>
                <w:sz w:val="20"/>
                <w:szCs w:val="20"/>
                <w:color w:val="auto"/>
              </w:rPr>
            </w:pPr>
            <w:r>
              <w:rPr>
                <w:rFonts w:ascii="Arial" w:cs="Arial" w:eastAsia="Arial" w:hAnsi="Arial"/>
                <w:sz w:val="18"/>
                <w:szCs w:val="18"/>
                <w:color w:val="auto"/>
                <w:w w:val="89"/>
              </w:rPr>
              <w:t>The accompanying notes are an integral part of the unaudited condensed consolidated financial statements.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20" w:type="dxa"/>
            <w:vAlign w:val="bottom"/>
          </w:tcPr>
          <w:p>
            <w:pPr>
              <w:jc w:val="right"/>
              <w:ind w:right="2514"/>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9,170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used in operations: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Stock-based compensation expense—non-employee</w:t>
            </w: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non-cash items</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Changes in operating asset and liability accounts: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(35,848)</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00"/>
              <w:spacing w:after="0"/>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(5,654)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(1,616)</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(2,140)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revenue</w:t>
            </w: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8,073</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(18,479)</w:t>
            </w:r>
          </w:p>
        </w:tc>
        <w:tc>
          <w:tcPr>
            <w:tcW w:w="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Purchase of property, plant and equipment</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(8,185)</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 of marketable securities</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(15,061)</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Proceeds from the maturity of marketable securities</w:t>
            </w: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24,189</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 in restricted cash</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Purchase of intangible assets</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 in other assets</w:t>
            </w: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Proceeds from exercise of employee stock options and ESPP</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561</w:t>
            </w:r>
          </w:p>
        </w:tc>
        <w:tc>
          <w:tcPr>
            <w:tcW w:w="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439"/>
        </w:trPr>
        <w:tc>
          <w:tcPr>
            <w:tcW w:w="8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(4,791)</w:t>
            </w:r>
          </w:p>
        </w:tc>
        <w:tc>
          <w:tcPr>
            <w:tcW w:w="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87,594</w:t>
            </w:r>
          </w:p>
        </w:tc>
        <w:tc>
          <w:tcPr>
            <w:tcW w:w="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70,674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66,783</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issuance of common stock</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Non-cash contingent consideration in connection with acquisitions</w:t>
            </w: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4,004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paid for income taxes</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21" w:lineRule="exact"/>
        <w:rPr>
          <w:sz w:val="20"/>
          <w:szCs w:val="20"/>
          <w:color w:val="auto"/>
        </w:rPr>
      </w:pPr>
    </w:p>
    <w:p>
      <w:pPr>
        <w:jc w:val="both"/>
        <w:ind w:firstLine="370"/>
        <w:spacing w:after="0" w:line="293"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renewable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57"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generally accepted accounting principles in the United States of America. The unaudited condensed consolidated financial statements, in the opinion of management, reflect all adjustments (consisting of normal recurring adjustments) necessary for a fair statement of the results for the interim periods ended June 30, 2010 and 2009 and the financial position at June 30, 2010. The unaudited condensed consolidated financial statements include the accounts of the Company and its wholly-owned subsidiaries. All significant intercompany balances and transactions are eliminated in consolidation. Certain reclassifications of prior year amounts have been made to conform to current year presentation.</w:t>
      </w:r>
    </w:p>
    <w:p>
      <w:pPr>
        <w:spacing w:after="0" w:line="74" w:lineRule="exact"/>
        <w:rPr>
          <w:sz w:val="20"/>
          <w:szCs w:val="20"/>
          <w:color w:val="auto"/>
        </w:rPr>
      </w:pPr>
    </w:p>
    <w:p>
      <w:pPr>
        <w:jc w:val="both"/>
        <w:ind w:firstLine="238"/>
        <w:spacing w:after="0" w:line="286" w:lineRule="auto"/>
        <w:rPr>
          <w:sz w:val="20"/>
          <w:szCs w:val="20"/>
          <w:color w:val="auto"/>
        </w:rPr>
      </w:pPr>
      <w:r>
        <w:rPr>
          <w:rFonts w:ascii="Arial" w:cs="Arial" w:eastAsia="Arial" w:hAnsi="Arial"/>
          <w:sz w:val="17"/>
          <w:szCs w:val="17"/>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2010 (fiscal 2009) which are contained in the Company’s Annual Report on Form 10-K, filed with the SEC on May 27,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82"/>
        <w:spacing w:after="0" w:line="255" w:lineRule="auto"/>
        <w:rPr>
          <w:sz w:val="20"/>
          <w:szCs w:val="20"/>
          <w:color w:val="auto"/>
        </w:rPr>
      </w:pPr>
      <w:r>
        <w:rPr>
          <w:rFonts w:ascii="Arial" w:cs="Arial" w:eastAsia="Arial" w:hAnsi="Arial"/>
          <w:sz w:val="18"/>
          <w:szCs w:val="18"/>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or third party evidence cannot be determined. The rules provide for the determination of the best estimate of selling price for separate deliverables and allows for the allocation of arrangement consideration using this relative selling price model. The guidance supersedes the prior multiple element revenue arrangement accounting rules that were previously used by the Company. The Company has adopted this guidance effective April 1, 2010. The adoption did not have a material impact on its financial condition or results of operations.</w:t>
      </w:r>
    </w:p>
    <w:p>
      <w:pPr>
        <w:spacing w:after="0" w:line="18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20" w:firstLine="269"/>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employee stock-based compensation expense by financial statement line item for the three months ended June 30, 2010 and 2009 (in thousands):</w:t>
      </w:r>
    </w:p>
    <w:p>
      <w:pPr>
        <w:spacing w:after="0" w:line="162"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42"/>
        </w:trPr>
        <w:tc>
          <w:tcPr>
            <w:tcW w:w="86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2010</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20" w:type="dxa"/>
            <w:vAlign w:val="bottom"/>
            <w:shd w:val="clear" w:color="auto" w:fill="CCEEFF"/>
          </w:tcPr>
          <w:p>
            <w:pPr>
              <w:spacing w:after="0"/>
              <w:rPr>
                <w:sz w:val="18"/>
                <w:szCs w:val="18"/>
                <w:color w:val="auto"/>
              </w:rPr>
            </w:pPr>
          </w:p>
        </w:tc>
      </w:tr>
      <w:tr>
        <w:trPr>
          <w:trHeight w:val="223"/>
        </w:trPr>
        <w:tc>
          <w:tcPr>
            <w:tcW w:w="8620" w:type="dxa"/>
            <w:vAlign w:val="bottom"/>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7"/>
          <w:szCs w:val="17"/>
          <w:color w:val="auto"/>
        </w:rPr>
        <w:t>During the three months ended June 30, 2010, the Company granted approximately 184,000 shares and 284,000 shares of stock options and restricted stock, respectively, to employees under the 2007 Stock Incentive Plan. The fair value of the grants made during the three months ended June 30, 2010 was $11.7 million. The restricted stock awards include approximately 83,000 shares of performance-based restricted stock, which will vest upon achievement of certain financial performance measurements. The remaining shares granted vest upon the passage of time, generally 3 years. For awards that vest upon the passage of time, expense is being recorded over the vesting period. At June 30, 2010, the Company determined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achievement of the performance measures is probable and as such, is recognizing the fair value of the performance-based awards over the estimated performance period of each award.</w:t>
      </w:r>
    </w:p>
    <w:p>
      <w:pPr>
        <w:spacing w:after="0" w:line="62"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estimated forfeitures, was $24.8 million at June 30, 2010. This expense will be recognized over a weighted-average expense period of 2.3 years.</w:t>
      </w:r>
    </w:p>
    <w:p>
      <w:pPr>
        <w:spacing w:after="0" w:line="62" w:lineRule="exact"/>
        <w:rPr>
          <w:sz w:val="20"/>
          <w:szCs w:val="20"/>
          <w:color w:val="auto"/>
        </w:rPr>
      </w:pPr>
    </w:p>
    <w:p>
      <w:pPr>
        <w:jc w:val="both"/>
        <w:ind w:firstLine="321"/>
        <w:spacing w:after="0" w:line="277" w:lineRule="auto"/>
        <w:rPr>
          <w:sz w:val="20"/>
          <w:szCs w:val="20"/>
          <w:color w:val="auto"/>
        </w:rPr>
      </w:pPr>
      <w:r>
        <w:rPr>
          <w:rFonts w:ascii="Arial" w:cs="Arial" w:eastAsia="Arial" w:hAnsi="Arial"/>
          <w:sz w:val="18"/>
          <w:szCs w:val="18"/>
          <w:color w:val="auto"/>
        </w:rPr>
        <w:t>The assumptions used in the Black-Scholes valuation model for stock options granted during the three months ended June 30, 2010 and 2009 are as follows:</w:t>
      </w:r>
    </w:p>
    <w:p>
      <w:pPr>
        <w:spacing w:after="0" w:line="162"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Three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66.4%</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70.6%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2.6%</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w:t>
            </w:r>
          </w:p>
        </w:tc>
        <w:tc>
          <w:tcPr>
            <w:tcW w:w="15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4.8</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None</w:t>
            </w:r>
          </w:p>
        </w:tc>
        <w:tc>
          <w:tcPr>
            <w:tcW w:w="560" w:type="dxa"/>
            <w:vAlign w:val="bottom"/>
          </w:tcPr>
          <w:p>
            <w:pPr>
              <w:spacing w:after="0"/>
              <w:rPr>
                <w:sz w:val="20"/>
                <w:szCs w:val="20"/>
                <w:color w:val="auto"/>
              </w:rPr>
            </w:pP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None</w:t>
            </w:r>
          </w:p>
        </w:tc>
      </w:tr>
    </w:tbl>
    <w:p>
      <w:pPr>
        <w:spacing w:after="0" w:line="79"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6"/>
          <w:szCs w:val="16"/>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the average of the five and seven year U.S. Treasury rates for the three months ended June 30, 2010 and the five-year U.S. Treasury rates for the three months ended June 30, 2009. The stock-based compensation expense recognized in the unaudited condensed consolidated statements of income is based on awards that ultimately are expected to vest; therefore, the amount of expense has been reduced for estimated forfeitures. Forfeitures are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163"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Income per Common Share</w:t>
      </w:r>
    </w:p>
    <w:p>
      <w:pPr>
        <w:spacing w:after="0" w:line="121" w:lineRule="exact"/>
        <w:rPr>
          <w:sz w:val="20"/>
          <w:szCs w:val="20"/>
          <w:color w:val="auto"/>
        </w:rPr>
      </w:pPr>
    </w:p>
    <w:p>
      <w:pPr>
        <w:jc w:val="both"/>
        <w:ind w:firstLine="293"/>
        <w:spacing w:after="0" w:line="297" w:lineRule="auto"/>
        <w:rPr>
          <w:sz w:val="20"/>
          <w:szCs w:val="20"/>
          <w:color w:val="auto"/>
        </w:rPr>
      </w:pPr>
      <w:r>
        <w:rPr>
          <w:rFonts w:ascii="Arial" w:cs="Arial" w:eastAsia="Arial" w:hAnsi="Arial"/>
          <w:sz w:val="16"/>
          <w:szCs w:val="16"/>
          <w:color w:val="auto"/>
        </w:rPr>
        <w:t>Basic earnings per share (“EPS”) is computed by dividing net earnings by the weighted-average number of common shares outstanding for the period. Diluted EPS is computed by dividing the net earnings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months ended June 30, 2010 and 2009, common equivalent shares of 1.4 million shares and 1.3 million shares, respectively, were not included in the calculation of diluted EPS as they were considered anti-dilutive.</w:t>
      </w:r>
    </w:p>
    <w:p>
      <w:pPr>
        <w:spacing w:after="0" w:line="50" w:lineRule="exact"/>
        <w:rPr>
          <w:sz w:val="20"/>
          <w:szCs w:val="20"/>
          <w:color w:val="auto"/>
        </w:rPr>
      </w:pPr>
    </w:p>
    <w:p>
      <w:pPr>
        <w:jc w:val="both"/>
        <w:ind w:firstLine="251"/>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months ended June 30, 2010 and 2009 (in thousands, except per share data):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For the 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subject to repurchase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43,789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diluted</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44,533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The accounting standard established a fair value hierarchy which requires an entity to maximize the use of observable inputs, where available. This hierarchy prioritizes the inputs into three broad levels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w w:val="98"/>
              </w:rPr>
              <w:t>Level 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500" w:type="dxa"/>
            <w:vAlign w:val="bottom"/>
          </w:tcPr>
          <w:p>
            <w:pPr>
              <w:ind w:left="80"/>
              <w:spacing w:after="0"/>
              <w:rPr>
                <w:sz w:val="20"/>
                <w:szCs w:val="20"/>
                <w:color w:val="auto"/>
              </w:rPr>
            </w:pPr>
            <w:r>
              <w:rPr>
                <w:rFonts w:ascii="Arial" w:cs="Arial" w:eastAsia="Arial" w:hAnsi="Arial"/>
                <w:sz w:val="18"/>
                <w:szCs w:val="18"/>
                <w:color w:val="auto"/>
                <w:w w:val="90"/>
              </w:rPr>
              <w:t>Inputs are unadjusted quoted prices in active markets for identical assets or liabilities that the Company has the ability to access at</w:t>
            </w:r>
          </w:p>
        </w:tc>
      </w:tr>
      <w:tr>
        <w:trPr>
          <w:trHeight w:val="230"/>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rPr>
              <w:t>the measurement date.</w:t>
            </w: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w w:val="98"/>
              </w:rPr>
              <w:t>Level 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500" w:type="dxa"/>
            <w:vAlign w:val="bottom"/>
          </w:tcPr>
          <w:p>
            <w:pPr>
              <w:ind w:left="80"/>
              <w:spacing w:after="0"/>
              <w:rPr>
                <w:sz w:val="20"/>
                <w:szCs w:val="20"/>
                <w:color w:val="auto"/>
              </w:rPr>
            </w:pPr>
            <w:r>
              <w:rPr>
                <w:rFonts w:ascii="Arial" w:cs="Arial" w:eastAsia="Arial" w:hAnsi="Arial"/>
                <w:sz w:val="18"/>
                <w:szCs w:val="18"/>
                <w:color w:val="auto"/>
                <w:w w:val="95"/>
              </w:rPr>
              <w:t>Inputs include quoted prices for similar assets and liabilities in active markets, quoted prices for identical or similar assets or</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w w:val="91"/>
              </w:rPr>
              <w:t>liabilities in markets that are not active, inputs other than quoted prices that are observable for the asset or liability, and inputs that</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w w:val="96"/>
              </w:rPr>
              <w:t>are derived principally from or corroborated by observable market data by correlation or other means (market corroborated</w:t>
            </w:r>
          </w:p>
        </w:tc>
      </w:tr>
      <w:tr>
        <w:trPr>
          <w:trHeight w:val="230"/>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rPr>
              <w:t>inputs).</w:t>
            </w: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w w:val="98"/>
              </w:rPr>
              <w:t>Level 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500" w:type="dxa"/>
            <w:vAlign w:val="bottom"/>
          </w:tcPr>
          <w:p>
            <w:pPr>
              <w:ind w:left="80"/>
              <w:spacing w:after="0"/>
              <w:rPr>
                <w:sz w:val="20"/>
                <w:szCs w:val="20"/>
                <w:color w:val="auto"/>
              </w:rPr>
            </w:pPr>
            <w:r>
              <w:rPr>
                <w:rFonts w:ascii="Arial" w:cs="Arial" w:eastAsia="Arial" w:hAnsi="Arial"/>
                <w:sz w:val="18"/>
                <w:szCs w:val="18"/>
                <w:color w:val="auto"/>
                <w:w w:val="93"/>
              </w:rPr>
              <w:t>Unobservable inputs that reflect the Company’s assumptions that market participants would use in pricing the asset or liability.</w:t>
            </w:r>
          </w:p>
        </w:tc>
      </w:tr>
      <w:tr>
        <w:trPr>
          <w:trHeight w:val="230"/>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tc>
      </w:tr>
    </w:tbl>
    <w:p>
      <w:pPr>
        <w:spacing w:after="0" w:line="94" w:lineRule="exact"/>
        <w:rPr>
          <w:sz w:val="20"/>
          <w:szCs w:val="20"/>
          <w:color w:val="auto"/>
        </w:rPr>
      </w:pPr>
    </w:p>
    <w:p>
      <w:pPr>
        <w:ind w:firstLine="384"/>
        <w:spacing w:after="0" w:line="277" w:lineRule="auto"/>
        <w:rPr>
          <w:sz w:val="20"/>
          <w:szCs w:val="20"/>
          <w:color w:val="auto"/>
        </w:rPr>
      </w:pPr>
      <w:r>
        <w:rPr>
          <w:rFonts w:ascii="Arial" w:cs="Arial" w:eastAsia="Arial" w:hAnsi="Arial"/>
          <w:sz w:val="18"/>
          <w:szCs w:val="18"/>
          <w:color w:val="auto"/>
        </w:rPr>
        <w:t>A financial asset or liability classification within the hierarchy is determined based on the lowest level input that is significant to the fair value measurement.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the assets and liabilities carried at fair value, measured as of June 30, 2010 and March 31, 2010 (in thousands):</w:t>
      </w:r>
    </w:p>
    <w:p>
      <w:pPr>
        <w:spacing w:after="0" w:line="20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Using Significant 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Using 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5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2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1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3,184</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Derivatives</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44,632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5,961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5,961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Derivatives</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Using Significant 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Using 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5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2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equivalents</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$ 29,054</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29,054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54,469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54,469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ind w:right="9880"/>
        <w:spacing w:after="0"/>
        <w:rPr>
          <w:sz w:val="20"/>
          <w:szCs w:val="20"/>
          <w:color w:val="auto"/>
        </w:rPr>
      </w:pPr>
      <w:r>
        <w:rPr>
          <w:rFonts w:ascii="Arial" w:cs="Arial" w:eastAsia="Arial" w:hAnsi="Arial"/>
          <w:sz w:val="16"/>
          <w:szCs w:val="16"/>
          <w:i w:val="1"/>
          <w:iCs w:val="1"/>
          <w:color w:val="auto"/>
        </w:rPr>
        <w:t>Valuation Techniques</w:t>
      </w:r>
    </w:p>
    <w:p>
      <w:pPr>
        <w:spacing w:after="0" w:line="140" w:lineRule="exact"/>
        <w:rPr>
          <w:sz w:val="20"/>
          <w:szCs w:val="20"/>
          <w:color w:val="auto"/>
        </w:rPr>
      </w:pPr>
    </w:p>
    <w:p>
      <w:pPr>
        <w:jc w:val="right"/>
        <w:ind w:right="992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money market accounts and corporate debt instruments.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Long-term and short-term marketable securities, consist primarily of government-backed securities and sovereign debt,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Short-term marketable securities, with current maturities of greater than three months from original purchase date but less than twelve months from the date of the balance sheet. All marketable securities are considered available-for-sale and are carried at fair value. The Company periodically reviews the realizability of each short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7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 currency options to manage the foreign currency exposures that exist as part of its ongoing business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7"/>
          <w:szCs w:val="17"/>
          <w:color w:val="auto"/>
        </w:rPr>
        <w:t>The Company hedges a portion of its intercompany sales of inventory over a maximum period of 15 months using forward foreign exchange contracts accounted for as cash flow hedges to mitigate the impact of volatility associated with foreign currency transactions. To the extent these derivatives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currently in earnings in the period it occurs. The Company does not enter into derivative instruments for trading or speculative purposes.</w:t>
      </w:r>
    </w:p>
    <w:p>
      <w:pPr>
        <w:spacing w:after="0" w:line="70" w:lineRule="exact"/>
        <w:rPr>
          <w:sz w:val="20"/>
          <w:szCs w:val="20"/>
          <w:color w:val="auto"/>
        </w:rPr>
      </w:pPr>
    </w:p>
    <w:p>
      <w:pPr>
        <w:jc w:val="both"/>
        <w:ind w:firstLine="258"/>
        <w:spacing w:after="0" w:line="297" w:lineRule="auto"/>
        <w:rPr>
          <w:sz w:val="20"/>
          <w:szCs w:val="20"/>
          <w:color w:val="auto"/>
        </w:rPr>
      </w:pPr>
      <w:r>
        <w:rPr>
          <w:rFonts w:ascii="Arial" w:cs="Arial" w:eastAsia="Arial" w:hAnsi="Arial"/>
          <w:sz w:val="16"/>
          <w:szCs w:val="16"/>
          <w:color w:val="auto"/>
        </w:rPr>
        <w:t>At June 30, 2010, the Company had three forward contracts outstanding to hedge exposure at the Company’s wholly-owned Austrian subsidiary, AMSC Windtec GmbH (“AMSC Windtec”), selling Euros and buying USD at $1.2408, $1.242 and $1.2433, with notional values of $6.9 million, $4.6 million and $2.3 million, respectively. These contracts will expire on September 27, 2010, December 27, 2010 and March 28, 2011, respectively. At June 30, 2010, these forward exchange contracts had an aggregate U.S. dollar equivalent fair value amounting to a net unrealized loss of $0.2 million in other comprehensive income. The net gain or loss from these cash flow hedges reported in accumulated other comprehensive income will be reclassified</w:t>
      </w:r>
    </w:p>
    <w:p>
      <w:pPr>
        <w:sectPr>
          <w:pgSz w:w="11900" w:h="16838" w:orient="portrait"/>
          <w:cols w:equalWidth="0" w:num="1">
            <w:col w:w="11420"/>
          </w:cols>
          <w:pgMar w:left="240" w:top="41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to earnings and recorded in cost of revenues in our consolidated statement of income when the related inventory is sold to third-party customers.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Derivatives</w:t>
      </w:r>
    </w:p>
    <w:p>
      <w:pPr>
        <w:spacing w:after="0" w:line="117" w:lineRule="exact"/>
        <w:rPr>
          <w:sz w:val="20"/>
          <w:szCs w:val="20"/>
          <w:color w:val="auto"/>
        </w:rPr>
      </w:pPr>
    </w:p>
    <w:p>
      <w:pPr>
        <w:jc w:val="both"/>
        <w:ind w:firstLine="232"/>
        <w:spacing w:after="0" w:line="293" w:lineRule="auto"/>
        <w:rPr>
          <w:sz w:val="20"/>
          <w:szCs w:val="20"/>
          <w:color w:val="auto"/>
        </w:rPr>
      </w:pPr>
      <w:r>
        <w:rPr>
          <w:rFonts w:ascii="Arial" w:cs="Arial" w:eastAsia="Arial" w:hAnsi="Arial"/>
          <w:sz w:val="16"/>
          <w:szCs w:val="16"/>
          <w:color w:val="auto"/>
        </w:rPr>
        <w:t>In addition to cash flow hedges, the Company also enters into foreign currency forward exchange contracts to mitigate the impact of foreign exchange risk related to non-functional currency receivable balances in its foreign entities. To the extent that hedge accounting criteria is not met, changes in the fair value of these contracts are recorded in earnings in the period which they occur. These contracts primarily are denominated in the Euro and Chinese renminbi (“CNY”) and have maturities of less than six months. On June 30, 2010, the Company had two forward contracts outstanding to hedge USD receivables exposure at AMSC Windtec selling Euros and buying USD at $1.2192 and $1.2173, with notional values of $27.0 million and $24.0 million, respectively, which both expired on July 30, 2010. Gains and losses on these contracts are included in other expense, net.</w:t>
      </w:r>
    </w:p>
    <w:p>
      <w:pPr>
        <w:spacing w:after="0" w:line="57" w:lineRule="exact"/>
        <w:rPr>
          <w:sz w:val="20"/>
          <w:szCs w:val="20"/>
          <w:color w:val="auto"/>
        </w:rPr>
      </w:pPr>
    </w:p>
    <w:p>
      <w:pPr>
        <w:jc w:val="both"/>
        <w:ind w:firstLine="357"/>
        <w:spacing w:after="0" w:line="277" w:lineRule="auto"/>
        <w:rPr>
          <w:sz w:val="20"/>
          <w:szCs w:val="20"/>
          <w:color w:val="auto"/>
        </w:rPr>
      </w:pPr>
      <w:r>
        <w:rPr>
          <w:rFonts w:ascii="Arial" w:cs="Arial" w:eastAsia="Arial" w:hAnsi="Arial"/>
          <w:sz w:val="18"/>
          <w:szCs w:val="18"/>
          <w:color w:val="auto"/>
        </w:rPr>
        <w:t>The following table provides a summary of the derivative instruments carried at fair value measured as of June 30, 2010 and March 31, 2010 (in thousands):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June 30, 2010</w:t>
            </w:r>
          </w:p>
        </w:tc>
        <w:tc>
          <w:tcPr>
            <w:tcW w:w="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March 31, 2010</w:t>
            </w:r>
          </w:p>
        </w:tc>
      </w:tr>
      <w:tr>
        <w:trPr>
          <w:trHeight w:val="119"/>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Asset</w:t>
            </w:r>
          </w:p>
        </w:tc>
        <w:tc>
          <w:tcPr>
            <w:tcW w:w="220" w:type="dxa"/>
            <w:vAlign w:val="bottom"/>
          </w:tcPr>
          <w:p>
            <w:pPr>
              <w:spacing w:after="0"/>
              <w:rPr>
                <w:sz w:val="10"/>
                <w:szCs w:val="10"/>
                <w:color w:val="auto"/>
              </w:rPr>
            </w:pPr>
          </w:p>
        </w:tc>
        <w:tc>
          <w:tcPr>
            <w:tcW w:w="70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Liability</w:t>
            </w:r>
          </w:p>
        </w:tc>
        <w:tc>
          <w:tcPr>
            <w:tcW w:w="240" w:type="dxa"/>
            <w:vAlign w:val="bottom"/>
          </w:tcPr>
          <w:p>
            <w:pPr>
              <w:spacing w:after="0"/>
              <w:rPr>
                <w:sz w:val="10"/>
                <w:szCs w:val="10"/>
                <w:color w:val="auto"/>
              </w:rPr>
            </w:pPr>
          </w:p>
        </w:tc>
        <w:tc>
          <w:tcPr>
            <w:tcW w:w="1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340" w:type="dxa"/>
            <w:vAlign w:val="bottom"/>
          </w:tcPr>
          <w:p>
            <w:pPr>
              <w:spacing w:after="0"/>
              <w:rPr>
                <w:sz w:val="10"/>
                <w:szCs w:val="10"/>
                <w:color w:val="auto"/>
              </w:rPr>
            </w:pPr>
          </w:p>
        </w:tc>
        <w:tc>
          <w:tcPr>
            <w:tcW w:w="70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Asset</w:t>
            </w:r>
          </w:p>
        </w:tc>
        <w:tc>
          <w:tcPr>
            <w:tcW w:w="24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Liability</w:t>
            </w:r>
          </w:p>
        </w:tc>
        <w:tc>
          <w:tcPr>
            <w:tcW w:w="240" w:type="dxa"/>
            <w:vAlign w:val="bottom"/>
          </w:tcPr>
          <w:p>
            <w:pPr>
              <w:spacing w:after="0"/>
              <w:rPr>
                <w:sz w:val="10"/>
                <w:szCs w:val="10"/>
                <w:color w:val="auto"/>
              </w:rPr>
            </w:pPr>
          </w:p>
        </w:tc>
        <w:tc>
          <w:tcPr>
            <w:tcW w:w="1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r>
      <w:tr>
        <w:trPr>
          <w:trHeight w:val="171"/>
        </w:trPr>
        <w:tc>
          <w:tcPr>
            <w:tcW w:w="34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Derivatives</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Derivatives</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195"/>
        </w:trPr>
        <w:tc>
          <w:tcPr>
            <w:tcW w:w="3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w w:val="90"/>
              </w:rPr>
              <w:t>Prepaid expenses and</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w w:val="89"/>
              </w:rPr>
              <w:t>Prepaid expenses and</w:t>
            </w: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forward exchange contracts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r>
      <w:tr>
        <w:trPr>
          <w:trHeight w:val="202"/>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8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1"/>
              </w:rPr>
              <w:t>Accounts payable and</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w w:val="91"/>
              </w:rPr>
              <w:t>Cash flow hedges - foreign exchange contracts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880" w:type="dxa"/>
            <w:vAlign w:val="bottom"/>
            <w:gridSpan w:val="2"/>
          </w:tcPr>
          <w:p>
            <w:pPr>
              <w:ind w:left="2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8"/>
          <w:szCs w:val="18"/>
          <w:color w:val="auto"/>
        </w:rPr>
        <w:t>As of June 30, 2010, actual unrealized gains included in Prepaid expenses were $0.2 million for foreign currency forward exchange contracts and actual unrealized losses included in Accrued liabilities were $0.1 million for cash flow hedges. As of March 31, 2010, actual unrealized gains included in Prepaid expenses were $0.2 million for foreign currency forward exchange contracts.</w:t>
      </w:r>
    </w:p>
    <w:p>
      <w:pPr>
        <w:spacing w:after="0" w:line="73"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8"/>
          <w:szCs w:val="18"/>
          <w:color w:val="auto"/>
        </w:rPr>
        <w:t>Net realized and unrealized losses on forward contracts and option contracts included in other expense, net, excluding the underlying foreign currency exposure being hedged, were $4.0 million and $0.3 million for the three months ended June 30, 2010 and 2009, respectively.</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53,825</w:t>
            </w: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(2,654)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(1,927)</w:t>
            </w:r>
          </w:p>
        </w:tc>
      </w:tr>
      <w:tr>
        <w:trPr>
          <w:trHeight w:val="223"/>
        </w:trPr>
        <w:tc>
          <w:tcPr>
            <w:tcW w:w="754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90,212</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62,203</w:t>
            </w:r>
          </w:p>
        </w:tc>
        <w:tc>
          <w:tcPr>
            <w:tcW w:w="12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53"/>
        <w:spacing w:after="0" w:line="277" w:lineRule="auto"/>
        <w:rPr>
          <w:sz w:val="20"/>
          <w:szCs w:val="20"/>
          <w:color w:val="auto"/>
        </w:rPr>
      </w:pPr>
      <w:r>
        <w:rPr>
          <w:rFonts w:ascii="Arial" w:cs="Arial" w:eastAsia="Arial" w:hAnsi="Arial"/>
          <w:sz w:val="18"/>
          <w:szCs w:val="18"/>
          <w:color w:val="auto"/>
        </w:rPr>
        <w:t>The Company also recorded net long-term accounts receivables of $16.1 million and $14.1 million as of June 30, 2010 and March 31, 2010, respectively that are also classified within other assets on the condensed consolidated balance sheet and as long-term deferred revenue.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inventory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19,962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18,065</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Work-in-progress</w:t>
            </w:r>
          </w:p>
        </w:tc>
        <w:tc>
          <w:tcPr>
            <w:tcW w:w="3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6,449</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7,318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11,956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2,655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2,596</w:t>
            </w:r>
          </w:p>
        </w:tc>
      </w:tr>
      <w:tr>
        <w:trPr>
          <w:trHeight w:val="27"/>
        </w:trPr>
        <w:tc>
          <w:tcPr>
            <w:tcW w:w="8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inventory</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41,022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35,858</w:t>
            </w:r>
          </w:p>
        </w:tc>
      </w:tr>
      <w:tr>
        <w:trPr>
          <w:trHeight w:val="20"/>
        </w:trPr>
        <w:tc>
          <w:tcPr>
            <w:tcW w:w="8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Finished goods inventory as of June 30, 2010 includes $1.6 million, which represents costs of product shipped to customers on contracts for which revenue was deferred until final customer acceptance.</w:t>
      </w:r>
    </w:p>
    <w:p>
      <w:pPr>
        <w:spacing w:after="0" w:line="62" w:lineRule="exact"/>
        <w:rPr>
          <w:sz w:val="20"/>
          <w:szCs w:val="20"/>
          <w:color w:val="auto"/>
        </w:rPr>
      </w:pPr>
    </w:p>
    <w:p>
      <w:pPr>
        <w:jc w:val="both"/>
        <w:ind w:firstLine="308"/>
        <w:spacing w:after="0" w:line="277" w:lineRule="auto"/>
        <w:rPr>
          <w:sz w:val="20"/>
          <w:szCs w:val="20"/>
          <w:color w:val="auto"/>
        </w:rPr>
      </w:pPr>
      <w:r>
        <w:rPr>
          <w:rFonts w:ascii="Arial" w:cs="Arial" w:eastAsia="Arial" w:hAnsi="Arial"/>
          <w:sz w:val="18"/>
          <w:szCs w:val="18"/>
          <w:color w:val="auto"/>
        </w:rPr>
        <w:t>Deferred program costs as of June 30, 2010 and March 31, 2010 primarily represent costs incurred on wind turbine development programs where the Company needs to achieve certain milestones or complete development programs before revenue and costs will be recognized.</w:t>
      </w:r>
    </w:p>
    <w:p>
      <w:pPr>
        <w:spacing w:after="0" w:line="16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21" w:lineRule="exact"/>
        <w:rPr>
          <w:sz w:val="20"/>
          <w:szCs w:val="20"/>
          <w:color w:val="auto"/>
        </w:rPr>
      </w:pPr>
    </w:p>
    <w:p>
      <w:pPr>
        <w:ind w:firstLine="344"/>
        <w:spacing w:after="0" w:line="277"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 of revenues” for estimated warranty expense based on historical experience.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Product warranty activity was as follows (in thousands):</w:t>
      </w:r>
    </w:p>
    <w:p>
      <w:pPr>
        <w:spacing w:after="0" w:line="217"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42"/>
        </w:trPr>
        <w:tc>
          <w:tcPr>
            <w:tcW w:w="8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(2,361)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294"/>
        <w:spacing w:after="0" w:line="259" w:lineRule="auto"/>
        <w:rPr>
          <w:sz w:val="20"/>
          <w:szCs w:val="20"/>
          <w:color w:val="auto"/>
        </w:rPr>
      </w:pPr>
      <w:r>
        <w:rPr>
          <w:rFonts w:ascii="Arial" w:cs="Arial" w:eastAsia="Arial" w:hAnsi="Arial"/>
          <w:sz w:val="18"/>
          <w:szCs w:val="18"/>
          <w:color w:val="auto"/>
        </w:rPr>
        <w:t>The Company recorded income tax expense of $7.3 million and $2.9 million for the three months ended June 30, 2010 and 2009, respectively, related primarily to income generated in foreign jurisdictions. The Company has provided a valuation allowance against all deferred tax assets in the U.S. as it is more likely than not that its deferred tax assets are not currently realizable due to the net operating losses incurred by the Company in the U.S. since its inception.</w:t>
      </w:r>
    </w:p>
    <w:p>
      <w:pPr>
        <w:spacing w:after="0" w:line="18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firstLine="251"/>
        <w:spacing w:after="0" w:line="312" w:lineRule="auto"/>
        <w:rPr>
          <w:sz w:val="20"/>
          <w:szCs w:val="20"/>
          <w:color w:val="auto"/>
        </w:rPr>
      </w:pPr>
      <w:r>
        <w:rPr>
          <w:rFonts w:ascii="Arial" w:cs="Arial" w:eastAsia="Arial" w:hAnsi="Arial"/>
          <w:sz w:val="16"/>
          <w:szCs w:val="16"/>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39"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As of June 30, 2010, the Company had six performance bonds on behalf of its AMSC Windtec and its China subsidiary in support of customer contracts to guarantee supply of core components and software. The total value of the outstanding performance bonds is $2.3 million expiring between September 30, 2010 and March 31, 2014. In the event that the payment is made in accordance with the requirements of any of these performance bonds, the Company would record the payment as an offset to revenue.</w:t>
      </w:r>
    </w:p>
    <w:p>
      <w:pPr>
        <w:spacing w:after="0" w:line="79" w:lineRule="exact"/>
        <w:rPr>
          <w:sz w:val="20"/>
          <w:szCs w:val="20"/>
          <w:color w:val="auto"/>
        </w:rPr>
      </w:pPr>
    </w:p>
    <w:p>
      <w:pPr>
        <w:jc w:val="both"/>
        <w:ind w:firstLine="264"/>
        <w:spacing w:after="0" w:line="264" w:lineRule="auto"/>
        <w:rPr>
          <w:sz w:val="20"/>
          <w:szCs w:val="20"/>
          <w:color w:val="auto"/>
        </w:rPr>
      </w:pPr>
      <w:r>
        <w:rPr>
          <w:rFonts w:ascii="Arial" w:cs="Arial" w:eastAsia="Arial" w:hAnsi="Arial"/>
          <w:sz w:val="18"/>
          <w:szCs w:val="18"/>
          <w:color w:val="auto"/>
        </w:rPr>
        <w:t>At June 30, 2010 and March 31, 2010, the Company had $5.3 million and $5.7 million, respectively, of restricted cash included in current assets, which includes the restricted cash securing the AMSC Windtec performance bonds noted above. The Company also has an additional $3.5 million in bank guarantees and letters of credit supported by unsecured lines of credit.</w:t>
      </w:r>
    </w:p>
    <w:p>
      <w:pPr>
        <w:spacing w:after="0" w:line="73"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7"/>
          <w:szCs w:val="17"/>
          <w:color w:val="auto"/>
        </w:rPr>
        <w:t>The Company also has unused, unsecured lines of credit consisting of CNY 11.9 million (approximately $1.8 million) and €2.0 million (approximately $2.4 million) as of June 30, 2010. The line of credit was set to expire on June 30, 2010, but has been extended while we are in discussions with the bank to increase capacity to the line of credit to better facilitate growth in the local working capital requirements of the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Cost-Sharing Arrangements</w:t>
      </w:r>
    </w:p>
    <w:p>
      <w:pPr>
        <w:spacing w:after="0" w:line="121" w:lineRule="exact"/>
        <w:rPr>
          <w:sz w:val="20"/>
          <w:szCs w:val="20"/>
          <w:color w:val="auto"/>
        </w:rPr>
      </w:pPr>
    </w:p>
    <w:p>
      <w:pPr>
        <w:jc w:val="both"/>
        <w:ind w:firstLine="306"/>
        <w:spacing w:after="0" w:line="264"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217"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R&amp;D expenditures offset by cost sharing funding received</w:t>
            </w: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G&amp;A expenditures offset by cost sharing funding received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June 30, 2010, total funding received to date under these agreements was $29.9 million.</w:t>
      </w:r>
    </w:p>
    <w:p>
      <w:pPr>
        <w:spacing w:after="0" w:line="22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117" w:lineRule="exact"/>
        <w:rPr>
          <w:sz w:val="20"/>
          <w:szCs w:val="20"/>
          <w:color w:val="auto"/>
        </w:rPr>
      </w:pPr>
    </w:p>
    <w:p>
      <w:pPr>
        <w:jc w:val="both"/>
        <w:ind w:firstLine="257"/>
        <w:spacing w:after="0" w:line="286" w:lineRule="auto"/>
        <w:rPr>
          <w:sz w:val="20"/>
          <w:szCs w:val="20"/>
          <w:color w:val="auto"/>
        </w:rPr>
      </w:pPr>
      <w:r>
        <w:rPr>
          <w:rFonts w:ascii="Arial" w:cs="Arial" w:eastAsia="Arial" w:hAnsi="Arial"/>
          <w:sz w:val="17"/>
          <w:szCs w:val="17"/>
          <w:color w:val="auto"/>
        </w:rPr>
        <w:t>On January 5, 2007, the Company acquired Windtec Consulting GmbH (“AMSC Windtec”), a corporation incorporated according to the laws of Austria. AMSC Windtec develops and sells electrical systems for wind turbines. AMSC Windtec also provides technology transfer for the manufacturing of wind turbines; documentation services; and training and support regarding the assembly, installation, commissioning, and service of wind turbines.</w:t>
      </w:r>
    </w:p>
    <w:p>
      <w:pPr>
        <w:spacing w:after="0" w:line="57" w:lineRule="exact"/>
        <w:rPr>
          <w:sz w:val="20"/>
          <w:szCs w:val="20"/>
          <w:color w:val="auto"/>
        </w:rPr>
      </w:pPr>
    </w:p>
    <w:p>
      <w:pPr>
        <w:jc w:val="both"/>
        <w:ind w:firstLine="367"/>
        <w:spacing w:after="0" w:line="271" w:lineRule="auto"/>
        <w:rPr>
          <w:sz w:val="20"/>
          <w:szCs w:val="20"/>
          <w:color w:val="auto"/>
        </w:rPr>
      </w:pPr>
      <w:r>
        <w:rPr>
          <w:rFonts w:ascii="Arial" w:cs="Arial" w:eastAsia="Arial" w:hAnsi="Arial"/>
          <w:sz w:val="17"/>
          <w:szCs w:val="17"/>
          <w:color w:val="auto"/>
        </w:rPr>
        <w:t>The acquisition agreement included an earn-out provision for the issuance of up to an additional 1,400,000 shares of common stock upon AMSC Windtec’s achievement of specified revenue objectives during the first four fiscal years following closing of the acquisition. During the fiscal year ended March 31, 2009, the Company recorded contingent consideration of $9.8 million to Goodwill and Additional paid-in capital representing 350,000 shares earned. These 350,000 shares were issued in the first quarter of the fiscal year ending March 31, 2010. During the fiscal year ended March 31, 2010, the Company recorded contingent consideration of $10.8 million to Goodwill and Additional paid-in capital representing 350,000 shares earned. These shares were issued in the first quarter of the fiscal year ended March 31, 2011. During the three months ended June 30, 2010, the Company recorded contingent consideration of $4.0 million to Goodwill and Additional paid-in capital representing 150,000 shares earned. These 150,000 shares are expected to be issued in the first quarter of the fiscal year ending March 31,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117" w:lineRule="exact"/>
        <w:rPr>
          <w:sz w:val="20"/>
          <w:szCs w:val="20"/>
          <w:color w:val="auto"/>
        </w:rPr>
      </w:pPr>
    </w:p>
    <w:p>
      <w:pPr>
        <w:jc w:val="both"/>
        <w:ind w:firstLine="352"/>
        <w:spacing w:after="0" w:line="276" w:lineRule="auto"/>
        <w:rPr>
          <w:sz w:val="20"/>
          <w:szCs w:val="20"/>
          <w:color w:val="auto"/>
        </w:rPr>
      </w:pPr>
      <w:r>
        <w:rPr>
          <w:rFonts w:ascii="Arial" w:cs="Arial" w:eastAsia="Arial" w:hAnsi="Arial"/>
          <w:sz w:val="17"/>
          <w:szCs w:val="17"/>
          <w:color w:val="auto"/>
        </w:rPr>
        <w:t>On October 13, 2009, the Company announced it had made a minority investment in Tres Amigas LLC (“Tres Amigas”), a merchant transmission company, for $1.8 million. Consideration for the investment was $0.8 million in cash and $1.0 million in AMSC common stock. The investment was recorded under the equity method of accounting and is included in Other assets on the condensed consolidated balance sheet. The Company’s minority interest in the losses of Tres Amigas are included in Other income (expense), net on the condensed consolidated statements of income, and were immaterial for the three months ended June 30, 2010. The net value of the investment at June 30, 2010 was $1.6 million.</w:t>
      </w:r>
    </w:p>
    <w:p>
      <w:pPr>
        <w:spacing w:after="0" w:line="16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17"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18"/>
          <w:szCs w:val="18"/>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79" w:lineRule="exact"/>
        <w:rPr>
          <w:sz w:val="20"/>
          <w:szCs w:val="20"/>
          <w:color w:val="auto"/>
        </w:rPr>
      </w:pPr>
    </w:p>
    <w:p>
      <w:pPr>
        <w:jc w:val="both"/>
        <w:ind w:firstLine="330"/>
        <w:spacing w:after="0" w:line="277" w:lineRule="auto"/>
        <w:rPr>
          <w:sz w:val="20"/>
          <w:szCs w:val="20"/>
          <w:color w:val="auto"/>
        </w:rPr>
      </w:pPr>
      <w:r>
        <w:rPr>
          <w:rFonts w:ascii="Arial" w:cs="Arial" w:eastAsia="Arial" w:hAnsi="Arial"/>
          <w:sz w:val="18"/>
          <w:szCs w:val="18"/>
          <w:color w:val="auto"/>
        </w:rPr>
        <w:t>AMSC Superconductors business unit manufactures HTS wire and coils; designs and develops superconductor products, such as power cables, fault current limiters and motors; and manages large-scale superconductor projects.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17"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w:t>
      </w:r>
    </w:p>
    <w:p>
      <w:pPr>
        <w:jc w:val="center"/>
        <w:ind w:left="94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7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3"/>
              </w:rPr>
              <w:t>Revenues:</w:t>
            </w:r>
          </w:p>
        </w:tc>
        <w:tc>
          <w:tcPr>
            <w:tcW w:w="878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$ 94,928</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70,696</w:t>
            </w:r>
          </w:p>
        </w:tc>
      </w:tr>
      <w:tr>
        <w:trPr>
          <w:trHeight w:val="216"/>
        </w:trPr>
        <w:tc>
          <w:tcPr>
            <w:tcW w:w="20" w:type="dxa"/>
            <w:vAlign w:val="bottom"/>
          </w:tcPr>
          <w:p>
            <w:pPr>
              <w:spacing w:after="0"/>
              <w:rPr>
                <w:sz w:val="18"/>
                <w:szCs w:val="18"/>
                <w:color w:val="auto"/>
              </w:rPr>
            </w:pPr>
          </w:p>
        </w:tc>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w:t>
            </w:r>
          </w:p>
        </w:tc>
      </w:tr>
      <w:tr>
        <w:trPr>
          <w:trHeight w:val="223"/>
        </w:trPr>
        <w:tc>
          <w:tcPr>
            <w:tcW w:w="20" w:type="dxa"/>
            <w:vAlign w:val="bottom"/>
          </w:tcPr>
          <w:p>
            <w:pPr>
              <w:spacing w:after="0"/>
              <w:rPr>
                <w:sz w:val="19"/>
                <w:szCs w:val="19"/>
                <w:color w:val="auto"/>
              </w:rPr>
            </w:pP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$ 97,209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7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Operating income:</w:t>
            </w:r>
          </w:p>
        </w:tc>
        <w:tc>
          <w:tcPr>
            <w:tcW w:w="8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AMSC Power Systems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$ 25,485</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15,395</w:t>
            </w:r>
          </w:p>
        </w:tc>
      </w:tr>
      <w:tr>
        <w:trPr>
          <w:trHeight w:val="216"/>
        </w:trPr>
        <w:tc>
          <w:tcPr>
            <w:tcW w:w="20" w:type="dxa"/>
            <w:vAlign w:val="bottom"/>
          </w:tcPr>
          <w:p>
            <w:pPr>
              <w:spacing w:after="0"/>
              <w:rPr>
                <w:sz w:val="18"/>
                <w:szCs w:val="18"/>
                <w:color w:val="auto"/>
              </w:rPr>
            </w:pPr>
          </w:p>
        </w:tc>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(5,910)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(5,497)</w:t>
            </w:r>
          </w:p>
        </w:tc>
      </w:tr>
      <w:tr>
        <w:trPr>
          <w:trHeight w:val="223"/>
        </w:trPr>
        <w:tc>
          <w:tcPr>
            <w:tcW w:w="20" w:type="dxa"/>
            <w:vAlign w:val="bottom"/>
          </w:tcPr>
          <w:p>
            <w:pPr>
              <w:spacing w:after="0"/>
              <w:rPr>
                <w:sz w:val="19"/>
                <w:szCs w:val="19"/>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Unallocated corporate expenses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(3,494)</w:t>
            </w:r>
          </w:p>
        </w:tc>
        <w:tc>
          <w:tcPr>
            <w:tcW w:w="2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(3,507)</w:t>
            </w:r>
          </w:p>
        </w:tc>
      </w:tr>
      <w:tr>
        <w:trPr>
          <w:trHeight w:val="216"/>
        </w:trPr>
        <w:tc>
          <w:tcPr>
            <w:tcW w:w="20" w:type="dxa"/>
            <w:vAlign w:val="bottom"/>
          </w:tcPr>
          <w:p>
            <w:pPr>
              <w:spacing w:after="0"/>
              <w:rPr>
                <w:sz w:val="18"/>
                <w:szCs w:val="18"/>
                <w:color w:val="auto"/>
              </w:rPr>
            </w:pPr>
          </w:p>
        </w:tc>
        <w:tc>
          <w:tcPr>
            <w:tcW w:w="9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$ 16,081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74"/>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Unallocated corporate expenses include stock-based compensation expense of $3.5 million and $3.1 million for the three months ended June 30, 2010 and 2009, respectively. Unallocated corporate expenses for the three months ended June 30, 2009 included $0.3 million of restructuring charges related primarily to the closure of the Company’s facility in Westborough, Massachusetts. For the three months ended June 30, 2009, unallocated corporate expenses also include operating costs associated with the unoccupied portion of the Company’s former corporate headquarters facility located in Westborough, Massachusetts.</w:t>
      </w:r>
    </w:p>
    <w:p>
      <w:pPr>
        <w:spacing w:after="0" w:line="81" w:lineRule="exact"/>
        <w:rPr>
          <w:sz w:val="20"/>
          <w:szCs w:val="20"/>
          <w:color w:val="auto"/>
        </w:rPr>
      </w:pPr>
    </w:p>
    <w:p>
      <w:pPr>
        <w:jc w:val="both"/>
        <w:ind w:firstLine="403"/>
        <w:spacing w:after="0" w:line="279" w:lineRule="auto"/>
        <w:rPr>
          <w:sz w:val="20"/>
          <w:szCs w:val="20"/>
          <w:color w:val="auto"/>
        </w:rPr>
      </w:pPr>
      <w:r>
        <w:rPr>
          <w:rFonts w:ascii="Arial" w:cs="Arial" w:eastAsia="Arial" w:hAnsi="Arial"/>
          <w:sz w:val="17"/>
          <w:szCs w:val="17"/>
          <w:color w:val="auto"/>
        </w:rPr>
        <w:t>For the quarter ended June 30, 2010, 72% of the Company’s revenues were derived from one customer: Sinovel Wind Co., Ltd. (“Sinovel”), a manufacturer of wind turbines based in China. For the quarter ended June 30, 2009, a substantial portion of the Company’s revenues was derived from three customers: Sinovel; ACCIONA S.A., a Spanish renewable power company; and a U.S. subsidiary of National Grid, an energy company. Sales to Sinovel, ACCIONA and National Grid were 53%, 14% and 10%, respectively, for the three months ended June 30, 2009.</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520" w:type="dxa"/>
            <w:vAlign w:val="bottom"/>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$217,632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$179,873</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AMSC Superconductors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39,751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32,978</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187,333</w:t>
            </w:r>
          </w:p>
        </w:tc>
      </w:tr>
      <w:tr>
        <w:trPr>
          <w:trHeight w:val="223"/>
        </w:trPr>
        <w:tc>
          <w:tcPr>
            <w:tcW w:w="9520" w:type="dxa"/>
            <w:vAlign w:val="bottom"/>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410,033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400,184</w:t>
            </w:r>
          </w:p>
        </w:tc>
        <w:tc>
          <w:tcPr>
            <w:tcW w:w="100" w:type="dxa"/>
            <w:vAlign w:val="bottom"/>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has performed an evaluation of subsequent events through August 5, 2010, which is the date the financial statements were issued.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ind w:left="1020" w:right="2620" w:hanging="101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jc w:val="both"/>
        <w:ind w:firstLine="266"/>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Part II. Item 1A and Part 1. Item 1A of our Form 10-K for the fiscal year ended March 31, 2010,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72"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18"/>
          <w:szCs w:val="18"/>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Quarterly Report on Form 10-Q are the property of their respective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7"/>
          <w:szCs w:val="17"/>
          <w:color w:val="auto"/>
        </w:rPr>
        <w:t>American Superconductor Corporation was founded in 1987. We offer an array of proprietary technologies and solutions spanning the electric power infrastructure - from generation to delivery to end use. Our company is a leader in renewable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70" w:lineRule="exact"/>
        <w:rPr>
          <w:sz w:val="20"/>
          <w:szCs w:val="20"/>
          <w:color w:val="auto"/>
        </w:rPr>
      </w:pPr>
    </w:p>
    <w:p>
      <w:pPr>
        <w:jc w:val="both"/>
        <w:ind w:firstLine="268"/>
        <w:spacing w:after="0" w:line="277" w:lineRule="auto"/>
        <w:rPr>
          <w:sz w:val="20"/>
          <w:szCs w:val="20"/>
          <w:color w:val="auto"/>
        </w:rPr>
      </w:pPr>
      <w:r>
        <w:rPr>
          <w:rFonts w:ascii="Arial" w:cs="Arial" w:eastAsia="Arial" w:hAnsi="Arial"/>
          <w:sz w:val="18"/>
          <w:szCs w:val="18"/>
          <w:color w:val="auto"/>
        </w:rPr>
        <w:t>Our fiscal year begins on April 1 and ends on March 31. This document refers to fiscal 2010, which is defined as the period beginning on April 1, 2010 and concluding on March 31, 2011. The first quarter of fiscal 2010 began on April 1, 2010 and concluded on June 30, 2010.</w:t>
      </w:r>
    </w:p>
    <w:p>
      <w:pPr>
        <w:spacing w:after="0" w:line="62" w:lineRule="exact"/>
        <w:rPr>
          <w:sz w:val="20"/>
          <w:szCs w:val="20"/>
          <w:color w:val="auto"/>
        </w:rPr>
      </w:pPr>
    </w:p>
    <w:p>
      <w:pPr>
        <w:jc w:val="both"/>
        <w:ind w:firstLine="246"/>
        <w:spacing w:after="0" w:line="272" w:lineRule="auto"/>
        <w:rPr>
          <w:sz w:val="20"/>
          <w:szCs w:val="20"/>
          <w:color w:val="auto"/>
        </w:rPr>
      </w:pPr>
      <w:r>
        <w:rPr>
          <w:rFonts w:ascii="Arial" w:cs="Arial" w:eastAsia="Arial" w:hAnsi="Arial"/>
          <w:sz w:val="17"/>
          <w:szCs w:val="17"/>
          <w:color w:val="auto"/>
        </w:rPr>
        <w:t>Our revenues today are primarily derived from our AMSC Power Systems business unit, which designs and licenses wind turbines and provides electrical systems and controls for those wind turbines; provides a range of products to increase electrical grid capacity and reliability; provides power electronic products that interconnect renewable energy plants to the power grid; and provides products that enhance power quality for industrial operations. Most of the products offered by AMSC Power Systems utilize our proprietary power electronic converters and enabling software. These solutions increase the quantity, quality and reliability of electric power that is produced by renewable energy sources, transmitted by electric utilities or consumed by large industrial entities. The market for these solutions continues to be strong in 2010, particularly in Asia, where the production of wind turbines and demand for wind turbine electrical systems and controls continues to increase rapidly.</w:t>
      </w:r>
    </w:p>
    <w:p>
      <w:pPr>
        <w:spacing w:after="0" w:line="70" w:lineRule="exact"/>
        <w:rPr>
          <w:sz w:val="20"/>
          <w:szCs w:val="20"/>
          <w:color w:val="auto"/>
        </w:rPr>
      </w:pPr>
    </w:p>
    <w:p>
      <w:pPr>
        <w:jc w:val="both"/>
        <w:ind w:firstLine="249"/>
        <w:spacing w:after="0" w:line="297" w:lineRule="auto"/>
        <w:rPr>
          <w:sz w:val="20"/>
          <w:szCs w:val="20"/>
          <w:color w:val="auto"/>
        </w:rPr>
      </w:pPr>
      <w:r>
        <w:rPr>
          <w:rFonts w:ascii="Arial" w:cs="Arial" w:eastAsia="Arial" w:hAnsi="Arial"/>
          <w:sz w:val="16"/>
          <w:szCs w:val="16"/>
          <w:color w:val="auto"/>
        </w:rPr>
        <w:t>Our AMSC Superconductors business unit designs and develops superconductor products, such as power cables, fault current limiters, generators, motors and degaussing systems; and it manages large-scale superconductor projects. AMSC Superconductors also manufactures the high temperature superconductor (HTS) wire that goes into superconductor products, providing these systems with compelling performance, efficiency, size and weight advantages compared with conventional electrical equipment. Many superconductor product demonstrations have been successfully completed to date and customer interest is increasing, particularly for superconductor power cables and superconductor wind turbine generators. These systems have yet to be commercialized, however.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8"/>
          <w:szCs w:val="18"/>
          <w:color w:val="auto"/>
        </w:rPr>
        <w:t>Our strategy for both AMSC Power Systems and AMSC Superconductors is to drive revenue growth and enhance operating results by increasing adoption of our products. We are targeting high-growth segments of the renewable energy and power grid markets with our advanced engineering capabilities, support services and power electronics and superconductor product offerings.</w:t>
      </w:r>
    </w:p>
    <w:p>
      <w:pPr>
        <w:spacing w:after="0" w:line="7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Our wind power products and services are marketed globally, with a particular focus on emerging economies and the Asia Pacific region where demand for local wind turbine manufacturing has been increasing significantly. Our power grid products and services have historically been marketed primarily in the United States. However, due to increasing grid interconnection requirements for renewable energy sites and rising demands for Smart Grid solutions overseas, our power grid activities and sales have increasingly become global in nature. While we leverage strategic partnerships and reseller relationships to increase our revenue streams, we address market needs primarily with our direct sales force.</w:t>
      </w:r>
    </w:p>
    <w:p>
      <w:pPr>
        <w:spacing w:after="0" w:line="64" w:lineRule="exact"/>
        <w:rPr>
          <w:sz w:val="20"/>
          <w:szCs w:val="20"/>
          <w:color w:val="auto"/>
        </w:rPr>
      </w:pPr>
    </w:p>
    <w:p>
      <w:pPr>
        <w:jc w:val="both"/>
        <w:ind w:firstLine="269"/>
        <w:spacing w:after="0" w:line="276" w:lineRule="auto"/>
        <w:rPr>
          <w:sz w:val="20"/>
          <w:szCs w:val="20"/>
          <w:color w:val="auto"/>
        </w:rPr>
      </w:pPr>
      <w:r>
        <w:rPr>
          <w:rFonts w:ascii="Arial" w:cs="Arial" w:eastAsia="Arial" w:hAnsi="Arial"/>
          <w:sz w:val="17"/>
          <w:szCs w:val="17"/>
          <w:color w:val="auto"/>
        </w:rPr>
        <w:t>We currently have offices and operations in 11 countries around the world. Our Devens, Massachusetts facility serves as our corporate headquarters and our center of excellence for superconductors research, development and manufacturing. Our facilities in Wisconsin serve as our center of excellence for power electronics and controls research and development and power grid product manufacturing. Our facility in Suzhou, China serves as our center of excellence for wind turbine power electronics manufacturing. Our facility in Klagenfurt, Austria serves as our center of excellence for wind turbine design and engineering. Our other locations focus primarily on applications engineering, sales and/or field service.</w:t>
      </w:r>
    </w:p>
    <w:p>
      <w:pPr>
        <w:spacing w:after="0" w:line="64" w:lineRule="exact"/>
        <w:rPr>
          <w:sz w:val="20"/>
          <w:szCs w:val="20"/>
          <w:color w:val="auto"/>
        </w:rPr>
      </w:pPr>
    </w:p>
    <w:p>
      <w:pPr>
        <w:jc w:val="both"/>
        <w:ind w:firstLine="290"/>
        <w:spacing w:after="0" w:line="264" w:lineRule="auto"/>
        <w:rPr>
          <w:sz w:val="20"/>
          <w:szCs w:val="20"/>
          <w:color w:val="auto"/>
        </w:rPr>
      </w:pPr>
      <w:r>
        <w:rPr>
          <w:rFonts w:ascii="Arial" w:cs="Arial" w:eastAsia="Arial" w:hAnsi="Arial"/>
          <w:sz w:val="18"/>
          <w:szCs w:val="18"/>
          <w:color w:val="auto"/>
        </w:rPr>
        <w:t>As of June 30, 2010 and March 31, 2010, we had backlog of approximately $952 million and $588 million, respectively. The increase in backlog was primarily the result of a substantial new order received from our largest customer, Sinovel Wind Co., Ltd. (“Sinovel”). Based on this level of backlog and our pipeline of business, we believe we will be able to continue growing revenue in fiscal 2010.</w:t>
      </w:r>
    </w:p>
    <w:p>
      <w:pPr>
        <w:spacing w:after="0" w:line="73" w:lineRule="exact"/>
        <w:rPr>
          <w:sz w:val="20"/>
          <w:szCs w:val="20"/>
          <w:color w:val="auto"/>
        </w:rPr>
      </w:pPr>
    </w:p>
    <w:p>
      <w:pPr>
        <w:jc w:val="both"/>
        <w:ind w:firstLine="266"/>
        <w:spacing w:after="0" w:line="257" w:lineRule="auto"/>
        <w:rPr>
          <w:sz w:val="20"/>
          <w:szCs w:val="20"/>
          <w:color w:val="auto"/>
        </w:rPr>
      </w:pPr>
      <w:r>
        <w:rPr>
          <w:rFonts w:ascii="Arial" w:cs="Arial" w:eastAsia="Arial" w:hAnsi="Arial"/>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257"/>
        <w:spacing w:after="0" w:line="273" w:lineRule="auto"/>
        <w:rPr>
          <w:sz w:val="20"/>
          <w:szCs w:val="20"/>
          <w:color w:val="auto"/>
        </w:rPr>
      </w:pPr>
      <w:r>
        <w:rPr>
          <w:rFonts w:ascii="Arial" w:cs="Arial" w:eastAsia="Arial" w:hAnsi="Arial"/>
          <w:sz w:val="17"/>
          <w:szCs w:val="17"/>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With the exception of changes to our derivatives accounting policy as described below, there were no significant changes in the first quarter of fiscal 2010 in our critical accounting policies as disclosed in our Form 10-K for fiscal 2009, which ended on March 31,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Contracts</w:t>
      </w:r>
    </w:p>
    <w:p>
      <w:pPr>
        <w:spacing w:after="0" w:line="117" w:lineRule="exact"/>
        <w:rPr>
          <w:sz w:val="20"/>
          <w:szCs w:val="20"/>
          <w:color w:val="auto"/>
        </w:rPr>
      </w:pPr>
    </w:p>
    <w:p>
      <w:pPr>
        <w:jc w:val="both"/>
        <w:ind w:firstLine="231"/>
        <w:spacing w:after="0" w:line="259" w:lineRule="auto"/>
        <w:rPr>
          <w:sz w:val="20"/>
          <w:szCs w:val="20"/>
          <w:color w:val="auto"/>
        </w:rPr>
      </w:pPr>
      <w:r>
        <w:rPr>
          <w:rFonts w:ascii="Arial" w:cs="Arial" w:eastAsia="Arial" w:hAnsi="Arial"/>
          <w:sz w:val="18"/>
          <w:szCs w:val="18"/>
          <w:color w:val="auto"/>
        </w:rPr>
        <w:t>We recognize all derivatives, including forward currency-exchange contracts, in the balance sheet at fair value. If a derivative is a hedge, depending on the nature of the hedge, changes in the fair value of the derivative are either offset against the change in fair value of the hedged item through earnings or recognized in other comprehensive income until the hedged item is recognized in earnings. Derivatives that are not designated as hedges are recorded at fair value through earnings.</w:t>
      </w:r>
    </w:p>
    <w:p>
      <w:pPr>
        <w:spacing w:after="0" w:line="79"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For derivative instruments that are designated and qualify as a cash flow hedge, the effective portion of the gain or loss on the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is reported as a component of other comprehensive income and reclassified into earnings in the same period or periods during which the hedged transaction affects earnings. As of June 30, 2010, we had three outstanding derivative contracts that were accounted for as cash flow hedges.</w:t>
      </w:r>
    </w:p>
    <w:p>
      <w:pPr>
        <w:spacing w:after="0" w:line="57"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7"/>
          <w:szCs w:val="17"/>
          <w:i w:val="1"/>
          <w:iCs w:val="1"/>
          <w:color w:val="auto"/>
        </w:rPr>
        <w:t xml:space="preserve">Fair value hedges. </w:t>
      </w:r>
      <w:r>
        <w:rPr>
          <w:rFonts w:ascii="Arial" w:cs="Arial" w:eastAsia="Arial" w:hAnsi="Arial"/>
          <w:sz w:val="17"/>
          <w:szCs w:val="17"/>
          <w:color w:val="auto"/>
        </w:rPr>
        <w:t>For derivative instruments that are designated and qualify as a fair value hedge, the gain or loss on the derivative,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offsetting loss or gain on the hedged item attributable to the hedged risk, are recognized in earnings. We include the gain or loss on the hedged items in Other income (expense). As of June 30, 2010, we had two outstanding derivative contracts that were accounted for as fair value hedges.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the three months ended June 30,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revenues increased by 33% to $97.2 million for the three months ended June 30, 2010 from $73.0 million for the three months ended June 30,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summarized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4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9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94,928</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$ 70,696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97,209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$ 73,000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46"/>
        <w:spacing w:after="0" w:line="270" w:lineRule="auto"/>
        <w:rPr>
          <w:sz w:val="20"/>
          <w:szCs w:val="20"/>
          <w:color w:val="auto"/>
        </w:rPr>
      </w:pPr>
      <w:r>
        <w:rPr>
          <w:rFonts w:ascii="Arial" w:cs="Arial" w:eastAsia="Arial" w:hAnsi="Arial"/>
          <w:sz w:val="17"/>
          <w:szCs w:val="17"/>
          <w:color w:val="auto"/>
        </w:rPr>
        <w:t>Revenues in our AMSC Power Systems business unit consist of revenues from wind turbine electrical systems and core components, wind turbine license and development contracts as well as D-VAR</w:t>
      </w:r>
      <w:r>
        <w:rPr>
          <w:rFonts w:ascii="Arial" w:cs="Arial" w:eastAsia="Arial" w:hAnsi="Arial"/>
          <w:sz w:val="14"/>
          <w:szCs w:val="14"/>
          <w:color w:val="auto"/>
        </w:rPr>
        <w:t>®</w:t>
      </w:r>
      <w:r>
        <w:rPr>
          <w:rFonts w:ascii="Arial" w:cs="Arial" w:eastAsia="Arial" w:hAnsi="Arial"/>
          <w:sz w:val="17"/>
          <w:szCs w:val="17"/>
          <w:color w:val="auto"/>
        </w:rPr>
        <w:t>, D-VAR RT™, SVC, and PowerModule™ product sales, service contracts, and consulting arrangements. We also engineer, install and commission our products on a turnkey basis for some customers. Our AMSC Power Systems business unit accounted for 98% and 97% of total revenues for the three months ended June 30, 2010 and 2009, respectively. Revenues in the AMSC Power Systems business unit increased 34% to $94.9 million in the three months ended June 30, 2010 from $70.7 million in the three months ended June 30, 2009. The increase in AMSC Power Systems business unit revenues was primarily due to higher sales of wind electrical systems and core components, primarily to customers in China, partially offset by lower DVAR-RT system revenues. Based on the average Euro and renminbi exchange rates for the first quarter of fiscal 2010, revenue denominated in these foreign currencies translated into U.S. dollars was $0.3 million lower compared to the translation of these revenues using the average exchange rates of these currencies for the first quarter of fiscal 2009.</w:t>
      </w:r>
    </w:p>
    <w:p>
      <w:pPr>
        <w:spacing w:after="0" w:line="74" w:lineRule="exact"/>
        <w:rPr>
          <w:sz w:val="20"/>
          <w:szCs w:val="20"/>
          <w:color w:val="auto"/>
        </w:rPr>
      </w:pPr>
    </w:p>
    <w:p>
      <w:pPr>
        <w:jc w:val="both"/>
        <w:ind w:firstLine="262"/>
        <w:spacing w:after="0" w:line="302" w:lineRule="auto"/>
        <w:rPr>
          <w:sz w:val="20"/>
          <w:szCs w:val="20"/>
          <w:color w:val="auto"/>
        </w:rPr>
      </w:pPr>
      <w:r>
        <w:rPr>
          <w:rFonts w:ascii="Arial" w:cs="Arial" w:eastAsia="Arial" w:hAnsi="Arial"/>
          <w:sz w:val="16"/>
          <w:szCs w:val="16"/>
          <w:color w:val="auto"/>
        </w:rPr>
        <w:t>For the quarter ended June 30, 2010, 72% of our revenues were derived from one customer, Sinovel Wind Co., Ltd. (“Sinovel”), a manufacturer of wind turbines based in China. For the quarter ended June 30, 2009, a substantial portion of our revenues was derived from three customers: Sinovel; ACCIONA S.A., a Spanish renewable power company; and a U.S. subsidiary of National Grid, an energy company. Sales to Sinovel represented 53% of total revenues for the three months ended June 30, 2009. Sales to ACCIONA and National Grid were 14% and 10%, respectively, for the three months ended June 30, 2009.</w:t>
      </w:r>
    </w:p>
    <w:p>
      <w:pPr>
        <w:spacing w:after="0" w:line="46" w:lineRule="exact"/>
        <w:rPr>
          <w:sz w:val="20"/>
          <w:szCs w:val="20"/>
          <w:color w:val="auto"/>
        </w:rPr>
      </w:pPr>
    </w:p>
    <w:p>
      <w:pPr>
        <w:jc w:val="both"/>
        <w:ind w:firstLine="248"/>
        <w:spacing w:after="0" w:line="277" w:lineRule="auto"/>
        <w:rPr>
          <w:sz w:val="20"/>
          <w:szCs w:val="20"/>
          <w:color w:val="auto"/>
        </w:rPr>
      </w:pPr>
      <w:r>
        <w:rPr>
          <w:rFonts w:ascii="Arial" w:cs="Arial" w:eastAsia="Arial" w:hAnsi="Arial"/>
          <w:sz w:val="18"/>
          <w:szCs w:val="18"/>
          <w:color w:val="auto"/>
        </w:rPr>
        <w:t>On May 17, 2010, we announced an extension of our supply of core electrical components for 1.5 megawatt (MW) wind turbines, to Sinovel through late 2013 under a new contract valued at approximately $445 million.</w:t>
      </w:r>
    </w:p>
    <w:p>
      <w:pPr>
        <w:spacing w:after="0" w:line="62" w:lineRule="exact"/>
        <w:rPr>
          <w:sz w:val="20"/>
          <w:szCs w:val="20"/>
          <w:color w:val="auto"/>
        </w:rPr>
      </w:pPr>
    </w:p>
    <w:p>
      <w:pPr>
        <w:jc w:val="both"/>
        <w:ind w:firstLine="237"/>
        <w:spacing w:after="0" w:line="276" w:lineRule="auto"/>
        <w:rPr>
          <w:sz w:val="20"/>
          <w:szCs w:val="20"/>
          <w:color w:val="auto"/>
        </w:rPr>
      </w:pPr>
      <w:r>
        <w:rPr>
          <w:rFonts w:ascii="Arial" w:cs="Arial" w:eastAsia="Arial" w:hAnsi="Arial"/>
          <w:sz w:val="17"/>
          <w:szCs w:val="17"/>
          <w:color w:val="auto"/>
        </w:rPr>
        <w:t>Revenues in our AMSC Superconductors business unit consist of contract revenues, HTS wire sales, revenues under government-sponsored electric utility projects, and other prototype development contracts. AMSC Superconductors business unit revenue is primarily recorded using the percentage-of-completion method. AMSC Superconductors business unit accounted for 2% and 3% revenues for the first quarter of fiscal 2010 and 2009, respectively. AMSC Superconductors business unit revenue remained essentially flat at $2.3 million in the first quarters of fiscal 2010 and fiscal 2009, respectively. Significant AMSC Superconductors government-funded contract revenues are summarized as follows (in thousands):</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Revenue Earned for the three months</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Revenue Earned</w:t>
            </w:r>
          </w:p>
        </w:tc>
        <w:tc>
          <w:tcPr>
            <w:tcW w:w="2500" w:type="dxa"/>
            <w:vAlign w:val="bottom"/>
            <w:tcBorders>
              <w:bottom w:val="single" w:sz="8" w:color="auto"/>
            </w:tcBorders>
            <w:gridSpan w:val="3"/>
          </w:tcPr>
          <w:p>
            <w:pPr>
              <w:jc w:val="center"/>
              <w:ind w:left="1118"/>
              <w:spacing w:after="0"/>
              <w:rPr>
                <w:sz w:val="20"/>
                <w:szCs w:val="20"/>
                <w:color w:val="auto"/>
              </w:rPr>
            </w:pPr>
            <w:r>
              <w:rPr>
                <w:rFonts w:ascii="Arial" w:cs="Arial" w:eastAsia="Arial" w:hAnsi="Arial"/>
                <w:sz w:val="14"/>
                <w:szCs w:val="14"/>
                <w:b w:val="1"/>
                <w:bCs w:val="1"/>
                <w:color w:val="auto"/>
                <w:w w:val="88"/>
              </w:rPr>
              <w:t>ended June 30,</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980" w:type="dxa"/>
            <w:vAlign w:val="bottom"/>
            <w:gridSpan w:val="2"/>
          </w:tcPr>
          <w:p>
            <w:pPr>
              <w:ind w:left="380"/>
              <w:spacing w:after="0" w:line="119" w:lineRule="exact"/>
              <w:rPr>
                <w:sz w:val="20"/>
                <w:szCs w:val="20"/>
                <w:color w:val="auto"/>
              </w:rPr>
            </w:pPr>
            <w:r>
              <w:rPr>
                <w:rFonts w:ascii="Arial" w:cs="Arial" w:eastAsia="Arial" w:hAnsi="Arial"/>
                <w:sz w:val="13"/>
                <w:szCs w:val="13"/>
                <w:b w:val="1"/>
                <w:bCs w:val="1"/>
                <w:color w:val="auto"/>
              </w:rPr>
              <w:t>Expected Total</w:t>
            </w:r>
          </w:p>
        </w:tc>
        <w:tc>
          <w:tcPr>
            <w:tcW w:w="19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through</w:t>
            </w:r>
          </w:p>
        </w:tc>
        <w:tc>
          <w:tcPr>
            <w:tcW w:w="1700" w:type="dxa"/>
            <w:vAlign w:val="bottom"/>
            <w:vMerge w:val="restart"/>
          </w:tcPr>
          <w:p>
            <w:pPr>
              <w:jc w:val="right"/>
              <w:ind w:right="618"/>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Contract Value</w:t>
            </w: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2010</w:t>
            </w:r>
          </w:p>
        </w:tc>
        <w:tc>
          <w:tcPr>
            <w:tcW w:w="1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Project Name</w:t>
            </w:r>
          </w:p>
        </w:tc>
        <w:tc>
          <w:tcPr>
            <w:tcW w:w="1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HYDRA</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24,908</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9,694</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LIPA I and II</w:t>
            </w:r>
          </w:p>
        </w:tc>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40,141</w:t>
            </w:r>
          </w:p>
        </w:tc>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35,133</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DOE-FCL</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7,898</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4,977</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571</w:t>
            </w:r>
          </w:p>
        </w:tc>
        <w:tc>
          <w:tcPr>
            <w:tcW w:w="5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NAVSEA Motor Study</w:t>
            </w:r>
          </w:p>
        </w:tc>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6,511</w:t>
            </w:r>
          </w:p>
        </w:tc>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6,319</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27"/>
        <w:spacing w:after="0" w:line="277" w:lineRule="auto"/>
        <w:rPr>
          <w:sz w:val="20"/>
          <w:szCs w:val="20"/>
          <w:color w:val="auto"/>
        </w:rPr>
      </w:pPr>
      <w:r>
        <w:rPr>
          <w:rFonts w:ascii="Arial" w:cs="Arial" w:eastAsia="Arial" w:hAnsi="Arial"/>
          <w:sz w:val="18"/>
          <w:szCs w:val="18"/>
          <w:color w:val="auto"/>
        </w:rPr>
        <w:t>These significant projects represented 69% and 45% of AMSC Superconductors business unit revenue for the three months ended June 30, 2010 and 2009, respectively.</w:t>
      </w:r>
    </w:p>
    <w:p>
      <w:pPr>
        <w:spacing w:after="0" w:line="62" w:lineRule="exact"/>
        <w:rPr>
          <w:sz w:val="20"/>
          <w:szCs w:val="20"/>
          <w:color w:val="auto"/>
        </w:rPr>
      </w:pPr>
    </w:p>
    <w:p>
      <w:pPr>
        <w:jc w:val="both"/>
        <w:ind w:right="20" w:firstLine="241"/>
        <w:spacing w:after="0" w:line="264" w:lineRule="auto"/>
        <w:rPr>
          <w:sz w:val="20"/>
          <w:szCs w:val="20"/>
          <w:color w:val="auto"/>
        </w:rPr>
      </w:pPr>
      <w:r>
        <w:rPr>
          <w:rFonts w:ascii="Arial" w:cs="Arial" w:eastAsia="Arial" w:hAnsi="Arial"/>
          <w:sz w:val="18"/>
          <w:szCs w:val="18"/>
          <w:color w:val="auto"/>
        </w:rPr>
        <w:t>The slight decrease in AMSC Superconductors business unit revenue for the first quarter of fiscal 2010 was driven primarily by lower OEM wire revenue slightly offset by increased government project revenues. We recognize superconductor cable project revenues from the Project HYDRA contract with Consolidated Edison, Inc. (“ConEdison”),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which is being funded by the Department of Homeland Security (“DHS”). DHS is expected to invest up to a total of $24.9 million in the development of a new high temperature superconductor power grid technology to enable Secure Super Grids™. Secure Super Grids utilize customized HTS wires, superconductor power cables and ancillary controls to deliver more power through the grid while also being able to suppress power surges that can disrupt service. Of the total $24.9 million in funding expected from DHS, it has committed funding of $12.6 million to us as of June 30, 2010. We recognized $0.1 million in revenue related to the Project HYDRA during the first quarter of fiscal 2010, compared to $0.3 million in the same period of fiscal 2009. ConEdison and Southwire Company are subcontractors to us on this project. On April 1, 2010, we received a modification to the contract that re-aligns the project funding to correlate with our current project plans to do further development and testing.</w:t>
      </w:r>
    </w:p>
    <w:p>
      <w:pPr>
        <w:spacing w:after="0" w:line="70" w:lineRule="exact"/>
        <w:rPr>
          <w:sz w:val="20"/>
          <w:szCs w:val="20"/>
          <w:color w:val="auto"/>
        </w:rPr>
      </w:pPr>
    </w:p>
    <w:p>
      <w:pPr>
        <w:jc w:val="both"/>
        <w:ind w:firstLine="247"/>
        <w:spacing w:after="0" w:line="259" w:lineRule="auto"/>
        <w:rPr>
          <w:sz w:val="20"/>
          <w:szCs w:val="20"/>
          <w:color w:val="auto"/>
        </w:rPr>
      </w:pPr>
      <w:r>
        <w:rPr>
          <w:rFonts w:ascii="Arial" w:cs="Arial" w:eastAsia="Arial" w:hAnsi="Arial"/>
          <w:sz w:val="18"/>
          <w:szCs w:val="18"/>
          <w:color w:val="auto"/>
        </w:rPr>
        <w:t>LIPA I, completed in the first quarter of fiscal 2009, was a project to install an HTS power cable system at transmission voltage using our first generation HTS wire for the Long Island Power Authority. LIPA II is a project to install an HTS power cable utilizing our second generation HTS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79" w:lineRule="exact"/>
        <w:rPr>
          <w:sz w:val="20"/>
          <w:szCs w:val="20"/>
          <w:color w:val="auto"/>
        </w:rPr>
      </w:pPr>
    </w:p>
    <w:p>
      <w:pPr>
        <w:jc w:val="both"/>
        <w:ind w:firstLine="331"/>
        <w:spacing w:after="0" w:line="264" w:lineRule="auto"/>
        <w:rPr>
          <w:sz w:val="20"/>
          <w:szCs w:val="20"/>
          <w:color w:val="auto"/>
        </w:rPr>
      </w:pPr>
      <w:r>
        <w:rPr>
          <w:rFonts w:ascii="Arial" w:cs="Arial" w:eastAsia="Arial" w:hAnsi="Arial"/>
          <w:sz w:val="18"/>
          <w:szCs w:val="18"/>
          <w:color w:val="auto"/>
        </w:rPr>
        <w:t>The increase in the LIPA project revenue is related to a new phase of the project starting up. Revenues from our DOE-FCL project were positively impacted by a release of funding that was authorized in July 2009. The increase in the NAVSEA Motor Study project revenue represents a conclusion of the follow-on contracts from the U.S. Navy.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117" w:lineRule="exact"/>
        <w:rPr>
          <w:sz w:val="20"/>
          <w:szCs w:val="20"/>
          <w:color w:val="auto"/>
        </w:rPr>
      </w:pPr>
    </w:p>
    <w:p>
      <w:pPr>
        <w:jc w:val="both"/>
        <w:ind w:firstLine="368"/>
        <w:spacing w:after="0" w:line="254" w:lineRule="auto"/>
        <w:rPr>
          <w:sz w:val="20"/>
          <w:szCs w:val="20"/>
          <w:color w:val="auto"/>
        </w:rPr>
      </w:pPr>
      <w:r>
        <w:rPr>
          <w:rFonts w:ascii="Arial" w:cs="Arial" w:eastAsia="Arial" w:hAnsi="Arial"/>
          <w:sz w:val="18"/>
          <w:szCs w:val="18"/>
          <w:color w:val="auto"/>
        </w:rPr>
        <w:t>In addition to reported revenues, we also received funding of $0.3 million for the first quarter of fiscal 2010 under U.S. government cost-sharing agreements with the U.S. Air Force and the Department of Energy (“DOE”), compared to $0.7 million for the first quarter of fiscal 2009. The decrease in cost-sharing funding is primarily due to the completion of the NIST Advanced Technology Program. All of our cost-sharing agreements provide funding in support of development work on 344 superconductors 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 As of June 30, 2010, we anticipate recognizing an additional $0.5 million offset to R&amp;D and SG&amp;A expenses related to these cost-sharing agreements over the following quarters of this fiscal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7"/>
          <w:szCs w:val="17"/>
          <w:color w:val="auto"/>
        </w:rPr>
        <w:t>Cost of revenues increased by 15% to $58.2 million for the first quarter of fiscal 2010 compared to $50.4 million for the first quarter of fiscal 2009. Gross margin was 40.1% for the first quarter of fiscal 2010 compared to 30.9% for the first quarter of fiscal 2009. The increase in gross margin in the first quarter of fiscal 2010 as compared to the same period in fiscal 2009 was due primarily to a shift in mix towards higher margin wind turbine core electrical component shipments, material cost reductions, resulting primarily from the localization of component supply in China for our power electronic converters, which are now manufactured there, as well as favorable foreign exchange effects. Based on average Euro and renminbi exchange rates for the first quarter of fiscal 2010, cost of revenues denominated in these foreign currencies translated into U.S. dollars was approximately $1.4 million lower compared to the translation of these cost of revenues, using the average exchange rates of these currencies for the first quarter of fiscal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329"/>
        <w:spacing w:after="0" w:line="342" w:lineRule="auto"/>
        <w:rPr>
          <w:sz w:val="20"/>
          <w:szCs w:val="20"/>
          <w:color w:val="auto"/>
        </w:rPr>
      </w:pPr>
      <w:r>
        <w:rPr>
          <w:rFonts w:ascii="Arial" w:cs="Arial" w:eastAsia="Arial" w:hAnsi="Arial"/>
          <w:sz w:val="16"/>
          <w:szCs w:val="16"/>
          <w:color w:val="auto"/>
        </w:rPr>
        <w:t>A portion of our R&amp;D expenditures related to externally-funded development contracts has been classified as costs of revenue (rather than as R&amp;D expenses). Additionally, a portion of R&amp;D expenses was offset by cost-sharing funding. Our R&amp;D expenditures are summarized as follows (in thousands):</w:t>
      </w:r>
    </w:p>
    <w:p>
      <w:pPr>
        <w:spacing w:after="0" w:line="116"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Three months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Income</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R&amp;D expenditures reclassified as costs of revenue</w:t>
            </w: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4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Aggregated R&amp;D expenses</w:t>
            </w:r>
          </w:p>
        </w:tc>
        <w:tc>
          <w:tcPr>
            <w:tcW w:w="4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10,845</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420" w:type="dxa"/>
            <w:vAlign w:val="bottom"/>
            <w:vMerge w:val="restart"/>
          </w:tcPr>
          <w:p>
            <w:pPr>
              <w:jc w:val="right"/>
              <w:ind w:right="347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49"/>
        <w:spacing w:after="0" w:line="254" w:lineRule="auto"/>
        <w:rPr>
          <w:sz w:val="20"/>
          <w:szCs w:val="20"/>
          <w:color w:val="auto"/>
        </w:rPr>
      </w:pPr>
      <w:r>
        <w:rPr>
          <w:rFonts w:ascii="Arial" w:cs="Arial" w:eastAsia="Arial" w:hAnsi="Arial"/>
          <w:sz w:val="18"/>
          <w:szCs w:val="18"/>
          <w:color w:val="auto"/>
        </w:rPr>
        <w:t>R&amp;D expenses (exclusive of amounts classified as costs of revenue and amounts offset by cost-sharing funding) increased by 62% to $7.3 million, or 8% of revenue, for the three months ended June 30, 2010 from $4.5 million, or 6% of revenue, for the same period of fiscal 2009. The increase in R&amp;D expenses was driven primarily by increased headcount and related labor, material and overhead spending to support new product development in our AMSC Power Systems business unit. The increase in R&amp;D expenditures reclassified to costs of revenue was a result of increased efforts under our government funded contracts in AMSC Superconductors business unit compared to the prior year period and increased efforts under license and development contracts for wind turbine designs in AMSC Windtec. Aggregated R&amp;D expenses, which include amounts classified as costs of revenue and amounts offset by cost-sharing funding, increased 69% to $10.8 million, or 11% of revenue, for the first quarter of fiscal 2010 compared to $6.4 million, or 9% of revenue, for the first quarter of fiscal 2009.</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firstLine="290"/>
        <w:spacing w:after="0" w:line="34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pacing w:after="0" w:line="116"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jc w:val="center"/>
        <w:ind w:left="84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8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$ 15,183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$ 10,885</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SG&amp;A expenditures reclassified as costs of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23"/>
        </w:trPr>
        <w:tc>
          <w:tcPr>
            <w:tcW w:w="8580" w:type="dxa"/>
            <w:vAlign w:val="bottom"/>
          </w:tcPr>
          <w:p>
            <w:pPr>
              <w:ind w:left="200"/>
              <w:spacing w:after="0"/>
              <w:rPr>
                <w:sz w:val="20"/>
                <w:szCs w:val="20"/>
                <w:color w:val="auto"/>
              </w:rPr>
            </w:pPr>
            <w:r>
              <w:rPr>
                <w:rFonts w:ascii="Arial" w:cs="Arial" w:eastAsia="Arial" w:hAnsi="Arial"/>
                <w:sz w:val="18"/>
                <w:szCs w:val="18"/>
                <w:color w:val="auto"/>
              </w:rPr>
              <w:t>Aggregated SG&amp;A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$ 15,425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$ 11,280</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68"/>
        <w:spacing w:after="0" w:line="291" w:lineRule="auto"/>
        <w:rPr>
          <w:sz w:val="20"/>
          <w:szCs w:val="20"/>
          <w:color w:val="auto"/>
        </w:rPr>
      </w:pPr>
      <w:r>
        <w:rPr>
          <w:rFonts w:ascii="Arial" w:cs="Arial" w:eastAsia="Arial" w:hAnsi="Arial"/>
          <w:sz w:val="16"/>
          <w:szCs w:val="16"/>
          <w:color w:val="auto"/>
        </w:rPr>
        <w:t>SG&amp;A expenses (exclusive of amounts classified as costs of revenue and amounts offset by cost-sharing funding) increased by 39% to $15.2 million, or 16% of revenue, in the first quarter of fiscal 2010 from $10.9 million, or 15% of revenue, for the first quarter of fiscal 2009. The increase in SG&amp;A expenses was due primarily to higher stock-based compensation expense and higher labor and related costs driven by headcount growth. Bad debt expense also increased in the first quarter of fiscal 2010 over the same period last fiscal year by $0.9 million to reserve for certain past due accounts. In addition, in the first quarter of fiscal 2009, there was a recovery of bad debt reserves of $0.8 million due to payments received on previously reserved customer accounts. For these same reasons, Aggregated SG&amp;A expenses, which include amounts classified as costs of revenue and amounts offset by cost sharing funding, increased 37% to $15.4 million, or 16% of revenue, for the first quarter of fiscal 2010 from $11.3 million, or 15% of revenue, for the first quarter of fiscal 2009.</w:t>
      </w:r>
    </w:p>
    <w:p>
      <w:pPr>
        <w:spacing w:after="0" w:line="59" w:lineRule="exact"/>
        <w:rPr>
          <w:sz w:val="20"/>
          <w:szCs w:val="20"/>
          <w:color w:val="auto"/>
        </w:rPr>
      </w:pPr>
    </w:p>
    <w:p>
      <w:pPr>
        <w:jc w:val="both"/>
        <w:ind w:firstLine="310"/>
        <w:spacing w:after="0" w:line="302"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Income have been, and may in the future be, subject to significant fluctuations solely as a result of changes in the level of externally funded contract development work, resulting in significant changes in the amount of the costs recorded as cost of revenues rather than as R&amp;D and SG&amp;A expenses, as discussed above.</w:t>
      </w:r>
    </w:p>
    <w:p>
      <w:pPr>
        <w:spacing w:after="0" w:line="46"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8"/>
          <w:szCs w:val="18"/>
          <w:color w:val="auto"/>
        </w:rPr>
        <w:t>We plan to continue to increase R&amp;D and SG&amp;A expenditures in absolute terms in the coming quarters to provide the platform for growth in subsequent years, but expect them to decline in fiscal 2010 as a percent of revenue from fiscal 2009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117" w:lineRule="exact"/>
        <w:rPr>
          <w:sz w:val="20"/>
          <w:szCs w:val="20"/>
          <w:color w:val="auto"/>
        </w:rPr>
      </w:pPr>
    </w:p>
    <w:p>
      <w:pPr>
        <w:jc w:val="both"/>
        <w:ind w:firstLine="231"/>
        <w:spacing w:after="0" w:line="264" w:lineRule="auto"/>
        <w:rPr>
          <w:sz w:val="20"/>
          <w:szCs w:val="20"/>
          <w:color w:val="auto"/>
        </w:rPr>
      </w:pPr>
      <w:r>
        <w:rPr>
          <w:rFonts w:ascii="Arial" w:cs="Arial" w:eastAsia="Arial" w:hAnsi="Arial"/>
          <w:sz w:val="18"/>
          <w:szCs w:val="18"/>
          <w:color w:val="auto"/>
        </w:rPr>
        <w:t>We recorded $0.4 million in amortization expense related to our contractual relationships/backlog, customer relationships, core technology and know-how, trade names and trademark intangible assets for the first quarters of each of fiscal 2010 and fiscal 2009. These intangible assets are a result of our AMSC Windtec and PQS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217"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Three months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15,395</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AMSC Superconductors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(5,910)</w:t>
            </w: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Total</w:t>
            </w:r>
          </w:p>
        </w:tc>
        <w:tc>
          <w:tcPr>
            <w:tcW w:w="5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$ 16,081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60" w:type="dxa"/>
            <w:vAlign w:val="bottom"/>
            <w:vMerge w:val="restart"/>
          </w:tcPr>
          <w:p>
            <w:pPr>
              <w:jc w:val="right"/>
              <w:ind w:right="3470"/>
              <w:spacing w:after="0"/>
              <w:rPr>
                <w:sz w:val="20"/>
                <w:szCs w:val="20"/>
                <w:color w:val="auto"/>
              </w:rPr>
            </w:pPr>
            <w:r>
              <w:rPr>
                <w:rFonts w:ascii="Arial" w:cs="Arial" w:eastAsia="Arial" w:hAnsi="Arial"/>
                <w:sz w:val="18"/>
                <w:szCs w:val="18"/>
                <w:color w:val="auto"/>
              </w:rPr>
              <w:t>19</w:t>
            </w: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AMSC Power Systems operating income increased to $25.5 million in the first quarter of fiscal 2010 from $15.4 million in the first quarter of fiscal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first quarter of fiscal 2010 was primarily the result of higher sales, as described above.</w:t>
      </w:r>
    </w:p>
    <w:p>
      <w:pPr>
        <w:spacing w:after="0" w:line="103" w:lineRule="exact"/>
        <w:rPr>
          <w:sz w:val="20"/>
          <w:szCs w:val="20"/>
          <w:color w:val="auto"/>
        </w:rPr>
      </w:pPr>
    </w:p>
    <w:p>
      <w:pPr>
        <w:jc w:val="both"/>
        <w:ind w:firstLine="233"/>
        <w:spacing w:after="0" w:line="342" w:lineRule="auto"/>
        <w:rPr>
          <w:sz w:val="20"/>
          <w:szCs w:val="20"/>
          <w:color w:val="auto"/>
        </w:rPr>
      </w:pPr>
      <w:r>
        <w:rPr>
          <w:rFonts w:ascii="Arial" w:cs="Arial" w:eastAsia="Arial" w:hAnsi="Arial"/>
          <w:sz w:val="16"/>
          <w:szCs w:val="16"/>
          <w:color w:val="auto"/>
        </w:rPr>
        <w:t>AMSC Superconductors operating loss increased to $5.9 million in the first quarter of fiscal 2010 from $5.5 million in the first quarter of fiscal 2009. The increase in operating loss for the first quarter of fiscal 2010 is primarily due to increased operating expenses to support planned operations expansion.</w:t>
      </w:r>
    </w:p>
    <w:p>
      <w:pPr>
        <w:spacing w:after="0" w:line="16" w:lineRule="exact"/>
        <w:rPr>
          <w:sz w:val="20"/>
          <w:szCs w:val="20"/>
          <w:color w:val="auto"/>
        </w:rPr>
      </w:pPr>
    </w:p>
    <w:p>
      <w:pPr>
        <w:jc w:val="both"/>
        <w:ind w:firstLine="238"/>
        <w:spacing w:after="0" w:line="277" w:lineRule="auto"/>
        <w:rPr>
          <w:sz w:val="20"/>
          <w:szCs w:val="20"/>
          <w:color w:val="auto"/>
        </w:rPr>
      </w:pPr>
      <w:r>
        <w:rPr>
          <w:rFonts w:ascii="Arial" w:cs="Arial" w:eastAsia="Arial" w:hAnsi="Arial"/>
          <w:sz w:val="18"/>
          <w:szCs w:val="18"/>
          <w:color w:val="auto"/>
        </w:rPr>
        <w:t>Unallocated corporate expenses include stock-based compensation expense of $3.5 million for the first quarter of fiscal 2010 compared to $3.1 million for the first quarter of fiscal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(expenses)/Interest income</w:t>
      </w:r>
    </w:p>
    <w:p>
      <w:pPr>
        <w:spacing w:after="0" w:line="117"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18"/>
          <w:szCs w:val="18"/>
          <w:color w:val="auto"/>
        </w:rPr>
        <w:t>Interest income was $0.2 million for the first quarters of each of fiscal 2010 and fiscal 2009. Due to current economic conditions, yields are low for interest bearing assets.</w:t>
      </w:r>
    </w:p>
    <w:p>
      <w:pPr>
        <w:spacing w:after="0" w:line="62" w:lineRule="exact"/>
        <w:rPr>
          <w:sz w:val="20"/>
          <w:szCs w:val="20"/>
          <w:color w:val="auto"/>
        </w:rPr>
      </w:pPr>
    </w:p>
    <w:p>
      <w:pPr>
        <w:jc w:val="both"/>
        <w:ind w:firstLine="242"/>
        <w:spacing w:after="0" w:line="312" w:lineRule="auto"/>
        <w:rPr>
          <w:sz w:val="20"/>
          <w:szCs w:val="20"/>
          <w:color w:val="auto"/>
        </w:rPr>
      </w:pPr>
      <w:r>
        <w:rPr>
          <w:rFonts w:ascii="Arial" w:cs="Arial" w:eastAsia="Arial" w:hAnsi="Arial"/>
          <w:sz w:val="16"/>
          <w:szCs w:val="16"/>
          <w:color w:val="auto"/>
        </w:rPr>
        <w:t>Other income (expense), net, was $0.2 million of other income in the first quarter of fiscal 2010 compared to $2.0 million of other expense in first quarter of fiscal 2009. Other income, net, primarily relates to net foreign currency translation gains and losses and net realized and unrealized losses on hedging contracts. In the first quarter of fiscal 2009 a hedging program had not been implemented for the entire quarter, resulting in a larger foreign exchange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227"/>
        <w:spacing w:after="0" w:line="342" w:lineRule="auto"/>
        <w:rPr>
          <w:sz w:val="20"/>
          <w:szCs w:val="20"/>
          <w:color w:val="auto"/>
        </w:rPr>
      </w:pPr>
      <w:r>
        <w:rPr>
          <w:rFonts w:ascii="Arial" w:cs="Arial" w:eastAsia="Arial" w:hAnsi="Arial"/>
          <w:sz w:val="16"/>
          <w:szCs w:val="16"/>
          <w:color w:val="auto"/>
        </w:rPr>
        <w:t>During the first quarters of fiscal 2010 and fiscal 2009, we recorded income tax expense of $7.3 million and $2.9 million, respectively. Income tax expense in both periods was driven by income generated in foreign jurisdictions. We incurred losses in the U.S. during the first quarters of fiscal 2010 and fiscal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ind w:firstLine="303"/>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79" w:lineRule="exact"/>
        <w:rPr>
          <w:sz w:val="20"/>
          <w:szCs w:val="20"/>
          <w:color w:val="auto"/>
        </w:rPr>
      </w:pPr>
    </w:p>
    <w:p>
      <w:pPr>
        <w:jc w:val="both"/>
        <w:ind w:firstLine="373"/>
        <w:spacing w:after="0" w:line="257" w:lineRule="auto"/>
        <w:rPr>
          <w:sz w:val="20"/>
          <w:szCs w:val="20"/>
          <w:color w:val="auto"/>
        </w:rPr>
      </w:pPr>
      <w:r>
        <w:rPr>
          <w:rFonts w:ascii="Arial" w:cs="Arial" w:eastAsia="Arial" w:hAnsi="Arial"/>
          <w:sz w:val="18"/>
          <w:szCs w:val="18"/>
          <w:color w:val="auto"/>
        </w:rPr>
        <w:t>We define non-GAAP net income as net income before amortization of acquisition-related intangibles, restructuring and impairments, stock-based compensation, other unusual charges and any tax effects related to these items. We believe non-GAAP net income is an important measurement for management and investors given the effect that these non-cash or non-recurring charges have on our net income. We regard non-GAAP net income as a useful measure of operating performance which more closely aligns net income with cash earnings generated by continuing operations. A reconciliation of non-GAAP to GAAP net income is set forth in the table below (in thousands, except per share data):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1"/>
              </w:rPr>
              <w:t>Three months ended</w:t>
            </w:r>
          </w:p>
        </w:tc>
      </w:tr>
      <w:tr>
        <w:trPr>
          <w:trHeight w:val="209"/>
        </w:trPr>
        <w:tc>
          <w:tcPr>
            <w:tcW w:w="9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9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7"/>
                <w:szCs w:val="17"/>
                <w:color w:val="auto"/>
              </w:rPr>
            </w:pPr>
          </w:p>
        </w:tc>
      </w:tr>
      <w:tr>
        <w:trPr>
          <w:trHeight w:val="25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r>
      <w:tr>
        <w:trPr>
          <w:trHeight w:val="250"/>
        </w:trPr>
        <w:tc>
          <w:tcPr>
            <w:tcW w:w="958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63"/>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impairments</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50"/>
        </w:trPr>
        <w:tc>
          <w:tcPr>
            <w:tcW w:w="9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3,499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r>
      <w:tr>
        <w:trPr>
          <w:trHeight w:val="257"/>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Tax effects</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64"/>
        </w:trPr>
        <w:tc>
          <w:tcPr>
            <w:tcW w:w="9580" w:type="dxa"/>
            <w:vAlign w:val="bottom"/>
          </w:tcPr>
          <w:p>
            <w:pPr>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12,972</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2"/>
                <w:szCs w:val="22"/>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9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Non-GAAP earnings per share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95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45,983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44,533</w:t>
            </w:r>
          </w:p>
        </w:tc>
      </w:tr>
      <w:tr>
        <w:trPr>
          <w:trHeight w:val="20"/>
        </w:trPr>
        <w:tc>
          <w:tcPr>
            <w:tcW w:w="9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38"/>
        <w:spacing w:after="0" w:line="286" w:lineRule="auto"/>
        <w:rPr>
          <w:sz w:val="20"/>
          <w:szCs w:val="20"/>
          <w:color w:val="auto"/>
        </w:rPr>
      </w:pPr>
      <w:r>
        <w:rPr>
          <w:rFonts w:ascii="Arial" w:cs="Arial" w:eastAsia="Arial" w:hAnsi="Arial"/>
          <w:sz w:val="17"/>
          <w:szCs w:val="17"/>
          <w:color w:val="auto"/>
        </w:rPr>
        <w:t>We generated non-GAAP net income of $13.0 million or $0.28 per diluted share, for the three months ended June 30, 2010, compared to a non-GAAP net income of $5.5 million or $0.12 per diluted share, for the three months ended June 30, 2009. The increase in non-GAAP net income was driven primarily by higher net income and, to a lesser extent, higher stock-based compensation expense, which was added back to net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290"/>
        <w:spacing w:after="0" w:line="342" w:lineRule="auto"/>
        <w:rPr>
          <w:sz w:val="20"/>
          <w:szCs w:val="20"/>
          <w:color w:val="auto"/>
        </w:rPr>
      </w:pPr>
      <w:r>
        <w:rPr>
          <w:rFonts w:ascii="Arial" w:cs="Arial" w:eastAsia="Arial" w:hAnsi="Arial"/>
          <w:sz w:val="16"/>
          <w:szCs w:val="16"/>
          <w:color w:val="auto"/>
        </w:rPr>
        <w:t>At June 30, 2010, we had cash, cash equivalents, marketable securities and restricted cash of $120.7 million compared to $155.1 million at March 31, 2010, a decrease of $34.4 million. Our cash and cash equivalents, marketable securities and restricted cash are summarized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2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87,594</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50,593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61,811</w:t>
            </w:r>
          </w:p>
        </w:tc>
        <w:tc>
          <w:tcPr>
            <w:tcW w:w="1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CEEFF"/>
          </w:tcPr>
          <w:p>
            <w:pPr>
              <w:spacing w:after="0"/>
              <w:rPr>
                <w:sz w:val="18"/>
                <w:szCs w:val="18"/>
                <w:color w:val="auto"/>
              </w:rPr>
            </w:pPr>
          </w:p>
        </w:tc>
      </w:tr>
      <w:tr>
        <w:trPr>
          <w:trHeight w:val="223"/>
        </w:trPr>
        <w:tc>
          <w:tcPr>
            <w:tcW w:w="9480" w:type="dxa"/>
            <w:vAlign w:val="bottom"/>
          </w:tcPr>
          <w:p>
            <w:pPr>
              <w:ind w:left="22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120,702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155,118</w:t>
            </w:r>
          </w:p>
        </w:tc>
        <w:tc>
          <w:tcPr>
            <w:tcW w:w="12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8"/>
          <w:szCs w:val="18"/>
          <w:color w:val="auto"/>
        </w:rPr>
        <w:t>The decrease in cash and cash equivalents, marketable securities and restricted cash at June 30, 2010 from March 31, 2010 was primarily due to some customer payments shifting from June to July 2010, an increase in capital expenditures in line with our earlier forecast and a decrease of the dollar value of cash held in foreign currencies.</w:t>
      </w:r>
    </w:p>
    <w:p>
      <w:pPr>
        <w:spacing w:after="0" w:line="73" w:lineRule="exact"/>
        <w:rPr>
          <w:sz w:val="20"/>
          <w:szCs w:val="20"/>
          <w:color w:val="auto"/>
        </w:rPr>
      </w:pPr>
    </w:p>
    <w:p>
      <w:pPr>
        <w:jc w:val="both"/>
        <w:ind w:firstLine="372"/>
        <w:spacing w:after="0" w:line="264" w:lineRule="auto"/>
        <w:rPr>
          <w:sz w:val="20"/>
          <w:szCs w:val="20"/>
          <w:color w:val="auto"/>
        </w:rPr>
      </w:pPr>
      <w:r>
        <w:rPr>
          <w:rFonts w:ascii="Arial" w:cs="Arial" w:eastAsia="Arial" w:hAnsi="Arial"/>
          <w:sz w:val="18"/>
          <w:szCs w:val="18"/>
          <w:color w:val="auto"/>
        </w:rPr>
        <w:t>For the quarter ended June 30, 2010, net cash used in operating activities was $18.5 million compared to net cash used in operating activities of $14.1 million in the first quarter of fiscal 2009. The increase in cash used by operations is due primarily to an increase in cash used for working capital of $17.0 million, partially offset by our increase in net income of $7.4 million.</w:t>
      </w:r>
    </w:p>
    <w:p>
      <w:pPr>
        <w:spacing w:after="0" w:line="73" w:lineRule="exact"/>
        <w:rPr>
          <w:sz w:val="20"/>
          <w:szCs w:val="20"/>
          <w:color w:val="auto"/>
        </w:rPr>
      </w:pPr>
    </w:p>
    <w:p>
      <w:pPr>
        <w:jc w:val="both"/>
        <w:ind w:right="20" w:firstLine="250"/>
        <w:spacing w:after="0" w:line="264" w:lineRule="auto"/>
        <w:rPr>
          <w:sz w:val="20"/>
          <w:szCs w:val="20"/>
          <w:color w:val="auto"/>
        </w:rPr>
      </w:pPr>
      <w:r>
        <w:rPr>
          <w:rFonts w:ascii="Arial" w:cs="Arial" w:eastAsia="Arial" w:hAnsi="Arial"/>
          <w:sz w:val="18"/>
          <w:szCs w:val="18"/>
          <w:color w:val="auto"/>
        </w:rPr>
        <w:t>For the quarter ended June 30, 2010, net cash used in investing activities was less than $0.1 million compared to net cash provided by investing activities of $7.7 million in the first quarter of fiscal 2009. The decrease in cash provided by investing activities was driven primarily by an increase in capital expenditures.</w:t>
      </w:r>
    </w:p>
    <w:p>
      <w:pPr>
        <w:spacing w:after="0" w:line="73" w:lineRule="exact"/>
        <w:rPr>
          <w:sz w:val="20"/>
          <w:szCs w:val="20"/>
          <w:color w:val="auto"/>
        </w:rPr>
      </w:pPr>
    </w:p>
    <w:p>
      <w:pPr>
        <w:jc w:val="both"/>
        <w:ind w:firstLine="249"/>
        <w:spacing w:after="0" w:line="277" w:lineRule="auto"/>
        <w:rPr>
          <w:sz w:val="20"/>
          <w:szCs w:val="20"/>
          <w:color w:val="auto"/>
        </w:rPr>
      </w:pPr>
      <w:r>
        <w:rPr>
          <w:rFonts w:ascii="Arial" w:cs="Arial" w:eastAsia="Arial" w:hAnsi="Arial"/>
          <w:sz w:val="18"/>
          <w:szCs w:val="18"/>
          <w:color w:val="auto"/>
        </w:rPr>
        <w:t>For the first quarter of fiscal 2010, cash provided by financing activities was $0.6 million compared to $1.5 million in the first quarter of fiscal 2009. The decrease was due to a reduction in proceeds from the exercise of employee stock options.</w:t>
      </w:r>
    </w:p>
    <w:p>
      <w:pPr>
        <w:spacing w:after="0" w:line="62"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w:t>
      </w:r>
    </w:p>
    <w:p>
      <w:pPr>
        <w:spacing w:after="0" w:line="73"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We have unused, unsecured lines of credit consisting of CNY 11.9 million (approximately $1.8 million) and €2.0 million (approximately $2.4 million). We also have an additional $3.5 million in bank guarantees and letters of credit supported by unsecured lines of credit.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firstLine="403"/>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73" w:lineRule="exact"/>
        <w:rPr>
          <w:sz w:val="20"/>
          <w:szCs w:val="20"/>
          <w:color w:val="auto"/>
        </w:rPr>
      </w:pPr>
    </w:p>
    <w:p>
      <w:pPr>
        <w:jc w:val="both"/>
        <w:ind w:firstLine="253"/>
        <w:spacing w:after="0" w:line="264"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June 30, 2010, there were no recorded performance-based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firstLine="282"/>
        <w:spacing w:after="0" w:line="255" w:lineRule="auto"/>
        <w:rPr>
          <w:sz w:val="20"/>
          <w:szCs w:val="20"/>
          <w:color w:val="auto"/>
        </w:rPr>
      </w:pPr>
      <w:r>
        <w:rPr>
          <w:rFonts w:ascii="Arial" w:cs="Arial" w:eastAsia="Arial" w:hAnsi="Arial"/>
          <w:sz w:val="18"/>
          <w:szCs w:val="18"/>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or third party evidence cannot be determined. The rules provide for the determination of the best estimate of selling price for separate deliverables and allows for the allocation of arrangement consideration using this relative selling price model. The guidance supersedes the prior multiple element revenue arrangement accounting rules that we previously used. We have adopted this guidance effective April 1, 2010. The adoption did not have a material impact on our financial condition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73"/>
        <w:spacing w:after="0" w:line="308" w:lineRule="auto"/>
        <w:rPr>
          <w:sz w:val="20"/>
          <w:szCs w:val="20"/>
          <w:color w:val="auto"/>
        </w:rPr>
      </w:pPr>
      <w:r>
        <w:rPr>
          <w:rFonts w:ascii="Arial" w:cs="Arial" w:eastAsia="Arial" w:hAnsi="Arial"/>
          <w:sz w:val="17"/>
          <w:szCs w:val="17"/>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firstLine="252"/>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sovereign debt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6"/>
          <w:szCs w:val="16"/>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 and currency options to manage the foreign currency exposures that exist as part of its ongoing business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jc w:val="both"/>
        <w:ind w:firstLine="292"/>
        <w:spacing w:after="0" w:line="272" w:lineRule="auto"/>
        <w:rPr>
          <w:sz w:val="20"/>
          <w:szCs w:val="20"/>
          <w:color w:val="auto"/>
        </w:rPr>
      </w:pPr>
      <w:r>
        <w:rPr>
          <w:rFonts w:ascii="Arial" w:cs="Arial" w:eastAsia="Arial" w:hAnsi="Arial"/>
          <w:sz w:val="17"/>
          <w:szCs w:val="17"/>
          <w:color w:val="auto"/>
        </w:rPr>
        <w:t>We hedge a portion of our intercompany sales of inventory over a maximum period of 15 months using forward foreign exchange contracts which are accounted for as cash flow hedges, to mitigate the impact of volatility associated with foreign currency transactions. To the extent these derivatives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To the extent that a previously forecasted transaction is no longer an effective hedge, any ineffectiveness measured in the hedging relationship is recorded currently in earnings in the period it occurs. We do not enter into derivative instruments for trading or speculative purposes.</w:t>
      </w:r>
    </w:p>
    <w:p>
      <w:pPr>
        <w:spacing w:after="0" w:line="70" w:lineRule="exact"/>
        <w:rPr>
          <w:sz w:val="20"/>
          <w:szCs w:val="20"/>
          <w:color w:val="auto"/>
        </w:rPr>
      </w:pPr>
    </w:p>
    <w:p>
      <w:pPr>
        <w:jc w:val="both"/>
        <w:ind w:firstLine="258"/>
        <w:spacing w:after="0" w:line="293" w:lineRule="auto"/>
        <w:rPr>
          <w:sz w:val="20"/>
          <w:szCs w:val="20"/>
          <w:color w:val="auto"/>
        </w:rPr>
      </w:pPr>
      <w:r>
        <w:rPr>
          <w:rFonts w:ascii="Arial" w:cs="Arial" w:eastAsia="Arial" w:hAnsi="Arial"/>
          <w:sz w:val="16"/>
          <w:szCs w:val="16"/>
          <w:color w:val="auto"/>
        </w:rPr>
        <w:t>At June 30, 2010, the Company had three forward contracts outstanding to hedge exposure at the Company’s wholly-owned Austrian subsidiary, AMSC Windtec GmbH (“AMSC Windtec”), selling Euros and buying USD at $1.2408, $1.242 and $1.2433, with notional values of $6.9 million, $4.6 million and $2.3 million, respectively. These contracts will expire on September 27, 2010, December 27, 2010 and March 28, 2011, respectively. At June 30, 2010, these forward exchange contracts had an aggregate U.S. dollar equivalent fair value amounting to a net unrealized loss of $0.2 million in other comprehensive income. The net gain or loss from these cash flow hedges reported in accumulated other comprehensive income will be reclassified to earnings and recorded in revenues in our consolidated statement of operations when the related inventory is sold to third-party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Derivatives</w:t>
      </w:r>
    </w:p>
    <w:p>
      <w:pPr>
        <w:spacing w:after="0" w:line="117" w:lineRule="exact"/>
        <w:rPr>
          <w:sz w:val="20"/>
          <w:szCs w:val="20"/>
          <w:color w:val="auto"/>
        </w:rPr>
      </w:pPr>
    </w:p>
    <w:p>
      <w:pPr>
        <w:jc w:val="both"/>
        <w:ind w:firstLine="232"/>
        <w:spacing w:after="0" w:line="293" w:lineRule="auto"/>
        <w:rPr>
          <w:sz w:val="20"/>
          <w:szCs w:val="20"/>
          <w:color w:val="auto"/>
        </w:rPr>
      </w:pPr>
      <w:r>
        <w:rPr>
          <w:rFonts w:ascii="Arial" w:cs="Arial" w:eastAsia="Arial" w:hAnsi="Arial"/>
          <w:sz w:val="16"/>
          <w:szCs w:val="16"/>
          <w:color w:val="auto"/>
        </w:rPr>
        <w:t>In addition to cash flow hedges, the Company also enters into foreign currency forward exchange contracts to mitigate the impact of foreign exchange risk related to non-functional currency receivable balances in its foreign entities. To the extent that hedge accounting criteria is not met, changes in the fair value of these contracts are recorded in earnings in the period which they occur. These contracts primarily are denominated in the Euro and Chinese renminbi (“CNY”) and have maturities of less than six months. On June 30, 2010, the Company had two forward contracts outstanding to hedge USD receivables exposure at AMSC Windtec, selling Euros and buying USD at $1.2192 and $1.2173, with notional values of $27.0 million and $24.0 million, respectively, which both expired on July 30, 2010 .. Gains and losses on these contracts are included in other expense, net.</w:t>
      </w:r>
    </w:p>
    <w:p>
      <w:pPr>
        <w:spacing w:after="0" w:line="57"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8"/>
          <w:szCs w:val="18"/>
          <w:color w:val="auto"/>
        </w:rPr>
        <w:t>As of June 30, 2010, actual unrealized gains included in Prepaid expenses were $0.2 million for foreign currency forward exchange contracts and actual unrealized losses included in Accrued liability were $0.1 million for cash flow hedges. As of March 31, 2010, actual unrealized gains included in Prepaid expenses were $0.2 million for foreign currency forward exchange contracts.</w:t>
      </w:r>
    </w:p>
    <w:p>
      <w:pPr>
        <w:spacing w:after="0" w:line="73"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8"/>
          <w:szCs w:val="18"/>
          <w:color w:val="auto"/>
        </w:rPr>
        <w:t>Net realized and unrealized losses on forward contracts and option contracts included in other expense, net, excluding the underlying foreign currency exposure being hedged, were $4.0 million and $0.3 million for the three months ended June 30, 2010 and 2009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235"/>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2010.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2010,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335"/>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June 30, 2010 that has materially affected, or is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253"/>
        <w:spacing w:after="0" w:line="286" w:lineRule="auto"/>
        <w:rPr>
          <w:sz w:val="20"/>
          <w:szCs w:val="20"/>
          <w:color w:val="auto"/>
        </w:rPr>
      </w:pPr>
      <w:r>
        <w:rPr>
          <w:rFonts w:ascii="Arial" w:cs="Arial" w:eastAsia="Arial" w:hAnsi="Arial"/>
          <w:sz w:val="17"/>
          <w:szCs w:val="17"/>
          <w:color w:val="auto"/>
        </w:rPr>
        <w:t>Investing in our common stock involves a high degree of risk. You should carefully consider the risks and uncertainties described in our annual report on Form 10-K for the year ended March 31, 2010 in addition to the other information included in this quarterly report. If any of the risks actually occurs, our business, financial condition or results of operations would likely suffer. In that case, the trading price of our common stock could fall.</w:t>
      </w:r>
    </w:p>
    <w:p>
      <w:pPr>
        <w:spacing w:after="0" w:line="57" w:lineRule="exact"/>
        <w:rPr>
          <w:sz w:val="20"/>
          <w:szCs w:val="20"/>
          <w:color w:val="auto"/>
        </w:rPr>
      </w:pPr>
    </w:p>
    <w:p>
      <w:pPr>
        <w:jc w:val="both"/>
        <w:ind w:firstLine="250"/>
        <w:spacing w:after="0" w:line="342" w:lineRule="auto"/>
        <w:rPr>
          <w:sz w:val="20"/>
          <w:szCs w:val="20"/>
          <w:color w:val="auto"/>
        </w:rPr>
      </w:pPr>
      <w:r>
        <w:rPr>
          <w:rFonts w:ascii="Arial" w:cs="Arial" w:eastAsia="Arial" w:hAnsi="Arial"/>
          <w:sz w:val="16"/>
          <w:szCs w:val="16"/>
          <w:color w:val="auto"/>
        </w:rPr>
        <w:t>As of June 30, 2010, there have not been any material changes to the risk factors disclosed in our Annual Report on Form 10-K for the fiscal year ended March 31, 2010, although we may disclose changes to such risk factors or disclose additional risk factors from time to time in our future filings with the SEC.</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AMERICAN SUPERCONDUCTOR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Date: August 5, 2010</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/s/ DAVID A. HENRY</w:t>
            </w:r>
          </w:p>
        </w:tc>
        <w:tc>
          <w:tcPr>
            <w:tcW w:w="2560" w:type="dxa"/>
            <w:vAlign w:val="bottom"/>
          </w:tcPr>
          <w:p>
            <w:pPr>
              <w:spacing w:after="0"/>
              <w:rPr>
                <w:sz w:val="20"/>
                <w:szCs w:val="20"/>
                <w:color w:val="auto"/>
              </w:rPr>
            </w:pPr>
          </w:p>
        </w:tc>
      </w:tr>
      <w:tr>
        <w:trPr>
          <w:trHeight w:val="195"/>
        </w:trPr>
        <w:tc>
          <w:tcPr>
            <w:tcW w:w="4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5"/>
              </w:rPr>
              <w:t>David A. Henry</w:t>
            </w:r>
          </w:p>
        </w:tc>
        <w:tc>
          <w:tcPr>
            <w:tcW w:w="256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c>
          <w:tcPr>
            <w:tcW w:w="256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0" w:type="dxa"/>
            <w:vAlign w:val="bottom"/>
          </w:tcPr>
          <w:p>
            <w:pPr>
              <w:jc w:val="center"/>
              <w:ind w:right="30"/>
              <w:spacing w:after="0"/>
              <w:rPr>
                <w:sz w:val="20"/>
                <w:szCs w:val="20"/>
                <w:color w:val="auto"/>
              </w:rPr>
            </w:pPr>
            <w:r>
              <w:rPr>
                <w:rFonts w:ascii="Arial" w:cs="Arial" w:eastAsia="Arial" w:hAnsi="Arial"/>
                <w:sz w:val="18"/>
                <w:szCs w:val="18"/>
                <w:color w:val="auto"/>
                <w:w w:val="93"/>
              </w:rPr>
              <w:t>(Principal Financial and Accounting Officer)</w:t>
            </w:r>
          </w:p>
        </w:tc>
        <w:tc>
          <w:tcPr>
            <w:tcW w:w="2560" w:type="dxa"/>
            <w:vAlign w:val="bottom"/>
          </w:tcPr>
          <w:p>
            <w:pPr>
              <w:spacing w:after="0"/>
              <w:rPr>
                <w:sz w:val="20"/>
                <w:szCs w:val="20"/>
                <w:color w:val="auto"/>
              </w:rPr>
            </w:pPr>
          </w:p>
        </w:tc>
      </w:tr>
      <w:tr>
        <w:trPr>
          <w:trHeight w:val="405"/>
        </w:trPr>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jc w:val="right"/>
              <w:ind w:right="2970"/>
              <w:spacing w:after="0"/>
              <w:rPr>
                <w:sz w:val="20"/>
                <w:szCs w:val="20"/>
                <w:color w:val="auto"/>
              </w:rPr>
            </w:pPr>
            <w:r>
              <w:rPr>
                <w:rFonts w:ascii="Arial" w:cs="Arial" w:eastAsia="Arial" w:hAnsi="Arial"/>
                <w:sz w:val="18"/>
                <w:szCs w:val="18"/>
                <w:color w:val="auto"/>
              </w:rPr>
              <w:t>26</w:t>
            </w:r>
          </w:p>
        </w:tc>
        <w:tc>
          <w:tcPr>
            <w:tcW w:w="2560" w:type="dxa"/>
            <w:vAlign w:val="bottom"/>
          </w:tcPr>
          <w:p>
            <w:pPr>
              <w:spacing w:after="0"/>
              <w:rPr>
                <w:sz w:val="24"/>
                <w:szCs w:val="24"/>
                <w:color w:val="auto"/>
              </w:rPr>
            </w:pPr>
          </w:p>
        </w:tc>
      </w:tr>
      <w:tr>
        <w:trPr>
          <w:trHeight w:val="226"/>
        </w:trPr>
        <w:tc>
          <w:tcPr>
            <w:tcW w:w="4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54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425"/>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160"/>
              <w:spacing w:after="0"/>
              <w:rPr>
                <w:sz w:val="20"/>
                <w:szCs w:val="20"/>
                <w:color w:val="auto"/>
              </w:rPr>
            </w:pPr>
            <w:r>
              <w:rPr>
                <w:rFonts w:ascii="Arial" w:cs="Arial" w:eastAsia="Arial" w:hAnsi="Arial"/>
                <w:sz w:val="18"/>
                <w:szCs w:val="18"/>
                <w:color w:val="auto"/>
                <w:w w:val="96"/>
              </w:rPr>
              <w:t>Chief Executive Officer—Certification pursuant to Rule 13a-14(a) or Rule 15d-14(a) of the Securities Exchange Act of 1934, as adopted</w:t>
            </w:r>
          </w:p>
        </w:tc>
      </w:tr>
      <w:tr>
        <w:trPr>
          <w:trHeight w:val="230"/>
        </w:trPr>
        <w:tc>
          <w:tcPr>
            <w:tcW w:w="880" w:type="dxa"/>
            <w:vAlign w:val="bottom"/>
          </w:tcPr>
          <w:p>
            <w:pPr>
              <w:spacing w:after="0"/>
              <w:rPr>
                <w:sz w:val="20"/>
                <w:szCs w:val="20"/>
                <w:color w:val="auto"/>
              </w:rPr>
            </w:pPr>
          </w:p>
        </w:tc>
        <w:tc>
          <w:tcPr>
            <w:tcW w:w="10540" w:type="dxa"/>
            <w:vAlign w:val="bottom"/>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160"/>
              <w:spacing w:after="0"/>
              <w:rPr>
                <w:sz w:val="20"/>
                <w:szCs w:val="20"/>
                <w:color w:val="auto"/>
              </w:rPr>
            </w:pPr>
            <w:r>
              <w:rPr>
                <w:rFonts w:ascii="Arial" w:cs="Arial" w:eastAsia="Arial" w:hAnsi="Arial"/>
                <w:sz w:val="18"/>
                <w:szCs w:val="18"/>
                <w:color w:val="auto"/>
                <w:w w:val="96"/>
              </w:rPr>
              <w:t>Chief Financial Officer—Certification pursuant to Rule 13a-14(a) or Rule 15d-14(a) of the Securities Exchange Act of 1934, as adopted</w:t>
            </w:r>
          </w:p>
        </w:tc>
      </w:tr>
      <w:tr>
        <w:trPr>
          <w:trHeight w:val="230"/>
        </w:trPr>
        <w:tc>
          <w:tcPr>
            <w:tcW w:w="880" w:type="dxa"/>
            <w:vAlign w:val="bottom"/>
          </w:tcPr>
          <w:p>
            <w:pPr>
              <w:spacing w:after="0"/>
              <w:rPr>
                <w:sz w:val="20"/>
                <w:szCs w:val="20"/>
                <w:color w:val="auto"/>
              </w:rPr>
            </w:pPr>
          </w:p>
        </w:tc>
        <w:tc>
          <w:tcPr>
            <w:tcW w:w="10540" w:type="dxa"/>
            <w:vAlign w:val="bottom"/>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160"/>
              <w:spacing w:after="0"/>
              <w:rPr>
                <w:sz w:val="20"/>
                <w:szCs w:val="20"/>
                <w:color w:val="auto"/>
              </w:rPr>
            </w:pPr>
            <w:r>
              <w:rPr>
                <w:rFonts w:ascii="Arial" w:cs="Arial" w:eastAsia="Arial" w:hAnsi="Arial"/>
                <w:sz w:val="18"/>
                <w:szCs w:val="18"/>
                <w:color w:val="auto"/>
                <w:w w:val="95"/>
              </w:rPr>
              <w:t>Chief Executive Officer—Certification pursuant to Rule13a-14(b) or Rule 15d-14(b) of the Securities Exchange Act of 1934 and 18 U.S.C.</w:t>
            </w:r>
          </w:p>
        </w:tc>
      </w:tr>
      <w:tr>
        <w:trPr>
          <w:trHeight w:val="230"/>
        </w:trPr>
        <w:tc>
          <w:tcPr>
            <w:tcW w:w="880" w:type="dxa"/>
            <w:vAlign w:val="bottom"/>
          </w:tcPr>
          <w:p>
            <w:pPr>
              <w:spacing w:after="0"/>
              <w:rPr>
                <w:sz w:val="20"/>
                <w:szCs w:val="20"/>
                <w:color w:val="auto"/>
              </w:rPr>
            </w:pPr>
          </w:p>
        </w:tc>
        <w:tc>
          <w:tcPr>
            <w:tcW w:w="10540" w:type="dxa"/>
            <w:vAlign w:val="bottom"/>
          </w:tcPr>
          <w:p>
            <w:pPr>
              <w:ind w:left="16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160"/>
              <w:spacing w:after="0"/>
              <w:rPr>
                <w:sz w:val="20"/>
                <w:szCs w:val="20"/>
                <w:color w:val="auto"/>
              </w:rPr>
            </w:pPr>
            <w:r>
              <w:rPr>
                <w:rFonts w:ascii="Arial" w:cs="Arial" w:eastAsia="Arial" w:hAnsi="Arial"/>
                <w:sz w:val="18"/>
                <w:szCs w:val="18"/>
                <w:color w:val="auto"/>
                <w:w w:val="95"/>
              </w:rPr>
              <w:t>Chief Financial Officer—Certification pursuant to Rule 13a-14(b) or Rule 15d-14(b) of the Securities Exchange Act of 1934 and 18 U.S.C.</w:t>
            </w:r>
          </w:p>
        </w:tc>
      </w:tr>
      <w:tr>
        <w:trPr>
          <w:trHeight w:val="230"/>
        </w:trPr>
        <w:tc>
          <w:tcPr>
            <w:tcW w:w="880" w:type="dxa"/>
            <w:vAlign w:val="bottom"/>
          </w:tcPr>
          <w:p>
            <w:pPr>
              <w:spacing w:after="0"/>
              <w:rPr>
                <w:sz w:val="20"/>
                <w:szCs w:val="20"/>
                <w:color w:val="auto"/>
              </w:rPr>
            </w:pPr>
          </w:p>
        </w:tc>
        <w:tc>
          <w:tcPr>
            <w:tcW w:w="10540" w:type="dxa"/>
            <w:vAlign w:val="bottom"/>
          </w:tcPr>
          <w:p>
            <w:pPr>
              <w:ind w:left="16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160"/>
              <w:spacing w:after="0"/>
              <w:rPr>
                <w:sz w:val="20"/>
                <w:szCs w:val="20"/>
                <w:color w:val="auto"/>
              </w:rPr>
            </w:pPr>
            <w:r>
              <w:rPr>
                <w:rFonts w:ascii="Arial" w:cs="Arial" w:eastAsia="Arial" w:hAnsi="Arial"/>
                <w:sz w:val="18"/>
                <w:szCs w:val="18"/>
                <w:color w:val="auto"/>
              </w:rPr>
              <w:t>XBRL Taxonomy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160"/>
              <w:spacing w:after="0"/>
              <w:rPr>
                <w:sz w:val="20"/>
                <w:szCs w:val="20"/>
                <w:color w:val="auto"/>
              </w:rPr>
            </w:pPr>
            <w:r>
              <w:rPr>
                <w:rFonts w:ascii="Arial" w:cs="Arial" w:eastAsia="Arial" w:hAnsi="Arial"/>
                <w:sz w:val="18"/>
                <w:szCs w:val="18"/>
                <w:color w:val="auto"/>
              </w:rPr>
              <w:t>XBRL Taxonomy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160"/>
              <w:spacing w:after="0"/>
              <w:rPr>
                <w:sz w:val="20"/>
                <w:szCs w:val="20"/>
                <w:color w:val="auto"/>
              </w:rPr>
            </w:pPr>
            <w:r>
              <w:rPr>
                <w:rFonts w:ascii="Arial" w:cs="Arial" w:eastAsia="Arial" w:hAnsi="Arial"/>
                <w:sz w:val="18"/>
                <w:szCs w:val="18"/>
                <w:color w:val="auto"/>
              </w:rPr>
              <w:t>XBRL Taxonomy Presentation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Statements of Income for the quarters ended June 30, 2010 and 2009, (ii) Condensed Consolidated Balance Sheets at June 30, 2010 and March 31, 2010, (iii) Condensed Consolidated Statements of Cash Flows for the quarters ended June 30, 2010 and 2009, (iv) Condensed Consolidated Statements of Comprehensive Income (Loss) for the three months ended June 30, 2010 and 2009 and (v) Notes to Condensed Consolidated Financial Statements.</w:t>
      </w:r>
    </w:p>
    <w:p>
      <w:pPr>
        <w:spacing w:after="0" w:line="4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1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11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9" w:lineRule="exact"/>
        <w:rPr>
          <w:sz w:val="20"/>
          <w:szCs w:val="20"/>
          <w:color w:val="auto"/>
        </w:rPr>
      </w:pPr>
    </w:p>
    <w:p>
      <w:pPr>
        <w:spacing w:after="0"/>
        <w:tabs>
          <w:tab w:leader="none" w:pos="5560" w:val="left"/>
          <w:tab w:leader="none" w:pos="7760" w:val="left"/>
        </w:tabs>
        <w:rPr>
          <w:sz w:val="20"/>
          <w:szCs w:val="20"/>
          <w:color w:val="auto"/>
        </w:rPr>
      </w:pPr>
      <w:r>
        <w:rPr>
          <w:rFonts w:ascii="Arial" w:cs="Arial" w:eastAsia="Arial" w:hAnsi="Arial"/>
          <w:sz w:val="18"/>
          <w:szCs w:val="18"/>
          <w:color w:val="auto"/>
        </w:rPr>
        <w:t>Date: August 5,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627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9" w:lineRule="exact"/>
        <w:rPr>
          <w:sz w:val="20"/>
          <w:szCs w:val="20"/>
          <w:color w:val="auto"/>
        </w:rPr>
      </w:pPr>
    </w:p>
    <w:p>
      <w:pPr>
        <w:spacing w:after="0"/>
        <w:tabs>
          <w:tab w:leader="none" w:pos="5340" w:val="left"/>
          <w:tab w:leader="none" w:pos="7760" w:val="left"/>
        </w:tabs>
        <w:rPr>
          <w:sz w:val="20"/>
          <w:szCs w:val="20"/>
          <w:color w:val="auto"/>
        </w:rPr>
      </w:pPr>
      <w:r>
        <w:rPr>
          <w:rFonts w:ascii="Arial" w:cs="Arial" w:eastAsia="Arial" w:hAnsi="Arial"/>
          <w:sz w:val="18"/>
          <w:szCs w:val="18"/>
          <w:color w:val="auto"/>
        </w:rPr>
        <w:t>Date: August 5,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3782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250"/>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2010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340" w:val="left"/>
          <w:tab w:leader="none" w:pos="7660" w:val="left"/>
        </w:tabs>
        <w:rPr>
          <w:sz w:val="20"/>
          <w:szCs w:val="20"/>
          <w:color w:val="auto"/>
        </w:rPr>
      </w:pPr>
      <w:r>
        <w:rPr>
          <w:rFonts w:ascii="Arial" w:cs="Arial" w:eastAsia="Arial" w:hAnsi="Arial"/>
          <w:sz w:val="18"/>
          <w:szCs w:val="18"/>
          <w:color w:val="auto"/>
        </w:rPr>
        <w:t>Date: August 5,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3782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250"/>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2010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340" w:val="left"/>
          <w:tab w:leader="none" w:pos="7760" w:val="left"/>
        </w:tabs>
        <w:rPr>
          <w:sz w:val="20"/>
          <w:szCs w:val="20"/>
          <w:color w:val="auto"/>
        </w:rPr>
      </w:pPr>
      <w:r>
        <w:rPr>
          <w:rFonts w:ascii="Arial" w:cs="Arial" w:eastAsia="Arial" w:hAnsi="Arial"/>
          <w:sz w:val="18"/>
          <w:szCs w:val="18"/>
          <w:color w:val="auto"/>
        </w:rPr>
        <w:t>Date: August 5, 2010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3782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1."/>
      <w:numFmt w:val="decimal"/>
      <w:start w:val="1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2019-12-10T09:40:43Z</dcterms:created>
  <dcterms:modified xsi:type="dcterms:W3CDTF">2019-12-10T09:40:43Z</dcterms:modified>
</cp:coreProperties>
</file>