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3580"/>
        <w:spacing w:after="0"/>
        <w:tabs>
          <w:tab w:leader="none" w:pos="672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04-2959321</w:t>
            </w:r>
          </w:p>
        </w:tc>
      </w:tr>
      <w:tr>
        <w:trPr>
          <w:trHeight w:val="149"/>
        </w:trPr>
        <w:tc>
          <w:tcPr>
            <w:tcW w:w="6320" w:type="dxa"/>
            <w:vAlign w:val="bottom"/>
          </w:tcPr>
          <w:p>
            <w:pPr>
              <w:jc w:val="center"/>
              <w:ind w:right="40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20" w:type="dxa"/>
            <w:vAlign w:val="bottom"/>
          </w:tcPr>
          <w:p>
            <w:pPr>
              <w:jc w:val="center"/>
              <w:ind w:right="4002"/>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20" w:type="dxa"/>
            <w:vAlign w:val="bottom"/>
          </w:tcPr>
          <w:p>
            <w:pPr>
              <w:jc w:val="center"/>
              <w:ind w:right="4022"/>
              <w:spacing w:after="0"/>
              <w:rPr>
                <w:sz w:val="20"/>
                <w:szCs w:val="20"/>
                <w:color w:val="auto"/>
              </w:rPr>
            </w:pPr>
            <w:r>
              <w:rPr>
                <w:rFonts w:ascii="Arial" w:cs="Arial" w:eastAsia="Arial" w:hAnsi="Arial"/>
                <w:sz w:val="18"/>
                <w:szCs w:val="18"/>
                <w:b w:val="1"/>
                <w:bCs w:val="1"/>
                <w:color w:val="auto"/>
                <w:w w:val="85"/>
              </w:rPr>
              <w:t>64 Jackson Road, Devens,</w:t>
            </w:r>
          </w:p>
        </w:tc>
        <w:tc>
          <w:tcPr>
            <w:tcW w:w="1080" w:type="dxa"/>
            <w:vAlign w:val="bottom"/>
          </w:tcPr>
          <w:p>
            <w:pPr>
              <w:spacing w:after="0"/>
              <w:rPr>
                <w:sz w:val="24"/>
                <w:szCs w:val="24"/>
                <w:color w:val="auto"/>
              </w:rPr>
            </w:pPr>
          </w:p>
        </w:tc>
      </w:tr>
      <w:tr>
        <w:trPr>
          <w:trHeight w:val="231"/>
        </w:trPr>
        <w:tc>
          <w:tcPr>
            <w:tcW w:w="6320" w:type="dxa"/>
            <w:vAlign w:val="bottom"/>
          </w:tcPr>
          <w:p>
            <w:pPr>
              <w:jc w:val="center"/>
              <w:ind w:right="4002"/>
              <w:spacing w:after="0"/>
              <w:rPr>
                <w:sz w:val="20"/>
                <w:szCs w:val="20"/>
                <w:color w:val="auto"/>
              </w:rPr>
            </w:pPr>
            <w:r>
              <w:rPr>
                <w:rFonts w:ascii="Arial" w:cs="Arial" w:eastAsia="Arial" w:hAnsi="Arial"/>
                <w:sz w:val="18"/>
                <w:szCs w:val="18"/>
                <w:b w:val="1"/>
                <w:bCs w:val="1"/>
                <w:color w:val="auto"/>
                <w:w w:val="83"/>
              </w:rPr>
              <w:t>Massachusetts</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01434</w:t>
            </w:r>
          </w:p>
        </w:tc>
      </w:tr>
      <w:tr>
        <w:trPr>
          <w:trHeight w:val="174"/>
        </w:trPr>
        <w:tc>
          <w:tcPr>
            <w:tcW w:w="63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20" w:type="dxa"/>
            <w:vAlign w:val="bottom"/>
          </w:tcPr>
          <w:p>
            <w:pPr>
              <w:jc w:val="center"/>
              <w:ind w:left="1462"/>
              <w:spacing w:after="0"/>
              <w:rPr>
                <w:sz w:val="20"/>
                <w:szCs w:val="20"/>
                <w:color w:val="auto"/>
              </w:rPr>
            </w:pPr>
            <w:r>
              <w:rPr>
                <w:rFonts w:ascii="Arial" w:cs="Arial" w:eastAsia="Arial" w:hAnsi="Arial"/>
                <w:sz w:val="18"/>
                <w:szCs w:val="18"/>
                <w:b w:val="1"/>
                <w:bCs w:val="1"/>
                <w:color w:val="auto"/>
                <w:w w:val="89"/>
              </w:rPr>
              <w:t>(978) 842-3000</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352"/>
        </w:trPr>
        <w:tc>
          <w:tcPr>
            <w:tcW w:w="6320" w:type="dxa"/>
            <w:vAlign w:val="bottom"/>
          </w:tcPr>
          <w:p>
            <w:pPr>
              <w:jc w:val="center"/>
              <w:ind w:left="1462"/>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4880" w:type="dxa"/>
            <w:vAlign w:val="bottom"/>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23"/>
                <w:szCs w:val="23"/>
                <w:color w:val="auto"/>
              </w:rPr>
            </w:pPr>
          </w:p>
        </w:tc>
        <w:tc>
          <w:tcPr>
            <w:tcW w:w="2700" w:type="dxa"/>
            <w:vAlign w:val="bottom"/>
            <w:gridSpan w:val="2"/>
          </w:tcPr>
          <w:p>
            <w:pPr>
              <w:ind w:left="5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4880" w:type="dxa"/>
            <w:vAlign w:val="bottom"/>
            <w:gridSpan w:val="2"/>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840" w:type="dxa"/>
            <w:vAlign w:val="bottom"/>
          </w:tcPr>
          <w:p>
            <w:pPr>
              <w:spacing w:after="0"/>
              <w:rPr>
                <w:sz w:val="24"/>
                <w:szCs w:val="24"/>
                <w:color w:val="auto"/>
              </w:rPr>
            </w:pPr>
          </w:p>
        </w:tc>
        <w:tc>
          <w:tcPr>
            <w:tcW w:w="2700" w:type="dxa"/>
            <w:vAlign w:val="bottom"/>
            <w:gridSpan w:val="2"/>
          </w:tcPr>
          <w:p>
            <w:pPr>
              <w:ind w:left="5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600" w:type="dxa"/>
            <w:vAlign w:val="bottom"/>
          </w:tcPr>
          <w:p>
            <w:pPr>
              <w:spacing w:after="0"/>
              <w:rPr>
                <w:sz w:val="24"/>
                <w:szCs w:val="24"/>
                <w:color w:val="auto"/>
              </w:rPr>
            </w:pPr>
          </w:p>
        </w:tc>
        <w:tc>
          <w:tcPr>
            <w:tcW w:w="9420" w:type="dxa"/>
            <w:vAlign w:val="bottom"/>
            <w:gridSpan w:val="5"/>
          </w:tcPr>
          <w:p>
            <w:pPr>
              <w:ind w:left="2220"/>
              <w:spacing w:after="0"/>
              <w:rPr>
                <w:sz w:val="20"/>
                <w:szCs w:val="20"/>
                <w:color w:val="auto"/>
              </w:rPr>
            </w:pPr>
            <w:r>
              <w:rPr>
                <w:rFonts w:ascii="Arial" w:cs="Arial" w:eastAsia="Arial" w:hAnsi="Arial"/>
                <w:sz w:val="18"/>
                <w:szCs w:val="18"/>
                <w:color w:val="auto"/>
              </w:rPr>
              <w:t>Shares outstanding of the Registrant’s common stock:</w:t>
            </w:r>
          </w:p>
        </w:tc>
        <w:tc>
          <w:tcPr>
            <w:tcW w:w="400" w:type="dxa"/>
            <w:vAlign w:val="bottom"/>
          </w:tcPr>
          <w:p>
            <w:pPr>
              <w:spacing w:after="0"/>
              <w:rPr>
                <w:sz w:val="24"/>
                <w:szCs w:val="24"/>
                <w:color w:val="auto"/>
              </w:rPr>
            </w:pPr>
          </w:p>
        </w:tc>
      </w:tr>
      <w:tr>
        <w:trPr>
          <w:trHeight w:val="353"/>
        </w:trPr>
        <w:tc>
          <w:tcPr>
            <w:tcW w:w="16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Common Stock, par value $0.01 per share</w:t>
            </w:r>
          </w:p>
        </w:tc>
        <w:tc>
          <w:tcPr>
            <w:tcW w:w="2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52,631,649</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300" w:type="dxa"/>
            <w:vAlign w:val="bottom"/>
          </w:tcPr>
          <w:p>
            <w:pPr>
              <w:spacing w:after="0"/>
              <w:rPr>
                <w:sz w:val="18"/>
                <w:szCs w:val="18"/>
                <w:color w:val="auto"/>
              </w:rPr>
            </w:pPr>
          </w:p>
        </w:tc>
        <w:tc>
          <w:tcPr>
            <w:tcW w:w="1840" w:type="dxa"/>
            <w:vAlign w:val="bottom"/>
          </w:tcPr>
          <w:p>
            <w:pPr>
              <w:ind w:left="1060"/>
              <w:spacing w:after="0"/>
              <w:rPr>
                <w:sz w:val="20"/>
                <w:szCs w:val="20"/>
                <w:color w:val="auto"/>
              </w:rPr>
            </w:pPr>
            <w:r>
              <w:rPr>
                <w:rFonts w:ascii="Arial" w:cs="Arial" w:eastAsia="Arial" w:hAnsi="Arial"/>
                <w:sz w:val="18"/>
                <w:szCs w:val="18"/>
                <w:color w:val="auto"/>
                <w:w w:val="78"/>
              </w:rPr>
              <w:t>Outstanding</w:t>
            </w: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as of July 27, 2012</w:t>
            </w:r>
          </w:p>
        </w:tc>
        <w:tc>
          <w:tcPr>
            <w:tcW w:w="400" w:type="dxa"/>
            <w:vAlign w:val="bottom"/>
          </w:tcPr>
          <w:p>
            <w:pPr>
              <w:spacing w:after="0"/>
              <w:rPr>
                <w:sz w:val="18"/>
                <w:szCs w:val="18"/>
                <w:color w:val="auto"/>
              </w:rPr>
            </w:pPr>
          </w:p>
        </w:tc>
      </w:tr>
      <w:tr>
        <w:trPr>
          <w:trHeight w:val="115"/>
        </w:trPr>
        <w:tc>
          <w:tcPr>
            <w:tcW w:w="16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r>
      <w:tr>
        <w:trPr>
          <w:trHeight w:val="302"/>
        </w:trPr>
        <w:tc>
          <w:tcPr>
            <w:tcW w:w="10820" w:type="dxa"/>
            <w:vAlign w:val="bottom"/>
            <w:gridSpan w:val="13"/>
          </w:tcPr>
          <w:p>
            <w:pPr>
              <w:spacing w:after="0"/>
              <w:rPr>
                <w:sz w:val="20"/>
                <w:szCs w:val="20"/>
                <w:color w:val="auto"/>
              </w:rPr>
            </w:pPr>
            <w:r>
              <w:rPr>
                <w:rFonts w:ascii="Arial" w:cs="Arial" w:eastAsia="Arial" w:hAnsi="Arial"/>
                <w:sz w:val="18"/>
                <w:szCs w:val="18"/>
                <w:b w:val="1"/>
                <w:bCs w:val="1"/>
                <w:color w:val="auto"/>
              </w:rPr>
              <w:t>PART I—FINANCIAL INFORMATION</w:t>
            </w:r>
          </w:p>
        </w:tc>
        <w:tc>
          <w:tcPr>
            <w:tcW w:w="500" w:type="dxa"/>
            <w:vAlign w:val="bottom"/>
          </w:tcPr>
          <w:p>
            <w:pPr>
              <w:spacing w:after="0"/>
              <w:rPr>
                <w:sz w:val="24"/>
                <w:szCs w:val="24"/>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5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3"/>
        </w:trPr>
        <w:tc>
          <w:tcPr>
            <w:tcW w:w="10820" w:type="dxa"/>
            <w:vAlign w:val="bottom"/>
            <w:gridSpan w:val="13"/>
          </w:tcPr>
          <w:p>
            <w:pPr>
              <w:spacing w:after="0"/>
              <w:rPr>
                <w:sz w:val="20"/>
                <w:szCs w:val="20"/>
                <w:color w:val="auto"/>
              </w:rPr>
            </w:pPr>
            <w:r>
              <w:rPr>
                <w:rFonts w:ascii="Arial" w:cs="Arial" w:eastAsia="Arial" w:hAnsi="Arial"/>
                <w:sz w:val="18"/>
                <w:szCs w:val="18"/>
                <w:b w:val="1"/>
                <w:bCs w:val="1"/>
                <w:color w:val="auto"/>
              </w:rPr>
              <w:t>PART II—OTHER INFORMATION</w:t>
            </w:r>
          </w:p>
        </w:tc>
        <w:tc>
          <w:tcPr>
            <w:tcW w:w="500" w:type="dxa"/>
            <w:vAlign w:val="bottom"/>
          </w:tcPr>
          <w:p>
            <w:pPr>
              <w:spacing w:after="0"/>
              <w:rPr>
                <w:sz w:val="24"/>
                <w:szCs w:val="24"/>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Legal Proceedings</w:t>
              </w:r>
            </w:hyperlink>
          </w:p>
        </w:tc>
        <w:tc>
          <w:tcPr>
            <w:tcW w:w="85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Risk Factors</w:t>
              </w:r>
            </w:hyperlink>
          </w:p>
        </w:tc>
        <w:tc>
          <w:tcPr>
            <w:tcW w:w="894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Unregistered Sales of Equity Securities and Use of Proceeds</w:t>
              </w:r>
            </w:hyperlink>
          </w:p>
        </w:tc>
        <w:tc>
          <w:tcPr>
            <w:tcW w:w="558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w:t>
              </w:r>
            </w:hyperlink>
          </w:p>
        </w:tc>
        <w:tc>
          <w:tcPr>
            <w:tcW w:w="540" w:type="dxa"/>
            <w:vAlign w:val="bottom"/>
            <w:tcBorders>
              <w:top w:val="single" w:sz="8" w:color="0000EE"/>
            </w:tcBorders>
          </w:tcPr>
          <w:p>
            <w:pPr>
              <w:spacing w:after="0"/>
              <w:rPr>
                <w:sz w:val="24"/>
                <w:szCs w:val="24"/>
                <w:color w:val="auto"/>
              </w:rPr>
            </w:pPr>
          </w:p>
        </w:tc>
        <w:tc>
          <w:tcPr>
            <w:tcW w:w="756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Other Information</w:t>
              </w:r>
            </w:hyperlink>
          </w:p>
        </w:tc>
        <w:tc>
          <w:tcPr>
            <w:tcW w:w="85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6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gridSpan w:val="10"/>
          </w:tcPr>
          <w:p>
            <w:pPr>
              <w:ind w:left="4680"/>
              <w:spacing w:after="0"/>
              <w:rPr>
                <w:sz w:val="20"/>
                <w:szCs w:val="20"/>
                <w:color w:val="auto"/>
              </w:rPr>
            </w:pPr>
            <w:r>
              <w:rPr>
                <w:rFonts w:ascii="Arial" w:cs="Arial" w:eastAsia="Arial" w:hAnsi="Arial"/>
                <w:sz w:val="18"/>
                <w:szCs w:val="18"/>
                <w:color w:val="auto"/>
              </w:rPr>
              <w:t>2</w:t>
            </w: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r>
      <w:tr>
        <w:trPr>
          <w:trHeight w:val="161"/>
        </w:trPr>
        <w:tc>
          <w:tcPr>
            <w:tcW w:w="20" w:type="dxa"/>
            <w:vAlign w:val="bottom"/>
          </w:tcPr>
          <w:p>
            <w:pPr>
              <w:spacing w:after="0"/>
              <w:rPr>
                <w:sz w:val="14"/>
                <w:szCs w:val="14"/>
                <w:color w:val="auto"/>
              </w:rPr>
            </w:pPr>
          </w:p>
        </w:tc>
        <w:tc>
          <w:tcPr>
            <w:tcW w:w="80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ind w:left="4320"/>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46,279</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5,304</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18,999</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29,256</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31,444</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155,101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143,571</w:t>
            </w: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90,828</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Intangibles,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264,178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255,056</w:t>
            </w: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shd w:val="clear" w:color="auto" w:fill="CCEEFF"/>
          </w:tcPr>
          <w:p>
            <w:pPr>
              <w:ind w:left="2740"/>
              <w:spacing w:after="0"/>
              <w:rPr>
                <w:sz w:val="20"/>
                <w:szCs w:val="20"/>
                <w:color w:val="auto"/>
              </w:rPr>
            </w:pPr>
            <w:r>
              <w:rPr>
                <w:rFonts w:ascii="Arial" w:cs="Arial" w:eastAsia="Arial" w:hAnsi="Arial"/>
                <w:sz w:val="18"/>
                <w:szCs w:val="18"/>
                <w:b w:val="1"/>
                <w:bCs w:val="1"/>
                <w:color w:val="auto"/>
              </w:rPr>
              <w:t>LIABILITIES AND STOCKHOLDERS’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37,582</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Note payable, curent portion, net of discount of $707 as of June 30, 2012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convertible note, net of discount of $7,055 as of June 30, 2012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Adverse purchase commitments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19,718</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84,098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86,323</w:t>
            </w: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current portion and discount of $392 as of June 30, 2012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Convertible note net of current portion and discount of $3,282 as of June 30, 2012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13,385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107,763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90,177</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899,612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896,603</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(744,275)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(734,000)</w:t>
            </w:r>
          </w:p>
        </w:tc>
      </w:tr>
      <w:tr>
        <w:trPr>
          <w:trHeight w:val="230"/>
        </w:trPr>
        <w:tc>
          <w:tcPr>
            <w:tcW w:w="20" w:type="dxa"/>
            <w:vAlign w:val="bottom"/>
          </w:tcPr>
          <w:p>
            <w:pPr>
              <w:spacing w:after="0"/>
              <w:rPr>
                <w:sz w:val="20"/>
                <w:szCs w:val="20"/>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156,415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164,879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264,178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255,056</w:t>
            </w: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4"/>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3,910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Restructuring and impairments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2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Total cost and operating expenses</w:t>
            </w:r>
          </w:p>
        </w:tc>
        <w:tc>
          <w:tcPr>
            <w:tcW w:w="2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Change in fair value of derivatives and warrants</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income, net</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(37,679)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51,191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(LOSS) INCOME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84"/>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(10,275)</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(losses)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Unrealized gains on investments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(11,439)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(10,275)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(used in) provided by operations: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Restructuring charges, net of payments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excess and obsolete inventory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Adverse purchase commitment losses (recoveries), net</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minority interest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Change in fair value of derivatives and warrants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(57,774)</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restricted cash</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Purchase of intangible assets</w:t>
            </w: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minority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Advanced payment for planned acquisition</w:t>
            </w: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Employee taxes paid related to net settlement of equity awards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issuance of debt, net of expenses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Proceeds from exercise of employee stock options and ESPP</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46,279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123,783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60,487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130,885</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Supplemental schedule of cash flow information:</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paid for income taxes, net of refunds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Issuance of common stock to settle liabilities</w:t>
            </w: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American Superconductor Corporation (the “Company” or “AMSC”)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14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June 30, 2012 and 2011 and the financial position at June 30, 2012.</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June 30, 2012, the Company had cash, cash equivalents, and marketable securities of $65.7 million. The Company experienced a substantial decline in revenues, incurred a net loss of $136.8 million and used $141.0 million of cash for operations during the fiscal year ended March 31, 2012. As a result, the Company reduced its global workforce by approximately 50% and consolidated certain business operations in three locations to reduce facility costs. As of June 30, 2012, the Company had a global workforce of approximately 430 persons.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expects that its cost reduction efforts and anticipated revenue growth will result in a substantial reduction in cash used for operations during the year ending March 31, 2013. The Company plans to closely monitor its expenses and if required, expects to further reduce operating costs and capital spending to enhance liquidity.</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April 4, 2012, the Company completed a private placement of $25.0 million of 7% senior convertible notes (“Convertible Notes”). On June 5, 2012, the Company entered into a Loan and Security Agreement (“Term Loan”), under which the Company borrowed $10.0 million. See Note 10, “Debt”, for further information regarding these debt arrangements, including the covenants, restrictions and events of default under the agreements. The Company is in compliance with the covenants and restrictions included in the Convertible Notes and Term Loan as of the date of this Quarterly Report on Form 10-Q.</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believes that its available cash, together with additional reductions in operating costs and capital expenditures that it expects to make if necessary, will be sufficient to fund its operations, capital expenditures and any scheduled cash payments under its debt obligations through June 30, 2013. The Company’s liquidity is highly dependent on its ability to profitably grow revenues, successfully manage adverse purchase commitments, fund and maintain compliance with the covenants and restrictions on its debt obligations, and raise additional capital, as required. The Company may seek additional financing; however, there can be no assurance that financing will be available on commercially acceptable terms or at all.</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2012 (fiscal 2011) which are contained in the Company’s Annual Report on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months ended June 30, 2012 and 2011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2,477</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3,466</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three months ended June 30, 2012, the Company granted approximately 427,000 stock options and issued 214,886 shares of common stock in-lieu of cash bonuses, which vested immediately, to employees under the 2007 Stock Incentive Plan. The Company recorded the issuance of stock in-lieu of bonuses as a non-cash issuance of stock to settle liabilities in the unaudited consolidated condensed statement of cash flows. The options granted vest upon the passage of time, generally 3 years. For awards that vest upon the passage of time, expense is being recorded over the vesting period.</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$6.9 million for the three months ended June 30, 2012. This expense will be recognized over a weighted average expense period of approximately 2.4 years. The total unrecognized compensation cost for unvested outstanding restricted stock was $4.2 million for the three months ended June 30, 2012. This expense will be recognized over a weighted average expense period of approximately 1.6 years.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weighted-average assumptions used in the Black-Scholes valuation model for stock options granted during the three months ended June 30, 2012 and 2011 are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6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72.0%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rPr>
              <w:t>0.9%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w w:val="97"/>
              </w:rPr>
              <w:t>None</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bl>
    <w:p>
      <w:pPr>
        <w:spacing w:after="0" w:line="147"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United States Treasury rates.</w:t>
      </w:r>
    </w:p>
    <w:p>
      <w:pPr>
        <w:spacing w:after="0" w:line="2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(Loss) Income per Common Share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Basic net (loss) income per share (“EPS”) is computed by dividing net (loss) income by the weighted-average number of common shares outstanding for the period. Where applicable,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months ended June 30, 2012, 6.3 million shares were not included in the calculation of diluted EPS as they were considered anti-dilutive, of which 3.1 million relate to unvested stock options and 3.2 million relate to the issuance of warrants. For the three months ended June 30, 2011, 3.0 million shares of unvested stock options were not included in the calculation of diluted EPS as they were considered anti-dilutive.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months ended June 30, 2012 and 2011 (in thousands, except per share data):</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(10,275)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51,997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w:t>
            </w: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Level 2 and Level 3 of the fair value measurement hierarchy during the three months ended June 30, 2012.</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p>
      <w:pPr>
        <w:ind w:left="1520" w:right="360" w:hanging="1052"/>
        <w:spacing w:after="0" w:line="268" w:lineRule="auto"/>
        <w:tabs>
          <w:tab w:leader="none" w:pos="15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78" w:lineRule="exact"/>
        <w:rPr>
          <w:sz w:val="20"/>
          <w:szCs w:val="20"/>
          <w:color w:val="auto"/>
        </w:rPr>
      </w:pPr>
    </w:p>
    <w:p>
      <w:pPr>
        <w:ind w:left="1520" w:right="360" w:hanging="1052"/>
        <w:spacing w:after="0" w:line="306" w:lineRule="auto"/>
        <w:tabs>
          <w:tab w:leader="none" w:pos="150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53" w:lineRule="exact"/>
        <w:rPr>
          <w:sz w:val="20"/>
          <w:szCs w:val="20"/>
          <w:color w:val="auto"/>
        </w:rPr>
      </w:pPr>
    </w:p>
    <w:p>
      <w:pPr>
        <w:ind w:left="1520" w:right="540" w:hanging="1052"/>
        <w:spacing w:after="0" w:line="268" w:lineRule="auto"/>
        <w:tabs>
          <w:tab w:leader="none" w:pos="150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3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June 30, 2012 and March 31, 2012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4"/>
                <w:szCs w:val="14"/>
                <w:color w:val="auto"/>
              </w:rPr>
            </w:pPr>
          </w:p>
        </w:tc>
        <w:tc>
          <w:tcPr>
            <w:tcW w:w="20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Significant</w:t>
            </w:r>
          </w:p>
        </w:tc>
      </w:tr>
      <w:tr>
        <w:trPr>
          <w:trHeight w:val="149"/>
        </w:trPr>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20" w:type="dxa"/>
            <w:vAlign w:val="bottom"/>
          </w:tcPr>
          <w:p>
            <w:pPr>
              <w:spacing w:after="0"/>
              <w:rPr>
                <w:sz w:val="12"/>
                <w:szCs w:val="12"/>
                <w:color w:val="auto"/>
              </w:rPr>
            </w:pPr>
          </w:p>
        </w:tc>
        <w:tc>
          <w:tcPr>
            <w:tcW w:w="20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20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2012:</w:t>
            </w: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Assets: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$40,387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3"/>
              </w:rPr>
              <w:t>40,387</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Short-term commercial paper</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5,209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ind w:left="860"/>
              <w:spacing w:after="0"/>
              <w:rPr>
                <w:sz w:val="20"/>
                <w:szCs w:val="20"/>
                <w:color w:val="auto"/>
              </w:rPr>
            </w:pPr>
            <w:r>
              <w:rPr>
                <w:rFonts w:ascii="Arial" w:cs="Arial" w:eastAsia="Arial" w:hAnsi="Arial"/>
                <w:sz w:val="18"/>
                <w:szCs w:val="18"/>
                <w:color w:val="auto"/>
                <w:w w:val="84"/>
              </w:rPr>
              <w:t>5,209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Derivative liability</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$ 4,536</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720"/>
              <w:spacing w:after="0"/>
              <w:rPr>
                <w:sz w:val="20"/>
                <w:szCs w:val="20"/>
                <w:color w:val="auto"/>
              </w:rPr>
            </w:pPr>
            <w:r>
              <w:rPr>
                <w:rFonts w:ascii="Arial" w:cs="Arial" w:eastAsia="Arial" w:hAnsi="Arial"/>
                <w:sz w:val="18"/>
                <w:szCs w:val="18"/>
                <w:color w:val="auto"/>
                <w:w w:val="79"/>
              </w:rPr>
              <w:t>4,536</w:t>
            </w: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Warrants</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9,029</w:t>
            </w:r>
          </w:p>
        </w:tc>
        <w:tc>
          <w:tcPr>
            <w:tcW w:w="100" w:type="dxa"/>
            <w:vAlign w:val="bottom"/>
            <w:shd w:val="clear" w:color="auto" w:fill="CCEEFF"/>
          </w:tcPr>
          <w:p>
            <w:pPr>
              <w:spacing w:after="0"/>
              <w:rPr>
                <w:sz w:val="18"/>
                <w:szCs w:val="18"/>
                <w:color w:val="auto"/>
              </w:rPr>
            </w:pPr>
          </w:p>
        </w:tc>
      </w:tr>
      <w:tr>
        <w:trPr>
          <w:trHeight w:val="352"/>
        </w:trPr>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Using Significant Other</w:t>
            </w: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Using Significant</w:t>
            </w:r>
          </w:p>
        </w:tc>
      </w:tr>
      <w:tr>
        <w:trPr>
          <w:trHeight w:val="149"/>
        </w:trPr>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20" w:type="dxa"/>
            <w:vAlign w:val="bottom"/>
          </w:tcPr>
          <w:p>
            <w:pPr>
              <w:spacing w:after="0"/>
              <w:rPr>
                <w:sz w:val="12"/>
                <w:szCs w:val="12"/>
                <w:color w:val="auto"/>
              </w:rPr>
            </w:pPr>
          </w:p>
        </w:tc>
        <w:tc>
          <w:tcPr>
            <w:tcW w:w="20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20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2012:</w:t>
            </w: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Assets: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$23,485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3"/>
              </w:rPr>
              <w:t>23,485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2"/>
        </w:trPr>
        <w:tc>
          <w:tcPr>
            <w:tcW w:w="3240" w:type="dxa"/>
            <w:vAlign w:val="bottom"/>
          </w:tcPr>
          <w:p>
            <w:pPr>
              <w:ind w:left="440"/>
              <w:spacing w:after="0"/>
              <w:rPr>
                <w:sz w:val="20"/>
                <w:szCs w:val="20"/>
                <w:color w:val="auto"/>
              </w:rPr>
            </w:pPr>
            <w:r>
              <w:rPr>
                <w:rFonts w:ascii="Arial" w:cs="Arial" w:eastAsia="Arial" w:hAnsi="Arial"/>
                <w:sz w:val="18"/>
                <w:szCs w:val="18"/>
                <w:color w:val="auto"/>
              </w:rPr>
              <w:t>Short-term commercial paper</w:t>
            </w:r>
          </w:p>
        </w:tc>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5,304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ind w:left="860"/>
              <w:spacing w:after="0"/>
              <w:rPr>
                <w:sz w:val="20"/>
                <w:szCs w:val="20"/>
                <w:color w:val="auto"/>
              </w:rPr>
            </w:pPr>
            <w:r>
              <w:rPr>
                <w:rFonts w:ascii="Arial" w:cs="Arial" w:eastAsia="Arial" w:hAnsi="Arial"/>
                <w:sz w:val="18"/>
                <w:szCs w:val="18"/>
                <w:color w:val="auto"/>
                <w:w w:val="84"/>
              </w:rPr>
              <w:t>5,304</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the activity for the Company’s major classes of liabilities measured at fair value for the period ended June 30, 2012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Derivative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Liability</w:t>
            </w:r>
          </w:p>
        </w:tc>
        <w:tc>
          <w:tcPr>
            <w:tcW w:w="1240" w:type="dxa"/>
            <w:vAlign w:val="bottom"/>
            <w:gridSpan w:val="4"/>
          </w:tcPr>
          <w:p>
            <w:pPr>
              <w:ind w:left="580"/>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 1, 2012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Valuation of derivative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4"/>
              </w:rPr>
              <w:t>3,779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Warrant issuance with Senior Convertible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7,018</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Warrant issuance with Senior Secured Term Loan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757</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4,536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9,029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Liability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has identified all of the derivatives (“Derivative Liability”) associated with the Convertible Notes which include put rights to require the investor to acquire an additional $15.0 million convertible note and additional warrants, holder change of control redemption rights, issuer optional redemption rights, sale redemption rights and a right to make payment in the form of stock rather than cash if certain equity conditions are met. The Derivative Liability is subject to revaluation at each balance sheet date, and any change in fair value will be recorded as a change in fair value in other income (expense) until the earlier of its exercise or expiration. The Company relies on assumptions in a lattice model to determine the fair value of Derivative Liability. The Company has appropriately valued the Derivative Liability within Level 3 of the valuation hierarchy. See Note 10, “Debt”, for discussion on the Convertible Notes, Derivative Liability and valuation assumptions used.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Warrants were issued in conjunction with the Convertible Notes and the Term Loan. See Note 10, “Debt”, for additional information on warrants. These warrants are subject to revaluation at each balance sheet date, and any change in fair value will be recorded as a change in fair value in other income (expense) until the earlier of their exercise or expiration.</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relies on assumptions used in a Black-Scholes model to determine the fair value of warrants. The Company has appropriately valued the warrants within Level 3 of the valuation hierarchy. See Note 11, “Warrants and Derivative Liabilities”, for a discussion of the warrants and the valuation assumptions used.</w:t>
      </w:r>
    </w:p>
    <w:p>
      <w:pPr>
        <w:spacing w:after="0" w:line="25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at June 30, 2012 and March 31, 2012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(billed)</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$11,442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$ 16,240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13,558</w:t>
            </w: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$ 18,999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at June 30, 2012 and March 31, 2012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200" w:type="dxa"/>
            <w:vAlign w:val="bottom"/>
            <w:gridSpan w:val="4"/>
          </w:tcPr>
          <w:p>
            <w:pPr>
              <w:ind w:left="50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4280" w:type="dxa"/>
            <w:vAlign w:val="bottom"/>
          </w:tcPr>
          <w:p>
            <w:pPr>
              <w:spacing w:after="0"/>
              <w:rPr>
                <w:sz w:val="14"/>
                <w:szCs w:val="14"/>
                <w:color w:val="auto"/>
              </w:rPr>
            </w:pPr>
          </w:p>
        </w:tc>
        <w:tc>
          <w:tcPr>
            <w:tcW w:w="32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$10,117</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Work-in-process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3,749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14,438</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Deferred program costs</w:t>
            </w:r>
          </w:p>
        </w:tc>
        <w:tc>
          <w:tcPr>
            <w:tcW w:w="2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28,699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29,256</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three months ended June 30, 2012, the Company recorded an inventory write-down of approximately $0.3 million based on evaluating its ending inventory on hand for excess quantities and obsolescence.</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Deferred program costs as of June 30, 2012 and March 31 2012 primarily represent costs incurred on D-VAR turnkey projects and programs accounted for under contract accounting where the Company needs to complete development programs before revenue and costs will be recognized, respectively.</w:t>
      </w:r>
    </w:p>
    <w:p>
      <w:pPr>
        <w:spacing w:after="0" w:line="20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5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$ 5,896</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$ 7,907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1020" w:type="dxa"/>
            <w:vAlign w:val="bottom"/>
            <w:gridSpan w:val="3"/>
          </w:tcPr>
          <w:p>
            <w:pPr>
              <w:jc w:val="right"/>
              <w:ind w:right="372"/>
              <w:spacing w:after="0"/>
              <w:rPr>
                <w:sz w:val="20"/>
                <w:szCs w:val="20"/>
                <w:color w:val="auto"/>
              </w:rPr>
            </w:pPr>
            <w:r>
              <w:rPr>
                <w:rFonts w:ascii="Arial" w:cs="Arial" w:eastAsia="Arial" w:hAnsi="Arial"/>
                <w:sz w:val="18"/>
                <w:szCs w:val="18"/>
                <w:color w:val="auto"/>
              </w:rPr>
              <w:t>(167)</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(229)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$ 5,500</w:t>
            </w:r>
          </w:p>
        </w:tc>
        <w:tc>
          <w:tcPr>
            <w:tcW w:w="5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$ 7,334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three months ended June 30, 2012 and 2011, the Company recorded an income tax benefit of $0.8 million and income tax expense of $0.2 million, respectively. The income tax benefit for the three months ended June 30, 2012, was primarily due to a refund of Chinese income taxes of $0.9 million. The Company has provided a valuation allowance against all deferred tax assets as of June 30, 2012, as it is more likely than not that its deferred tax assets are not currently realizable due to the net operating losses incurred by the Company since its inception.</w:t>
      </w:r>
    </w:p>
    <w:p>
      <w:pPr>
        <w:spacing w:after="0" w:line="22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and ASC Topic 712, </w:t>
      </w:r>
      <w:r>
        <w:rPr>
          <w:rFonts w:ascii="Arial" w:cs="Arial" w:eastAsia="Arial" w:hAnsi="Arial"/>
          <w:sz w:val="18"/>
          <w:szCs w:val="18"/>
          <w:i w:val="1"/>
          <w:iCs w:val="1"/>
          <w:color w:val="auto"/>
        </w:rPr>
        <w:t>Compensation—Nonretirement Postemployment Benefits</w:t>
      </w:r>
      <w:r>
        <w:rPr>
          <w:rFonts w:ascii="Arial" w:cs="Arial" w:eastAsia="Arial" w:hAnsi="Arial"/>
          <w:sz w:val="18"/>
          <w:szCs w:val="18"/>
          <w:color w:val="auto"/>
        </w:rPr>
        <w:t xml:space="preserve"> (“ASC 712”).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year ended March 31, 2012, the Company initiated restructuring activities in order to reorganize global operations, streamline various functions of the business, and reduce its global workforce to better reflect the demand for its products. These activities resulted in the reduction of its global workforce by approximately 50%. During the three months ended June 30, 2012, the Company incurred restructuring costs of $0.1 million. These additional charges were paid as of June 30, 2012 and the remaining balance of accrued restructuring is expected to be paid through March 2013.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restructuring charges and cash payments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pay and</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Facility</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9"/>
              </w:rPr>
              <w:t>benefits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exit costs</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restructuring balance at April 1, 2012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Charges to operations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(255)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Accrued restructuring balance at June 30, 2012</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578</w:t>
            </w:r>
          </w:p>
        </w:tc>
        <w:tc>
          <w:tcPr>
            <w:tcW w:w="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$ 578</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All restructuring charges discussed above are included within restructuring and impairments in the Company’s unaudited condensed consolidated statements of operations. The Company includes accrued restructuring within accounts payable and accrued expenses in the unaudited condensed consolidated balance sheets.</w:t>
      </w:r>
    </w:p>
    <w:p>
      <w:pPr>
        <w:spacing w:after="0" w:line="25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Convertible Notes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April 4, 2012, the Company entered into a Securities Purchase Agreement and completed a private placement of $25.0 million of 7% senior convertible notes with Capital Ventures International (“CVI”), an affiliate of Heights Capital Management. After fees and expenses, the net proceeds were $23.2 million. The Convertible Notes have an initial conversion price of $4.85 per share, representing a premium of approximately 20% over AMSC’s closing price on April 3, 2012. The Convertible Notes are payable in monthly installments beginning four months from issuance and ending 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October 4, 2014. Monthly payments are payable in cash or common stock at the option of the Company, subject to certain trading volume, stock price and other conditions. The Company registered 10,262,311 shares of common stock which may be used as payment for principal and interest in lieu of cash for resale under the Securities Act as required under a Registration Rights Agreement with CVI.</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accounted for the Convertible Notes as an instrument that has the characteristics of a debt host contract containing several embedded derivative features that would require bifurcation and separate accounting as a derivative instrument pursuant to the provisions of ASC 815. The Company elected not to use the fair value option for the payable of $25M and will record the liability at the stated value under the loan agreement on the date of issuance with no changes in fair value reported in subsequent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identified the following derivatives associated with the Convertible Notes: put rights to require the investor to acquire an additional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$15.0 million convertible note and additional warrant; holder change of control redemption rights; issuer optional redemption rights; sale redemption rights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make payment in the form of the stock rather than cash if certain equity conditions are met. The Company valued these derivatives at $3.8 million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and recorded the value as a debt discount and a derivative liability. See Note 11, “Warrants and Derivative Liabilities”, for additional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regarding derivative liabilities.</w:t>
      </w:r>
    </w:p>
    <w:p>
      <w:pPr>
        <w:spacing w:after="0" w:line="16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addition, CVI received a warrant to purchase approximately 3.1 million additional shares of common stock exercisable at a strike price of $5.45 per share, subject to adjustment, until October 4, 2017. Due to certain adjustment provisions within the warrant, it qualified for liability accounting and had a fair value of $7.0 million upon issuance. The Company recorded the value as a debt discount and a warrant liability. See Note 11, “Warrants and Derivative Liabilities”, for additional information regarding the warrant.</w:t>
      </w:r>
    </w:p>
    <w:p>
      <w:pPr>
        <w:spacing w:after="0" w:line="143"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color w:val="auto"/>
        </w:rPr>
        <w:t>The process of valuing financial and derivative instruments utilizes facts and circumstances as of the measurement date as well as certain inputs, assumptions, and judgments that may affect the estimated fair value of the instruments. Upon issuance of the Convertible Notes, the Company determined the initial carrying value of the Convertible Notes to be $25.0 million. In addition, the Company also incurred $1.8 million of legal and origination costs as of the three months ended June 30, 2012, which have been recorded as a discount on the Convertible Notes. The total debt discount, including the embedded derivatives, warrant and legal and origination costs of $12.6 million is being amortized into interest expense over the term of the Convertible Notes using the effective interest method. Under this method, interest expense is recognized each period until the debt instruments reach maturity. If the maturity of the Convertible Notes is accelerated because of prepayment, then the amortization will be accelerated. During the quarter ended June 30, 2012, the Company recorded non-cash interest expense for amortization of the debt discount related to the Convertible Notes of $2.2 million.</w:t>
      </w:r>
    </w:p>
    <w:p>
      <w:pPr>
        <w:spacing w:after="0" w:line="118" w:lineRule="exact"/>
        <w:rPr>
          <w:sz w:val="20"/>
          <w:szCs w:val="20"/>
          <w:color w:val="auto"/>
        </w:rPr>
      </w:pPr>
    </w:p>
    <w:p>
      <w:pPr>
        <w:ind w:right="260" w:firstLine="456"/>
        <w:spacing w:after="0" w:line="287" w:lineRule="auto"/>
        <w:rPr>
          <w:sz w:val="20"/>
          <w:szCs w:val="20"/>
          <w:color w:val="auto"/>
        </w:rPr>
      </w:pPr>
      <w:r>
        <w:rPr>
          <w:rFonts w:ascii="Arial" w:cs="Arial" w:eastAsia="Arial" w:hAnsi="Arial"/>
          <w:sz w:val="16"/>
          <w:szCs w:val="16"/>
          <w:color w:val="auto"/>
        </w:rPr>
        <w:t>The Convertible Notes contain certain covenants and restrictions, including, among others, that for so long as the Convertible Notes are outstanding, the Company will not incur any indebtedness (other than permitted indebtedness under the Convertible Notes), permit liens on its properties (other than permitted liens under the Convertible Notes), make payments on junior securities or make dividends. The Convertible Notes also contain limitations on the transfer of certain assets. Events of default under the Convertible Notes include failure to pay principal or interest as due on the Convertible Notes, failure to deliver registered shares of common stock upon the holders request for conversion of part or all of the Convertible Notes, failure to maintain the Company’s common stock eligible for trading on defined markets, cross defaults to other material indebtedness, receipt of uninsured judgments against the Company in excess of defined limits and other administrative covenants, as defined in the Convertible Notes and related documentation. Upon an event of default, the holders may require the Company to redeem all or any portion of the outstanding principal amount of the Convertible Notes in cash plus a penalty as specified in the agreement. Also, if the Company fails to maintain an effective registration statement covering common stock to be used in settling obligations under the Convertible Notes, the Company will be required to pay a penalty as specified in the agreement.</w:t>
      </w:r>
    </w:p>
    <w:p>
      <w:pPr>
        <w:spacing w:after="0" w:line="12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subject to certain conditions contained in the definitive agreements, on October 4, 2012, the Company may issue an additional $15 million aggregate principal amount of convertible notes and warrant to the same investor.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Term Loan</w:t>
      </w:r>
    </w:p>
    <w:p>
      <w:pPr>
        <w:spacing w:after="0" w:line="9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On June 5, 2012, the Company entered into a Term Loan with Hercules Technology Growth Capital (“Hercules”), under which the Company borrowed $10.0 million (the “Term Loan”). After the closing fees and expenses, the net proceeds to the Company were $9.7 million. The Term Loan bears interest at a floating per annum rate equal to 11% plus the percentage, if any, by which the prime rate exceeds 3.75%. The Company will make interest only payments beginning July 1, 2012 and continuing through October 1, 2012, after which the Company will repay the loan in equal monthly installments ending on December 1, 2014. The Term Loan is secured by substantially all of the Company’s existing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future assets. In addition, Hercules received a warrant to purchase approximately 139,000 shares of common stock, exercisable at an initial strike price of $3.59 per share, subject to adjustment, until December 5, 2017. Due to certain adjustment provisions within the warrant, it qualified for liability accounting and the fair value of $0.4 million was recorded upon issuance, which the Company recorded as a debt discount and a warrant liability. See Note 11, “Warrants and Derivative Liabilities”, for a discussion on warrants and the valuation assumptions used. The Company will pay an end of term fee of $0.5 million upon the earlier of maturity or prepayment of the loan. The Company has accrued this as of the three months ended June 30, 2012 and recorded a corresponding amount into the debt discount. In addition, the Company incurred $0.3 million of legal and origination costs in the three months ended June 30, 2012, which have been recorded as a debt discount. The total debt discount including the warrant, end of term fee and legal and origination costs of $1.2 million is being amortized into interest expense over the term of the Term Loan using the effective interest method. Under this method, interest expense is recognized each period until the debt instrument reaches maturity. If the maturity of the Term Loan is accelerated because of prepayment, then the amortization will be accelerated. During the quarter ended June 30, 2012, the Company recorded non-cash interest expense for amortization of the debt discount related to the Term Loan of $0.1 million.</w:t>
      </w:r>
    </w:p>
    <w:p>
      <w:pPr>
        <w:spacing w:after="0" w:line="12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Term Loan contains certain covenants that restrict the Company’s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which requires the Company to maintain a minimum unrestricted cash balance in the United States of at least $10.0 million at the inception of the Term Loan, which will decrease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10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Although the Company is in compliance with the covenants and restrictions under the Convertible Notes and Term Loan as of the date of this Interim Report on Form 10-Q, there can no assurance that the Company will continue to be in compliance.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expense on the Convertible Notes and Term Loan for the three month period ended June 30, 2012 was $2.8 million, which included $2.3 million of non-cash interest expense related to the amortization of the debt discount on the Convertible Notes and Term Loan.</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Liabilities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April 4, 2012, the Company entered into a Securities Purchase Agreement as described in Note 10, which included a warrant to purchase 3.1 million shares of the Company’s common stock. The warrant is exercisable at any time on or after the date that is six months after the issuance of the warrant and entitles CVI to purchase shares of the Company’s common stock for a period of five years from the initial date the warrant becomes exercisable at a price equal to $5.45 per share, subject to certain price-based and other anti-dilution adjustments. The warrant may not be exercised if, after giving effect to the conversion, CVI together with its affiliates would beneficially own in excess of 4.99% of the Company’s common stock. This percentage may be raised to any other percentage not in excess of 9.99% at the option of the holder of the warrant, upon at least 61-days’ prior notice to the Company, or lowered to any other percentage, at the option of CVI, at any time.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accounts for the warrant as a liability due to certain adjustment provisions within the warrant, which requires that it be recorded at fair value. The warrant is subject to revaluation at each balance sheet date and any change in fair value will be recorded as a change in fair value in other income (expense) until the earlier of expiration or its exercise at which time the warrant liability will be reclassified to equity. The Company used the Black-Scholes option pricing model to calculate the fair value of the warrant, using the following assumptions: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April 4,</w:t>
            </w:r>
          </w:p>
        </w:tc>
        <w:tc>
          <w:tcPr>
            <w:tcW w:w="2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32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410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80.84%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Term</w:t>
            </w:r>
          </w:p>
        </w:tc>
        <w:tc>
          <w:tcPr>
            <w:tcW w:w="28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5.5 years</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5.28 years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4100" w:type="dxa"/>
            <w:vAlign w:val="bottom"/>
            <w:gridSpan w:val="3"/>
            <w:shd w:val="clear" w:color="auto" w:fill="CCEEFF"/>
          </w:tcPr>
          <w:p>
            <w:pPr>
              <w:jc w:val="center"/>
              <w:ind w:left="2292"/>
              <w:spacing w:after="0"/>
              <w:rPr>
                <w:sz w:val="20"/>
                <w:szCs w:val="20"/>
                <w:color w:val="auto"/>
              </w:rPr>
            </w:pPr>
            <w:r>
              <w:rPr>
                <w:rFonts w:ascii="Arial" w:cs="Arial" w:eastAsia="Arial" w:hAnsi="Arial"/>
                <w:sz w:val="18"/>
                <w:szCs w:val="18"/>
                <w:color w:val="auto"/>
                <w:w w:val="91"/>
              </w:rPr>
              <w:t>$ 7.0 million</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$ 8.5 million</w:t>
            </w:r>
          </w:p>
        </w:tc>
      </w:tr>
      <w:tr>
        <w:trPr>
          <w:trHeight w:val="363"/>
        </w:trPr>
        <w:tc>
          <w:tcPr>
            <w:tcW w:w="3240" w:type="dxa"/>
            <w:vAlign w:val="bottom"/>
          </w:tcPr>
          <w:p>
            <w:pPr>
              <w:spacing w:after="0"/>
              <w:rPr>
                <w:sz w:val="24"/>
                <w:szCs w:val="24"/>
                <w:color w:val="auto"/>
              </w:rPr>
            </w:pPr>
          </w:p>
        </w:tc>
        <w:tc>
          <w:tcPr>
            <w:tcW w:w="2820" w:type="dxa"/>
            <w:vAlign w:val="bottom"/>
          </w:tcPr>
          <w:p>
            <w:pPr>
              <w:jc w:val="right"/>
              <w:ind w:right="1552"/>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recorded the change in the fair value of the CVI warrant of $1.5 million to change in fair value of derivatives and warrants in the three months ended June 30, 2012.</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determined certain embedded derivatives issued with the Convertible Notes required accounting as a liability, which requires they be accounted for as a standalone liability subject to revaluation at each balance sheet date with changes in fair value recorded as change in fair value of derivatives and warrants until the earlier of exercise or expiration.</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calculated the fair value of the derivative liabilities bifurcated from the Convertible Notes (see Note 10, “Debt”) utilizing an integrated lattice model. The lattice model is an option pricing model that involves the construction of a binomial tree to show the different paths that the underlying asset may take over the option’s life. A lattice model can take into account expected changes in various parameters such as volatility over the life of the options, providing more accurate estimates of option prices than the Black-Scholes model. Following is a summary of the key assumptions used to value the convertible note derivative feature:</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April 4,</w:t>
            </w:r>
          </w:p>
        </w:tc>
        <w:tc>
          <w:tcPr>
            <w:tcW w:w="2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38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Risk Free Rate</w:t>
            </w:r>
          </w:p>
        </w:tc>
        <w:tc>
          <w:tcPr>
            <w:tcW w:w="3480" w:type="dxa"/>
            <w:vAlign w:val="bottom"/>
            <w:gridSpan w:val="3"/>
          </w:tcPr>
          <w:p>
            <w:pPr>
              <w:jc w:val="right"/>
              <w:ind w:right="260"/>
              <w:spacing w:after="0"/>
              <w:rPr>
                <w:sz w:val="20"/>
                <w:szCs w:val="20"/>
                <w:color w:val="auto"/>
              </w:rPr>
            </w:pPr>
            <w:r>
              <w:rPr>
                <w:rFonts w:ascii="Arial" w:cs="Arial" w:eastAsia="Arial" w:hAnsi="Arial"/>
                <w:sz w:val="18"/>
                <w:szCs w:val="18"/>
                <w:color w:val="auto"/>
              </w:rPr>
              <w:t>0.44%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0.33%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Bond Yield</w:t>
            </w:r>
          </w:p>
        </w:tc>
        <w:tc>
          <w:tcPr>
            <w:tcW w:w="3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Recovery Rate</w:t>
            </w:r>
          </w:p>
        </w:tc>
        <w:tc>
          <w:tcPr>
            <w:tcW w:w="3480" w:type="dxa"/>
            <w:vAlign w:val="bottom"/>
            <w:gridSpan w:val="3"/>
          </w:tcPr>
          <w:p>
            <w:pPr>
              <w:jc w:val="right"/>
              <w:ind w:right="260"/>
              <w:spacing w:after="0"/>
              <w:rPr>
                <w:sz w:val="20"/>
                <w:szCs w:val="20"/>
                <w:color w:val="auto"/>
              </w:rPr>
            </w:pPr>
            <w:r>
              <w:rPr>
                <w:rFonts w:ascii="Arial" w:cs="Arial" w:eastAsia="Arial" w:hAnsi="Arial"/>
                <w:sz w:val="18"/>
                <w:szCs w:val="18"/>
                <w:color w:val="auto"/>
              </w:rPr>
              <w:t>30.0%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Redeemable</w:t>
            </w:r>
          </w:p>
        </w:tc>
        <w:tc>
          <w:tcPr>
            <w:tcW w:w="2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yes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yes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Total Time (years)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Dilution Effect</w:t>
            </w:r>
          </w:p>
        </w:tc>
        <w:tc>
          <w:tcPr>
            <w:tcW w:w="2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yes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yes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Indicated Percent of Par</w:t>
            </w:r>
          </w:p>
        </w:tc>
        <w:tc>
          <w:tcPr>
            <w:tcW w:w="3480" w:type="dxa"/>
            <w:vAlign w:val="bottom"/>
            <w:gridSpan w:val="3"/>
          </w:tcPr>
          <w:p>
            <w:pPr>
              <w:jc w:val="right"/>
              <w:ind w:right="260"/>
              <w:spacing w:after="0"/>
              <w:rPr>
                <w:sz w:val="20"/>
                <w:szCs w:val="20"/>
                <w:color w:val="auto"/>
              </w:rPr>
            </w:pPr>
            <w:r>
              <w:rPr>
                <w:rFonts w:ascii="Arial" w:cs="Arial" w:eastAsia="Arial" w:hAnsi="Arial"/>
                <w:sz w:val="18"/>
                <w:szCs w:val="18"/>
                <w:color w:val="auto"/>
              </w:rPr>
              <w:t>117.0%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121.0%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$ 3.7 million</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$ 4.5 million</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To determine the risk-free interest rate an interpolated rate was used based on the two and three year United States Treasury rates. The bond yield was estimated by comparing comparable corporate debt and yield information. The recovery rate of the Convertible Note was estimated by reviewing historical corporate debt that went into default. The bond is redeemable by the Company at any point after the one-year anniversary of the grant date provided certain provisions within the note. The total time is based on the actual contractual terms, 30 months. It was determined that there is a dilution effect based on the Company’s ability to make payments in shares of common stock.</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recorded the change in the fair value of the derivative liabilities of $0.8 million to changes in fair value of derivatives and warrants in the three months ended June 30, 2012.</w:t>
      </w:r>
    </w:p>
    <w:p>
      <w:pPr>
        <w:spacing w:after="0" w:line="132"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On June 5, 2012, the Company entered into a Loan and Security Agreement with Hercules (see Note 10, “Debt”, for additional information regarding the Loan and Security Agreement). In conjunction with this agreement, the Company issued a warrant to purchase approximately 139,000 shares of the Company’s common stock. The warrant is exercisable at any time after the issuance of the warrant and entitles Hercules to purchase shares of the Company’s common stock for a period of five and half years from the initial date the warrant becomes exercisable at a price equal to $3.59 per share subject to certain price-based and other anti-dilution adjustments.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accounts for the warrant as a liability due to certain provisions within the warrant, which requires that it be recorded at fair value. The warrant is subject to revaluation at each balance sheet date and any change in fair value will be recorded as changes in fair value of derivatives and warrants until the earlier of expiration or its exercise at which time the warrant liability will be reclassified to equity. The Company calculated the fair value of the warrant using the Black-Scholes option pricing model to value the warrant, using the following assumptions: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June 5,</w:t>
            </w:r>
          </w:p>
        </w:tc>
        <w:tc>
          <w:tcPr>
            <w:tcW w:w="2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414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9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320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79.9%</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Term</w:t>
            </w:r>
          </w:p>
        </w:tc>
        <w:tc>
          <w:tcPr>
            <w:tcW w:w="19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5.5 years</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5.44 years</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200" w:type="dxa"/>
            <w:vAlign w:val="bottom"/>
            <w:gridSpan w:val="3"/>
            <w:shd w:val="clear" w:color="auto" w:fill="CCEEFF"/>
          </w:tcPr>
          <w:p>
            <w:pPr>
              <w:jc w:val="center"/>
              <w:ind w:left="1392"/>
              <w:spacing w:after="0"/>
              <w:rPr>
                <w:sz w:val="20"/>
                <w:szCs w:val="20"/>
                <w:color w:val="auto"/>
              </w:rPr>
            </w:pPr>
            <w:r>
              <w:rPr>
                <w:rFonts w:ascii="Arial" w:cs="Arial" w:eastAsia="Arial" w:hAnsi="Arial"/>
                <w:sz w:val="18"/>
                <w:szCs w:val="18"/>
                <w:color w:val="auto"/>
                <w:w w:val="91"/>
              </w:rPr>
              <w:t>$ 0.4 million</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$ 0.5 million</w:t>
            </w:r>
          </w:p>
        </w:tc>
      </w:tr>
    </w:tbl>
    <w:p>
      <w:pPr>
        <w:spacing w:after="0" w:line="154"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The company prepared their estimates for the assumptions used to determine the fair value of the warrants issued in conjunction with both the Convertible Note and Term Loan utilizing the respective terms of the warrants with similar inputs under the Black Scholes valuation method more fully described in Note 2.</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recorded the change in the fair value of the Hercules warrant of $0.1 million to changes in fair value of derivatives and warrants in the three months ended June 30, 2012.</w:t>
      </w:r>
    </w:p>
    <w:p>
      <w:pPr>
        <w:spacing w:after="0" w:line="248" w:lineRule="exact"/>
        <w:rPr>
          <w:sz w:val="20"/>
          <w:szCs w:val="20"/>
          <w:color w:val="auto"/>
        </w:rPr>
      </w:pPr>
    </w:p>
    <w:p>
      <w:pPr>
        <w:ind w:left="240" w:right="8460" w:hanging="232"/>
        <w:spacing w:after="0" w:line="347" w:lineRule="auto"/>
        <w:tabs>
          <w:tab w:leader="none" w:pos="45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As of June 30, 2012, the Company recorded a liability for adverse purchase commitments of $17.5 million. During the three months ended June 30, 2012, the Company adjusted its accrual for adverse purchase commitments by $7.3 million due to settlements with certain vendors.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the fourth quarter of the year ended March 31, 2012, several vendors notified the Company that they had suffered losses as a result of procuring safety stock in anticipation of receiving future purchase orders or contracts from the Company and subsequently three vendors have filed suits through the Chinese legal system seeking payment for inventories held to be delivered under purchase orders and safety stock. The Company has accrued outstanding adverse purchase commitments based on legally binding contracts and purchase orders that were placed with its vendors for parts with no future demand. The vendor claims for safety stock were not supported by valid purchase orders or valid executed contracts and are not considered part of the adverse purchase commitment liability. The claims for safety stock have not been accrued as of June 30, 2012. The Company has determined that although it believes that there is no legally enforceable contract for safety stock and will continue to defend its legal position that it does not owe amounts for safety stock, that it is reasonably possible that a case may be made against the Company under certain situations. As the loss is reasonably possible but not probable, the Company has not accounted for the loss. The Company has determined that the range for this potential loss is between $0 and $4 million.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Between April 6, 2011 and May 12, 2011, seven putative securities class action complaints were filed against the Company and two of its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Lenartz v. American Superconductor Corporation, et al.</w:t>
      </w:r>
      <w:r>
        <w:rPr>
          <w:rFonts w:ascii="Arial" w:cs="Arial" w:eastAsia="Arial" w:hAnsi="Arial"/>
          <w:sz w:val="16"/>
          <w:szCs w:val="16"/>
          <w:color w:val="auto"/>
        </w:rPr>
        <w:t>, Docket No. 1:11-cv-10582-WGY. On August 31, 2011, Lead Plaintiff, the Plumbers and Pipefitters</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Pension Fund, filed a consolidated amended complaint against the Company, its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the Company and its officers omitted to state material facts and made materially false and misleading statements relating to, among other things, its projected and recognized revenues and earnings, as well as its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the Company and its officers, and taking under advisement the motion to dismiss the Exchange Act claims against the Company and its officers and the motion to dismiss the Securities Act claims made against the underwriters. On July 26, 2012, the district court dismissed the Exchange Act claims against the Company and its officers and denied the motion to dismiss the Securities Act claims made against the underwriters.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the Company (as a nominal defendant) and certain of its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w:t>
      </w:r>
      <w:r>
        <w:rPr>
          <w:rFonts w:ascii="Arial" w:cs="Arial" w:eastAsia="Arial" w:hAnsi="Arial"/>
          <w:sz w:val="16"/>
          <w:szCs w:val="16"/>
          <w:color w:val="auto"/>
        </w:rPr>
        <w:t xml:space="preserve"> </w:t>
      </w:r>
      <w:r>
        <w:rPr>
          <w:rFonts w:ascii="Arial" w:cs="Arial" w:eastAsia="Arial" w:hAnsi="Arial"/>
          <w:sz w:val="16"/>
          <w:szCs w:val="16"/>
          <w:i w:val="1"/>
          <w:iCs w:val="1"/>
          <w:color w:val="auto"/>
        </w:rPr>
        <w:t>Revocable Trust v. Yurek, et al.</w:t>
      </w:r>
      <w:r>
        <w:rPr>
          <w:rFonts w:ascii="Arial" w:cs="Arial" w:eastAsia="Arial" w:hAnsi="Arial"/>
          <w:sz w:val="16"/>
          <w:szCs w:val="16"/>
          <w:color w:val="auto"/>
        </w:rPr>
        <w:t>, Docket No. 11-1961. On January 12, 2012, an additional shareholder derivative complaint was filed in the Court of Chancery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State of Delaware. That matter is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the Company, as well as an award of costs and expenses, including attorney’s fees.</w:t>
      </w:r>
    </w:p>
    <w:p>
      <w:pPr>
        <w:spacing w:after="0" w:line="127"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With respect to the above referenced litigation matters, an estimate of loss or range of loss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 Therefore no adjustment has been made to the financial statements to reflect the outcome of these uncertainties.</w:t>
      </w:r>
    </w:p>
    <w:p>
      <w:pPr>
        <w:spacing w:after="0" w:line="14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and retention (including interest) in the amount of approximately RMB 485 million ($76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105 million ($17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12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 xml:space="preserve">The Company also submitted a civil action application to the Beijing No. 1 Intermediate People’s Court under the caption </w:t>
      </w:r>
      <w:r>
        <w:rPr>
          <w:rFonts w:ascii="Arial" w:cs="Arial" w:eastAsia="Arial" w:hAnsi="Arial"/>
          <w:sz w:val="16"/>
          <w:szCs w:val="16"/>
          <w:i w:val="1"/>
          <w:iCs w:val="1"/>
          <w:color w:val="auto"/>
        </w:rPr>
        <w:t>(2011)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15524, </w:t>
      </w:r>
      <w:r>
        <w:rPr>
          <w:rFonts w:ascii="Arial" w:cs="Arial" w:eastAsia="Arial" w:hAnsi="Arial"/>
          <w:sz w:val="16"/>
          <w:szCs w:val="16"/>
          <w:color w:val="auto"/>
        </w:rPr>
        <w:t>against Sinovel for software copyright infringement on September 13, 2011. The application alleges Sinovel’s unauthorized use of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Austrian subsidiary was arrested in Austria on charges of economic espionage and fraudulent manipulation of data. In September 2011, the former employee pled guilty to the charges, and was imprisoned.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Company’s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No. 1 Intermediate People’s Court accepted the case, which was necessary in order for the case to proceed. In November 2011, Sinovel filed a motion to remove this case from the Beijing No. 1 Intermediate People’s Court and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has filed an appeal of the Beijing Higher People’s Court’s decision with China’s Supreme People’s Court. On June 18, 2012, Sinovel filed a new motion to remove this case from the Beijing No. 1 Intermediate People’s Court to the court located in Gansu Province.</w:t>
      </w:r>
    </w:p>
    <w:p>
      <w:pPr>
        <w:spacing w:after="0" w:line="13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On June 7, 2012, the Company received an Acceptance Notice from the Beijing No.1 Intermediate People’s Court under the caption </w:t>
      </w:r>
      <w:r>
        <w:rPr>
          <w:rFonts w:ascii="Arial" w:cs="Arial" w:eastAsia="Arial" w:hAnsi="Arial"/>
          <w:sz w:val="16"/>
          <w:szCs w:val="16"/>
          <w:i w:val="1"/>
          <w:iCs w:val="1"/>
          <w:color w:val="auto"/>
        </w:rPr>
        <w:t>(2012)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No.6833. </w:t>
      </w:r>
      <w:r>
        <w:rPr>
          <w:rFonts w:ascii="Arial" w:cs="Arial" w:eastAsia="Arial" w:hAnsi="Arial"/>
          <w:sz w:val="16"/>
          <w:szCs w:val="16"/>
          <w:color w:val="auto"/>
        </w:rPr>
        <w:t>The Company is currently awaiting notice from the Beijing No. 1 Intermediate People’s Court regarding the first hearing date.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No. 62</w:t>
      </w:r>
      <w:r>
        <w:rPr>
          <w:rFonts w:ascii="Arial" w:cs="Arial" w:eastAsia="Arial" w:hAnsi="Arial"/>
          <w:sz w:val="16"/>
          <w:szCs w:val="16"/>
          <w:color w:val="auto"/>
        </w:rPr>
        <w:t>. The application alleges that the Company’s PM1000 converters in certain Sinovel wind turbines have been replaced by converters produced by Guotong.</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the Company received the Civil Ruling from the court, which granted Sinovel’s motion, and dismissed the entire case. The Company appealed the court’s ruling to the Hainan Higher Court, which on April 5, 2012 upheld the decision of the Hainan Province No. 1 Intermediate People’s Court. On April 9, 2012, the Company filed an appeal of the Hainan Higher Court’s decision with China’s Supreme People’s Court. The Supreme Court accepted the appeal on May 23, 2012. The case is captioned, (2012) Min Shen Zi No. 630.</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 million). Ghodawat has filed a Reply to Answer to Request for Arbitration and Counterclaim in which it denies AMSC Austria’s counterclaims. The arbitration proceedings are currently ongoing. The Company has recorded a loss contingency based on its assessment of probable losses on this claim; however this amount is immaterial to its consolidated financial statements.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At June 30, 2012, the Company had $16.7 million of restricted cash included in current assets, and $4.8 million of restricted cash included in long-term assets. These amounts included in restricted cash represent deposits to secure letters of credit for various supply contracts. These deposits are held in interest bearing accounts. The Company is working with its inventory suppliers to delay cash settlements and to reduce the gross liability associated with its adverse purchase commitments. During the quarter ending June 30, 2012, the Company agreed to settle adverse purchase commitments with certain of its vendors. In conjunction with these settlements, the Company agreed to provide letters of credit and bank guarantees in the amount of approximately $9.0 million with expirations through January 31, 2013. The letters of credit and bank guarantees were secured with cash collateral of $8.5 million and resulted in a reduction of its adverse purchase commitments liability of $7.3 million recorded in the three months ended June 30, 2012.</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2012, the Company had three performance bonds in support of customer contracts. The total value of the outstanding performance bonds is $3.5 million with expiration dates through March 2014. In the event that the payment is made in accordance with the requirements of any of these performance bonds, the Company would record the payment as an offset to revenue.</w:t>
      </w:r>
    </w:p>
    <w:p>
      <w:pPr>
        <w:spacing w:after="0" w:line="256" w:lineRule="exact"/>
        <w:rPr>
          <w:sz w:val="20"/>
          <w:szCs w:val="20"/>
          <w:color w:val="auto"/>
        </w:rPr>
      </w:pPr>
    </w:p>
    <w:p>
      <w:pPr>
        <w:ind w:left="460" w:right="9000" w:hanging="452"/>
        <w:spacing w:after="0" w:line="417" w:lineRule="auto"/>
        <w:tabs>
          <w:tab w:leader="none" w:pos="449"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Investments </w:t>
      </w:r>
      <w:r>
        <w:rPr>
          <w:rFonts w:ascii="Arial" w:cs="Arial" w:eastAsia="Arial" w:hAnsi="Arial"/>
          <w:sz w:val="15"/>
          <w:szCs w:val="15"/>
          <w:b w:val="1"/>
          <w:bCs w:val="1"/>
          <w:i w:val="1"/>
          <w:iCs w:val="1"/>
          <w:color w:val="auto"/>
        </w:rPr>
        <w:t>Investment in Tres Amigas</w:t>
      </w:r>
    </w:p>
    <w:p>
      <w:pPr>
        <w:spacing w:after="0" w:line="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9, 2009, the Company made an investment in Tres Amigas LLC, a Delaware limited liability company (“Tres Amigas”), focused on providing the first common interconnection of America’s three power grids to help the country achieve its renewable energy goals and facilitate the smooth, reliable and efficient transfer of green power from region to region, for $1.8 million, consisting of $0.8 million in cash and $1.0 million in AMSC common stock. On January 6, 2011 and May 20, 2011, the Company increased its minority position in Tres Amigas by investing an additional $1.8 million in cash on each date. As of June 30, 2012, the Company holds a 26% ownership interest in Tres Amigas.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Company’s investment in Tres Amigas is included in other assets on the consolidated balance sheet and the equity in undistributed losses of Tres Amigas is included in other income, net, on the unaudited condensed consolidated statements of operations.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w w:val="98"/>
              </w:rPr>
              <w:t>The net investment activity for the three months ended June 30, 2012 is as follows (in thousands):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8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8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As of June 30, 2012, the Company holds a 25% ownership interest in Blade Dynamics.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has determined that Blade Dynamics is a variable interest entity (“VIE”) and that the Company is not the primary beneficiary of the VIE. Therefore, the Company has not consolidated Blade Dynamics as of June 30, 2012. The investment is carried at the acquisition cost, plus the Company’s equity in undistributed earnings or losses. The Company’s maximum exposure to loss is limited to the Company’s recorded investment in this VIE. The Company’s investment in Blade Dynamics is included in other assets on the unaudited condensed consolidated balance sheet and the equity in undistributed losses of Blade Dynamics is included in other income, net, on the consolidated statements of operations.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The net investment activity for the three months ended June 30, 2012 is as follows (in thousands):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4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foreign exchange rate impact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2"/>
        </w:trPr>
        <w:tc>
          <w:tcPr>
            <w:tcW w:w="8520" w:type="dxa"/>
            <w:vAlign w:val="bottom"/>
            <w:gridSpan w:val="2"/>
          </w:tcPr>
          <w:p>
            <w:pPr>
              <w:ind w:left="1380"/>
              <w:spacing w:after="0"/>
              <w:rPr>
                <w:sz w:val="20"/>
                <w:szCs w:val="20"/>
                <w:color w:val="auto"/>
              </w:rPr>
            </w:pPr>
            <w:r>
              <w:rPr>
                <w:rFonts w:ascii="Arial" w:cs="Arial" w:eastAsia="Arial" w:hAnsi="Arial"/>
                <w:sz w:val="18"/>
                <w:szCs w:val="18"/>
                <w:color w:val="auto"/>
              </w:rPr>
              <w:t>Balance at June 30, 2012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reported its financial results in two reportable business segments: Wind and Grid.</w:t>
      </w:r>
    </w:p>
    <w:p>
      <w:pPr>
        <w:spacing w:after="0" w:line="17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Through its Windtec Solutions, the Wind business segment enables manufacturers to field wind turbines with exceptional power output, reliability and affordability. The Company licenses its highly engineered wind turbine designs, provides extensive customer support services and supplies advanced power electronics and control systems to wind turbine manufactures. Its design portfolio includes a broad range of drive trains and power ratings up to 10 megawatts. The Company believes its advanced engineering capabilities, ranging from bearings to advanced synchronous generators to blades, enables it to provide its partners with highly-optimized wind turbine platforms. Furthermore, these designs and support services typically lead to sales of its power electronics and software-based control systems, which are designed for optimized performance, efficiency and grid compatibility.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Through its Gridtec Solutions, the Grid business segment enables electric utilities and renewable energy project developers to connect, transmit and distribute power with exceptional efficiency, reliability and affordability. The Company provides transmission planning services that allow it to identify power grid congestion, poor power quality and other risks, which help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5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Wind</w:t>
            </w:r>
          </w:p>
        </w:tc>
        <w:tc>
          <w:tcPr>
            <w:tcW w:w="3800" w:type="dxa"/>
            <w:vAlign w:val="bottom"/>
            <w:tcBorders>
              <w:top w:val="single" w:sz="8" w:color="CCEEFF"/>
            </w:tcBorders>
            <w:gridSpan w:val="2"/>
          </w:tcPr>
          <w:p>
            <w:pPr>
              <w:spacing w:after="0"/>
              <w:rPr>
                <w:sz w:val="18"/>
                <w:szCs w:val="18"/>
                <w:color w:val="auto"/>
              </w:rPr>
            </w:pPr>
          </w:p>
        </w:tc>
        <w:tc>
          <w:tcPr>
            <w:tcW w:w="24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3"/>
              </w:rPr>
              <w:t>16,511</w:t>
            </w: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4,262</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Grid</w:t>
            </w:r>
          </w:p>
        </w:tc>
        <w:tc>
          <w:tcPr>
            <w:tcW w:w="2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28,716</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5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Operating (loss) income</w:t>
            </w:r>
            <w:r>
              <w:rPr>
                <w:rFonts w:ascii="Arial" w:cs="Arial" w:eastAsia="Arial" w:hAnsi="Arial"/>
                <w:sz w:val="18"/>
                <w:szCs w:val="18"/>
                <w:color w:val="auto"/>
              </w:rPr>
              <w:t>:</w:t>
            </w: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Wind</w:t>
            </w:r>
          </w:p>
        </w:tc>
        <w:tc>
          <w:tcPr>
            <w:tcW w:w="27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6"/>
              </w:rPr>
              <w:t>(24,370)</w:t>
            </w: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Grid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1"/>
              </w:rPr>
              <w:t>(5,343)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(10,552)</w:t>
            </w: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Unallocated corporate expenses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w w:val="91"/>
              </w:rPr>
              <w:t>(2,086)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(3,405)</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1"/>
              </w:rPr>
              <w:t>(6,128)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(38,327)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w:t>
      </w:r>
    </w:p>
    <w:p>
      <w:pPr>
        <w:spacing w:after="0" w:line="14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Unallocated corporate expenses primarily consist of stock-based compensation expense of $2.0 million and $3.5 million for the three months ended June 30, 2012 and 2011,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89,091</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115,574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95,911</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264,178</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255,056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customers who represented 10% or more of the Company’s total revenues for the three months ended June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4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Beijing JINGCHENG New Energy Co., Ltd.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Karara Mining Ltd.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Department of Energy</w:t>
            </w:r>
          </w:p>
        </w:tc>
        <w:tc>
          <w:tcPr>
            <w:tcW w:w="2720" w:type="dxa"/>
            <w:vAlign w:val="bottom"/>
          </w:tcPr>
          <w:p>
            <w:pPr>
              <w:spacing w:after="0"/>
              <w:rPr>
                <w:sz w:val="18"/>
                <w:szCs w:val="18"/>
                <w:color w:val="auto"/>
              </w:rPr>
            </w:pPr>
          </w:p>
        </w:tc>
        <w:tc>
          <w:tcPr>
            <w:tcW w:w="58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Doosan Heavy Industries &amp; Construction Co Ltd.</w:t>
            </w:r>
          </w:p>
        </w:tc>
        <w:tc>
          <w:tcPr>
            <w:tcW w:w="27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w w:val="94"/>
              </w:rPr>
              <w:t>Shenyang Blower Works Group Wind Power Co.,Ltd.</w:t>
            </w:r>
          </w:p>
        </w:tc>
        <w:tc>
          <w:tcPr>
            <w:tcW w:w="2720" w:type="dxa"/>
            <w:vAlign w:val="bottom"/>
          </w:tcPr>
          <w:p>
            <w:pPr>
              <w:spacing w:after="0"/>
              <w:rPr>
                <w:sz w:val="19"/>
                <w:szCs w:val="19"/>
                <w:color w:val="auto"/>
              </w:rPr>
            </w:pPr>
          </w:p>
        </w:tc>
        <w:tc>
          <w:tcPr>
            <w:tcW w:w="580" w:type="dxa"/>
            <w:vAlign w:val="bottom"/>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356"/>
        </w:trPr>
        <w:tc>
          <w:tcPr>
            <w:tcW w:w="4020" w:type="dxa"/>
            <w:vAlign w:val="bottom"/>
          </w:tcPr>
          <w:p>
            <w:pPr>
              <w:spacing w:after="0"/>
              <w:rPr>
                <w:sz w:val="24"/>
                <w:szCs w:val="24"/>
                <w:color w:val="auto"/>
              </w:rPr>
            </w:pPr>
          </w:p>
        </w:tc>
        <w:tc>
          <w:tcPr>
            <w:tcW w:w="2720" w:type="dxa"/>
            <w:vAlign w:val="bottom"/>
          </w:tcPr>
          <w:p>
            <w:pPr>
              <w:jc w:val="right"/>
              <w:ind w:right="2232"/>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The Company early adopted ASU 2011-05 and it did not have a material impact on the Company’s consolidated results of operations, financial condition, or cash flows.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The Company does not believe adoption of this standard will have an impact on its consolidated results of operations, financial condition, or cash flows.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The Company is currently evaluating the impact of adopting ASU 2011-11, but currently does not believe there will be a significant impact on its consolidated results of operations, financial condition, or 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does not believe that other recently issued accounting pronouncements will have a material impact on its financial statements.</w:t>
      </w:r>
    </w:p>
    <w:p>
      <w:pPr>
        <w:spacing w:after="0" w:line="31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has evaluated all subsequent events through the time of filing this Quarterly Report on Form 10-Q with the SEC, per the requirements of ASC Topic 855 and has determined that there are no events to report.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Our success in addressing the wind energy market is dependent on the manufacturers that license our designs; we may not realize all of the sales expected from our backlog of orders and contracts; our business and operations would be adversely impacted in the event of a failure or security breach of our information technology infrastructure; our success is dependent upon attracting and retaining qualified personnel and our inability to do so could significantly damage our business and prospects;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our contracts with the United States government are subject to audit, modification or termination by the United States government and include certain other provisions in favor of the government; the continued funding of such contracts remains subject to annual congressional appropriation which, if not approved, could reduce our revenue and lower or eliminate our profit; we may acquire additional complementary businesses or technologies, which may require us to incur substantial costs for which we may never realize the anticipated benefits; 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 we have limited experience in marketing and selling our superconductor products and system-level solutions, and our failure to effectively market and sell our products and solutions could lower our revenue and cash flow; we have a history of operating losses, and we may incur additional losses in the future; our operating results may fluctuate significantly from quarter to quarter and may fall below expectations in any particular fiscal quarter; we may require additional funding in the future and may be unable to raise capital when needed; our new debt obligations include certain covenants and other events of default. Should we not comply with the covenants or incur an event of default, we may be required to repay our debt obligations in cash, which could have an adverse effect on our liquidity; we have recorded a liability for adverse purchase commitments with certain of our vendors; should we be required to settle these liabilities in cash, our liquidity could be adversely affected; if we fail to maintain proper and effective internal controls over financial reporting, our ability to produce accurate and timely financial statements could be impaired and may lead investors and other users to lose confidence in our financial data; we may be required to issue performance bonds or provide letters of credit, which restricts our ability to access any cash used as collateral for the bonds or letters of credit; changes in exchange rates could adversely affect our results from operations; growth of the wind energy market depends largely on the availability and size of government subsidies and economic incentives;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adverse changes in domestic and global economic conditions could adversely affect our operating results; we may be unable to adequately prevent disclosure of trade secrets and other proprietary information; our patents may not provide meaningful protection for our technology, which could result in us losing some or all of our market position; the commercial uses of superconductor products are limited today, and a widespread commercial market for our products may not develop;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i w:val="1"/>
          <w:iCs w:val="1"/>
          <w:color w:val="auto"/>
        </w:rPr>
        <w:t>acceptable cost and quality levels would substantially limit our future revenue and profit potential;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have filed a demand for arbitration and other lawsuits against our former largest customer, Sinovel, regarding amounts we contend are overdue. We cannot be certain as to the outcome of these proceedings; 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7% convertible note contains warrants and provisions that could limit our ability to repay the note in shares of common stock and should the note be repaid in stock, shareholders could experience significant dilution;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II. Item 1A and Part 1. Item 1A of our Form 10-K for the fiscal year ended March 31, 2012,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1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American Superconductor</w:t>
      </w:r>
      <w:r>
        <w:rPr>
          <w:rFonts w:ascii="Arial" w:cs="Arial" w:eastAsia="Arial" w:hAnsi="Arial"/>
          <w:sz w:val="11"/>
          <w:szCs w:val="11"/>
          <w:color w:val="auto"/>
        </w:rPr>
        <w:t>®</w:t>
      </w:r>
      <w:r>
        <w:rPr>
          <w:rFonts w:ascii="Arial" w:cs="Arial" w:eastAsia="Arial" w:hAnsi="Arial"/>
          <w:sz w:val="18"/>
          <w:szCs w:val="18"/>
          <w:color w:val="auto"/>
        </w:rPr>
        <w:t>, Amperium</w:t>
      </w:r>
      <w:r>
        <w:rPr>
          <w:rFonts w:ascii="Arial" w:cs="Arial" w:eastAsia="Arial" w:hAnsi="Arial"/>
          <w:sz w:val="11"/>
          <w:szCs w:val="11"/>
          <w:color w:val="auto"/>
        </w:rPr>
        <w:t>®</w:t>
      </w:r>
      <w:r>
        <w:rPr>
          <w:rFonts w:ascii="Arial" w:cs="Arial" w:eastAsia="Arial" w:hAnsi="Arial"/>
          <w:sz w:val="18"/>
          <w:szCs w:val="18"/>
          <w:color w:val="auto"/>
        </w:rPr>
        <w:t>, AMSC</w:t>
      </w:r>
      <w:r>
        <w:rPr>
          <w:rFonts w:ascii="Arial" w:cs="Arial" w:eastAsia="Arial" w:hAnsi="Arial"/>
          <w:sz w:val="11"/>
          <w:szCs w:val="11"/>
          <w:color w:val="auto"/>
        </w:rPr>
        <w:t>®</w:t>
      </w:r>
      <w:r>
        <w:rPr>
          <w:rFonts w:ascii="Arial" w:cs="Arial" w:eastAsia="Arial" w:hAnsi="Arial"/>
          <w:sz w:val="18"/>
          <w:szCs w:val="18"/>
          <w:color w:val="auto"/>
        </w:rPr>
        <w:t>, D-VAR</w:t>
      </w:r>
      <w:r>
        <w:rPr>
          <w:rFonts w:ascii="Arial" w:cs="Arial" w:eastAsia="Arial" w:hAnsi="Arial"/>
          <w:sz w:val="11"/>
          <w:szCs w:val="11"/>
          <w:color w:val="auto"/>
        </w:rPr>
        <w:t>®</w:t>
      </w:r>
      <w:r>
        <w:rPr>
          <w:rFonts w:ascii="Arial" w:cs="Arial" w:eastAsia="Arial" w:hAnsi="Arial"/>
          <w:sz w:val="18"/>
          <w:szCs w:val="18"/>
          <w:color w:val="auto"/>
        </w:rPr>
        <w:t>, PowerModule</w:t>
      </w:r>
      <w:r>
        <w:rPr>
          <w:rFonts w:ascii="Arial" w:cs="Arial" w:eastAsia="Arial" w:hAnsi="Arial"/>
          <w:sz w:val="11"/>
          <w:szCs w:val="11"/>
          <w:color w:val="auto"/>
        </w:rPr>
        <w:t>TM</w:t>
      </w:r>
      <w:r>
        <w:rPr>
          <w:rFonts w:ascii="Arial" w:cs="Arial" w:eastAsia="Arial" w:hAnsi="Arial"/>
          <w:sz w:val="18"/>
          <w:szCs w:val="18"/>
          <w:color w:val="auto"/>
        </w:rPr>
        <w:t>, PQ-IVR</w:t>
      </w:r>
      <w:r>
        <w:rPr>
          <w:rFonts w:ascii="Arial" w:cs="Arial" w:eastAsia="Arial" w:hAnsi="Arial"/>
          <w:sz w:val="11"/>
          <w:szCs w:val="11"/>
          <w:color w:val="auto"/>
        </w:rPr>
        <w:t>®</w:t>
      </w:r>
      <w:r>
        <w:rPr>
          <w:rFonts w:ascii="Arial" w:cs="Arial" w:eastAsia="Arial" w:hAnsi="Arial"/>
          <w:sz w:val="18"/>
          <w:szCs w:val="18"/>
          <w:color w:val="auto"/>
        </w:rPr>
        <w:t>, SeaTitan</w:t>
      </w:r>
      <w:r>
        <w:rPr>
          <w:rFonts w:ascii="Arial" w:cs="Arial" w:eastAsia="Arial" w:hAnsi="Arial"/>
          <w:sz w:val="11"/>
          <w:szCs w:val="11"/>
          <w:color w:val="auto"/>
        </w:rPr>
        <w:t>TM</w:t>
      </w:r>
      <w:r>
        <w:rPr>
          <w:rFonts w:ascii="Arial" w:cs="Arial" w:eastAsia="Arial" w:hAnsi="Arial"/>
          <w:sz w:val="18"/>
          <w:szCs w:val="18"/>
          <w:color w:val="auto"/>
        </w:rPr>
        <w:t>, Gridtec Solutions</w:t>
      </w:r>
      <w:r>
        <w:rPr>
          <w:rFonts w:ascii="Arial" w:cs="Arial" w:eastAsia="Arial" w:hAnsi="Arial"/>
          <w:sz w:val="11"/>
          <w:szCs w:val="11"/>
          <w:color w:val="auto"/>
        </w:rPr>
        <w:t>TM</w:t>
      </w:r>
      <w:r>
        <w:rPr>
          <w:rFonts w:ascii="Arial" w:cs="Arial" w:eastAsia="Arial" w:hAnsi="Arial"/>
          <w:sz w:val="18"/>
          <w:szCs w:val="18"/>
          <w:color w:val="auto"/>
        </w:rPr>
        <w:t>, Windtec Solutions</w:t>
      </w:r>
      <w:r>
        <w:rPr>
          <w:rFonts w:ascii="Arial" w:cs="Arial" w:eastAsia="Arial" w:hAnsi="Arial"/>
          <w:sz w:val="11"/>
          <w:szCs w:val="11"/>
          <w:color w:val="auto"/>
        </w:rPr>
        <w:t>TM</w:t>
      </w:r>
      <w:r>
        <w:rPr>
          <w:rFonts w:ascii="Arial" w:cs="Arial" w:eastAsia="Arial" w:hAnsi="Arial"/>
          <w:sz w:val="18"/>
          <w:szCs w:val="18"/>
          <w:color w:val="auto"/>
        </w:rPr>
        <w:t xml:space="preserve"> and Smarter, Cleaner Better Energy</w:t>
      </w:r>
      <w:r>
        <w:rPr>
          <w:rFonts w:ascii="Arial" w:cs="Arial" w:eastAsia="Arial" w:hAnsi="Arial"/>
          <w:sz w:val="11"/>
          <w:szCs w:val="11"/>
          <w:color w:val="auto"/>
        </w:rPr>
        <w:t>TM</w:t>
      </w:r>
      <w:r>
        <w:rPr>
          <w:rFonts w:ascii="Arial" w:cs="Arial" w:eastAsia="Arial" w:hAnsi="Arial"/>
          <w:sz w:val="18"/>
          <w:szCs w:val="18"/>
          <w:color w:val="auto"/>
        </w:rPr>
        <w:t xml:space="preserve"> are trademarks or registered trademarks of American Superconductor Corporation or its subsidiaries. We reserve all of our rights with respect to our trademarks or registered trademarks regardless of whether they are so designated in this Quarterly Report on Form 10-Q by an </w:t>
      </w:r>
      <w:r>
        <w:rPr>
          <w:rFonts w:ascii="Arial" w:cs="Arial" w:eastAsia="Arial" w:hAnsi="Arial"/>
          <w:sz w:val="11"/>
          <w:szCs w:val="11"/>
          <w:color w:val="auto"/>
        </w:rPr>
        <w:t>®</w:t>
      </w:r>
      <w:r>
        <w:rPr>
          <w:rFonts w:ascii="Arial" w:cs="Arial" w:eastAsia="Arial" w:hAnsi="Arial"/>
          <w:sz w:val="18"/>
          <w:szCs w:val="18"/>
          <w:color w:val="auto"/>
        </w:rPr>
        <w:t xml:space="preserve"> or </w:t>
      </w:r>
      <w:r>
        <w:rPr>
          <w:rFonts w:ascii="Arial" w:cs="Arial" w:eastAsia="Arial" w:hAnsi="Arial"/>
          <w:sz w:val="11"/>
          <w:szCs w:val="11"/>
          <w:color w:val="auto"/>
        </w:rPr>
        <w:t>TM</w:t>
      </w:r>
      <w:r>
        <w:rPr>
          <w:rFonts w:ascii="Arial" w:cs="Arial" w:eastAsia="Arial" w:hAnsi="Arial"/>
          <w:sz w:val="18"/>
          <w:szCs w:val="18"/>
          <w:color w:val="auto"/>
        </w:rPr>
        <w:t xml:space="preserve"> symbol. All other brand names, product names, trademarks or service marks appearing in this Quarterly Report on Form 10-Q are the property of their respective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American Superconductor Corporation was founded in 1987. We are a leading provider of megawatt-scale solutions that lower the cost of wind power and enhance the performance of the power grid. In the wind power market, we enable manufacturers to field wind turbines through our advanced engineering, support services and power electronics products.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1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HTS wires. These technologies and our system-level solutions are protected by a broad and deep intellectual property portfolio consisting of hundreds of patents and licenses worldwide.</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51" w:lineRule="exact"/>
        <w:rPr>
          <w:sz w:val="20"/>
          <w:szCs w:val="20"/>
          <w:color w:val="auto"/>
        </w:rPr>
      </w:pPr>
    </w:p>
    <w:p>
      <w:pPr>
        <w:ind w:left="900" w:right="40" w:hanging="325"/>
        <w:spacing w:after="0" w:line="314"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Wind. </w:t>
      </w:r>
      <w:r>
        <w:rPr>
          <w:rFonts w:ascii="Arial" w:cs="Arial" w:eastAsia="Arial" w:hAnsi="Arial"/>
          <w:sz w:val="15"/>
          <w:szCs w:val="15"/>
          <w:color w:val="auto"/>
        </w:rPr>
        <w:t>Through our Windtec Solutions, our Wind business segment enables manufacturers to field wind turbines with exceptional power output,</w:t>
      </w:r>
      <w:r>
        <w:rPr>
          <w:rFonts w:ascii="Arial" w:cs="Arial" w:eastAsia="Arial" w:hAnsi="Arial"/>
          <w:sz w:val="15"/>
          <w:szCs w:val="15"/>
          <w:i w:val="1"/>
          <w:iCs w:val="1"/>
          <w:color w:val="auto"/>
        </w:rPr>
        <w:t xml:space="preserve"> </w:t>
      </w:r>
      <w:r>
        <w:rPr>
          <w:rFonts w:ascii="Arial" w:cs="Arial" w:eastAsia="Arial" w:hAnsi="Arial"/>
          <w:sz w:val="15"/>
          <w:szCs w:val="15"/>
          <w:color w:val="auto"/>
        </w:rPr>
        <w:t>reliability and affordability. We license our highly engineered wind turbine designs, provide extensive customer support services and supply advanced power electronics and control systems to wind turbine manufactures. Our design portfolio includes a broad range of drive trains and power ratings up to 10 megawatts. We believe our unique engineering capabilities, ranging from bearings to advanced synchronous generators to blades, enables us to provide our partners with highly-optimized wind turbine platforms. Furthermore, these designs and support services typically lead to sales of our power electronics and software-based control systems, which are designed for optimized performance, efficiency and grid compatibility.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325"/>
        <w:spacing w:after="0" w:line="25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and renewable energy project developers to connect,</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 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fiscal year begins on April 1 and ends on March 31. This document refers to fiscal 2012, which is defined as the period beginning on April 1, 2012 and concluding on March 31, 2013. The first quarter of fiscal 2012 began on April 1, 2012 and concluded on June 30, 2012.</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April 4, 2012 we completed a private placement of $25.0 million of senior convertible notes (the “Convertible Notes”) with an affiliate of Heights Capital Management. On June 5, 2012, we entered into a $10.0 million Loan and Security Agreement (“Term Loan”) with Hercules Technology Growth Capital. See Liquidity and Capital Resources for further discussion of these debt arrangements.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cash requirements depend on numerous factors, including managing our adverse purchase commitments, maintaining compliance with the covenants and restrictions in our debt agreements, successful completion of our product development activities, ability to commercialize our product prototypes, rate of customer and market adoption of our products, collecting receivables according to established terms, and the continued availability of United States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See below for a discussion of liquidity and capital resources.</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March 2011, we engaged in discussions with Sinovel, formerly our largest customer,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of the date of this filing, we have not received payment from Sinovel for any outstanding receivables nor have we been notified as to when, if ever, Sinovel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also filed civil and criminal complaints against Sinovel.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cannot provide any assurance as to the outcome of these legal actions. See Part II, Item 1. Legal Proceedings below for additional information regarding these legal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Except as stated below, there were no significant changes in the critical accounting policies during the three months ended June 30, 2012 that were disclosed in our Form 10-K for fiscal 2011, which ended on March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financial instruments consist principally of cash and cash equivalents, marketable securities, accounts receivable, accounts payable, accrued expenses, derivatives, warrants, convertible notes and a term loan. The estimated fair values have been determined through information obtained from market sources and management estimates. The carrying amounts of these instruments approximate fair value. We have identified all of the derivatives associated with the Convertible Notes which include put rights to require the investor to acquire an additional $15.0 million convertible note and additional warrant, holder change of control redemption rights, issuer optional redemption rights, sale redemption rights and a right to make payment in the form of stock rather than cash if certain equity conditions are met. The derivative liability is subject to revaluation at each balance sheet date, and any change in fair value will be recorded as a change in fair value in other income (expense) until the earlier of their exercise or expiration of the derivatives associated with the Convertible Notes. We rely on assumptions in a lattice model to determine the fair value of the derivative liability. We have appropriately valued the derivative liability within Level 3 of the valuation hierarchy. Warrants were issued in conjunction with the Convertible Notes and Term Loan. These warrants are subject to revaluation at each balance sheet date, and any change in fair value will be recorded as a change in fair value in other income (expense) until the earlier of the warrants’ exercise or expiration. We rely on assumptions used in a Black-Scholes model to determine the fair value of the warrants. We have appropriately valued the warrants within Level 3 of the valuation hierarchy.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compared to the three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revenues increased by 217% to $28.7 million for the three months ended June 30, 2012, compared to $9.1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 Our revenues are summarized as follows (in thousands):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42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Wind</w:t>
            </w:r>
          </w:p>
        </w:tc>
        <w:tc>
          <w:tcPr>
            <w:tcW w:w="6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6"/>
              </w:rPr>
              <w:t>$16,511</w:t>
            </w:r>
          </w:p>
        </w:tc>
        <w:tc>
          <w:tcPr>
            <w:tcW w:w="4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$4,262</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Grid</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12,205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28,716</w:t>
            </w: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9,058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Wind business unit accounted for 57% of total revenues for the three months ended June 30, 2012, compared to 47% for the three months ended June 30, 2011. Revenues in the Wind business unit increased 287% to $16.5 million in the three months ended June 30, 2012 from $4.3 million in the three months ended June 30, 2011. Wind business unit revenues increased primarily due to increased shipments of electrical control systems to customers in China and India.</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Our Grid business unit accounted for 43% of total revenues for the three months ended June 30, 2012, compared to 53% for the three months ended</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June 30, 2011. Our Grid business unit revenues increased 155% to $12.2 million in the three months ended June 30, 2012 from $4.8 million for the three months ended June 30, 2011. Grid business unit revenues increased primarily due to increased D-VAR revenues.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significant government-funded contracts are summarized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Revenue Earned for the Three</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Revenue earned</w:t>
            </w:r>
          </w:p>
        </w:tc>
        <w:tc>
          <w:tcPr>
            <w:tcW w:w="120" w:type="dxa"/>
            <w:vAlign w:val="bottom"/>
          </w:tcPr>
          <w:p>
            <w:pPr>
              <w:spacing w:after="0"/>
              <w:rPr>
                <w:sz w:val="14"/>
                <w:szCs w:val="14"/>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Months Ended June 30,</w:t>
            </w:r>
          </w:p>
        </w:tc>
        <w:tc>
          <w:tcPr>
            <w:tcW w:w="0" w:type="dxa"/>
            <w:vAlign w:val="bottom"/>
          </w:tcPr>
          <w:p>
            <w:pPr>
              <w:spacing w:after="0"/>
              <w:rPr>
                <w:sz w:val="1"/>
                <w:szCs w:val="1"/>
                <w:color w:val="auto"/>
              </w:rPr>
            </w:pPr>
          </w:p>
        </w:tc>
      </w:tr>
      <w:tr>
        <w:trPr>
          <w:trHeight w:val="116"/>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0"/>
              </w:rPr>
              <w:t>Project name</w:t>
            </w:r>
          </w:p>
        </w:tc>
        <w:tc>
          <w:tcPr>
            <w:tcW w:w="45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7"/>
              </w:rPr>
              <w:t>Expected total</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740"/>
              <w:spacing w:after="0" w:line="116" w:lineRule="exact"/>
              <w:rPr>
                <w:sz w:val="20"/>
                <w:szCs w:val="20"/>
                <w:color w:val="auto"/>
              </w:rPr>
            </w:pPr>
            <w:r>
              <w:rPr>
                <w:rFonts w:ascii="Arial" w:cs="Arial" w:eastAsia="Arial" w:hAnsi="Arial"/>
                <w:sz w:val="12"/>
                <w:szCs w:val="12"/>
                <w:b w:val="1"/>
                <w:bCs w:val="1"/>
                <w:color w:val="auto"/>
              </w:rPr>
              <w:t>through</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contract value</w:t>
            </w:r>
          </w:p>
        </w:tc>
        <w:tc>
          <w:tcPr>
            <w:tcW w:w="580" w:type="dxa"/>
            <w:vAlign w:val="bottom"/>
          </w:tcPr>
          <w:p>
            <w:pPr>
              <w:spacing w:after="0"/>
              <w:rPr>
                <w:sz w:val="14"/>
                <w:szCs w:val="14"/>
                <w:color w:val="auto"/>
              </w:rPr>
            </w:pPr>
          </w:p>
        </w:tc>
        <w:tc>
          <w:tcPr>
            <w:tcW w:w="152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June 30, 2012</w:t>
            </w:r>
          </w:p>
        </w:tc>
        <w:tc>
          <w:tcPr>
            <w:tcW w:w="120" w:type="dxa"/>
            <w:vAlign w:val="bottom"/>
          </w:tcPr>
          <w:p>
            <w:pPr>
              <w:spacing w:after="0"/>
              <w:rPr>
                <w:sz w:val="14"/>
                <w:szCs w:val="14"/>
                <w:color w:val="auto"/>
              </w:rPr>
            </w:pPr>
          </w:p>
        </w:tc>
        <w:tc>
          <w:tcPr>
            <w:tcW w:w="480" w:type="dxa"/>
            <w:vAlign w:val="bottom"/>
          </w:tcPr>
          <w:p>
            <w:pPr>
              <w:jc w:val="right"/>
              <w:ind w:right="81"/>
              <w:spacing w:after="0" w:line="148" w:lineRule="exact"/>
              <w:rPr>
                <w:sz w:val="20"/>
                <w:szCs w:val="20"/>
                <w:color w:val="auto"/>
              </w:rPr>
            </w:pPr>
            <w:r>
              <w:rPr>
                <w:rFonts w:ascii="Arial" w:cs="Arial" w:eastAsia="Arial" w:hAnsi="Arial"/>
                <w:sz w:val="14"/>
                <w:szCs w:val="14"/>
                <w:b w:val="1"/>
                <w:bCs w:val="1"/>
                <w:color w:val="auto"/>
                <w:w w:val="96"/>
              </w:rPr>
              <w:t>2012</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HYDRA 1 &amp; 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29,043</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12,480</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LIPA I and II</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40,141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40,007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DOE-FCL</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77,082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59,871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significant projects represented 4% and 41% of the Grid business unit revenues for the three months ended June 30, 2012 and 2011,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Project HYDRA is a project with Consolidated Edison, Inc. which is being partially funded by the Department of Homeland Security (“DHS”). DHS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expected to invest up to a total of $29.0 million in the development of a new HTS power grid technology called FaultBlocker™ cable systems. FaultBlocker</w:t>
      </w:r>
      <w:r>
        <w:rPr>
          <w:rFonts w:ascii="Arial" w:cs="Arial" w:eastAsia="Arial" w:hAnsi="Arial"/>
          <w:sz w:val="10"/>
          <w:szCs w:val="10"/>
          <w:color w:val="auto"/>
        </w:rPr>
        <w:t>TM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cable systems are designed to utilize customized Amperium™ HTS wires, and ancillary controls to deliver more power through the grid while also being 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suppress power surges that can disrupt service. On June 29, 2012, DHS committed an additional $3.3 million in funding on Project HYDRA. Of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$29.0 million in funding expected from DHS, it has committed funding of $18.9 million to us as of June 30, 2012. Consolidated Edison and Southwire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our subcontractors on this project.</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LIPA II is a project to install an HTS power cable using our Amperium™ wire for the Long Island Power Authority. DOE-FCL is a project to develop and demonstrate a transmission voltage SuperLimiter fault current limiter (“FCL”).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customers who represented 10% or more of our total revenues for the three months ended June 30, 2012 and 2011:</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6740" w:type="dxa"/>
            <w:vAlign w:val="bottom"/>
          </w:tcPr>
          <w:p>
            <w:pPr>
              <w:spacing w:after="0"/>
              <w:rPr>
                <w:sz w:val="12"/>
                <w:szCs w:val="12"/>
                <w:color w:val="auto"/>
              </w:rPr>
            </w:pPr>
          </w:p>
        </w:tc>
        <w:tc>
          <w:tcPr>
            <w:tcW w:w="5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Beijing JINGCHENG New Energy Co., Ltd.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Karara Mining Ltd.</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Department of Energy</w:t>
            </w:r>
          </w:p>
        </w:tc>
        <w:tc>
          <w:tcPr>
            <w:tcW w:w="58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Doosan Heavy Industries &amp; Construction Co Ltd.</w:t>
            </w:r>
          </w:p>
        </w:tc>
        <w:tc>
          <w:tcPr>
            <w:tcW w:w="5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Shenyang Blower Works Group Wind Power Co., Ltd.</w:t>
            </w:r>
          </w:p>
        </w:tc>
        <w:tc>
          <w:tcPr>
            <w:tcW w:w="58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Cost of revenues was $17.0 million for each of the three months ended June 30, 2012 and 2011. Gross margin was 41.1% and (87.2%) for the three months ended June 30, 2012 and 2011, respectively. The increase in gross margin for the three months ended June 30, 2012 as compared to the same period in fiscal 2011 was primarily due to settlements of certain adverse purchase order liabilities resulting in a benefit to cost of revenues of $7.3 million in the three months ended June 30, 2012 as well as higher revenues, which included approximately $3 million of revenue from Chinese customers representing payment for past shipments for which revenue is being recognized upon cash collection. Costs associated with this revenue were recorded in prior periods.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expenses per unaudited condensed consolidated statements of operations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Aggregated R&amp;D expenses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6,864</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12,210</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decreased by 52% to $3.9 million for the three months ended June 30, 2012 from $8.1 million for the three months ended June 30, 2011. The decrease in R&amp;D expenses was driven primarily by the realization of cost reduction actions that were implemented in fiscal 2011. The decrease in R&amp;D expenditures reclassified to costs of revenue was a result of decreased activity under license and development contracts for wind turbine designs compared to the prior year. Aggregated R&amp;D expenses, which include amounts classified as cost of revenues and amounts offset by cost-sharing funding, decreased 44% to $6.9 million for the three months ended June 30, 2012 compared to $12.2 million for the three months ended June 30, 2011.</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present aggregated R&amp;D, which is a non-GAAP measure, because we believe this presentation provides useful information on our aggregate R&amp;D spending and because R&amp;D expenses as reported on the unaudited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SG&amp;A expenses decreased by 37% to $13.8 million in the three months ended June 30, 2012, from $22.0 million in the three months ended June 30, 2011. The decrease in SG&amp;A expenses was due primarily to the realization of cost reductions actions that were implemented in fiscal 2011 and costs associated with the severance of our former chief executive officer during the three months ended June 30, 2011, which did not recur.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recorded amortization expense related to our core technology and know-how, trade names and trademark intangible assets of $0.1 million and $0.3 million in the three months ended June 30, 2012 and 2011, respectively. These intangible assets are primarily as a result of our Windtec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recorded restructuring and impairment charges of $0.1 million in the three months ended June 30, 2012. These amounts consist primarily of employee severance and benefit costs related to our restructuring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income is summarized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3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$ 1,301</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(24,370)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Grid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(5,343)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3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vMerge w:val="continue"/>
          </w:tcPr>
          <w:p>
            <w:pPr>
              <w:spacing w:after="0"/>
              <w:rPr>
                <w:sz w:val="19"/>
                <w:szCs w:val="19"/>
                <w:color w:val="auto"/>
              </w:rPr>
            </w:pPr>
          </w:p>
        </w:tc>
        <w:tc>
          <w:tcPr>
            <w:tcW w:w="4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(38,327)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620" w:type="dxa"/>
            <w:vAlign w:val="bottom"/>
            <w:vMerge w:val="restart"/>
          </w:tcPr>
          <w:p>
            <w:pPr>
              <w:jc w:val="right"/>
              <w:ind w:right="2352"/>
              <w:spacing w:after="0"/>
              <w:rPr>
                <w:sz w:val="20"/>
                <w:szCs w:val="20"/>
                <w:color w:val="auto"/>
              </w:rPr>
            </w:pPr>
            <w:r>
              <w:rPr>
                <w:rFonts w:ascii="Arial" w:cs="Arial" w:eastAsia="Arial" w:hAnsi="Arial"/>
                <w:sz w:val="18"/>
                <w:szCs w:val="18"/>
                <w:color w:val="auto"/>
              </w:rPr>
              <w:t>28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Wind segment generated operating income of $1.3 million in the three months ended June 30, 2012, compared to an operating loss of $24.4 million in the three months ended June 30, 2011. The increase in Wind business unit operating income was primarily due to the settlement of certain adverse purchase order liabilities and the realization of cost reductions which were implemented in fiscal 2011 as well as the increased revenue for the 2012 quarter.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operating loss of our Grid segment decreased to $5.3 million in the three months ended June 30, 2012, compared to $10.6 million in the three months ended June 30, 2011. The decrease in Grid business unit operating loss was primarily due to lower operating expenses as a result of the reductions in force and reduced discretionary spending, partially offset by increased D-VAR revenues.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Unallocated corporate expenses also include stock-based compensation expense of $2.0 million and $3.5 million for the three months ended June 30, 2012 and 2011,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our completed debt financings during the three months ended June 30, 2012, we recognized a liability for derivative features embedded within the financing agreements, including the convertible feature of the Convertible Note and warrants issued in conjunction with the Convertible Note and Term Loan. We are required to value the derivative liabilities and warrants at fair value each quarter and recognize a gain or loss on the change in fair value of these instruments.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derivative liabilities and warrants increased by $2.4 million and resulted in an expense to our consolidated statement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 of the expense was the increase in our stock price from the inception of the debt agreements to June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Interest expense, net, was $2.7 million in the three months ended June 30, 2012, compared to interest income of $0.2 million for the three months ended June 30, 2011. The increase in interest expense was due to the debt financings completed during the three months ended June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Other income, net, was $0.1 million in the three months ended June 30, 2012 compared to $0.6 million for the three months ended June 30, 2011. The decrease in other income, net primarily relates to an increase in losses on minority interest investments of $0.4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the three months ended June 30, 2012, we recorded an income tax benefit of $0.8 million compared to income tax expense of $0.2 million in the three months ended June 30, 2011. The decrease in income tax expense was primarily due to a refund of Chinese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define non-GAAP net (loss) income as net (loss) income before amortization of acquisition-related intangibles, restructuring and impairments, stock-based compensation, change in fair value of derivative liabilities and warrants, non-cash interest expense, other unusual charges and any tax effects related to these items.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Adverse purchase commitment (recoveries) losses,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severance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Sinovel litigation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Consumption of zero cost-basis inventory</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and warrants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Non-cash interest expense</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(10,196)</w:t>
            </w:r>
          </w:p>
        </w:tc>
        <w:tc>
          <w:tcPr>
            <w:tcW w:w="3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(30,772)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Non-GAAP loss earnings per share</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vMerge w:val="continue"/>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3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Diluted shares are used for periods where net income is generated.</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incurred a non-GAAP net loss of ($10.2) million or ($0.20) per share, for the three months ended June 30, 2012, compared to a non-GAAP net loss of ($30.8) million, or ($0.61) per share, for the three months ended June 30, 2011. The decrease in the non-GAAP net loss was driven primarily by the factors that resulted in a lower net loss, including higher revenues, improved gross margin and lower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At June 30, 2012, we had cash, cash equivalents, marketable securities and restricted cash of $87.1 million, compared to $66.2 million at March 31, 2012, an increase of $20.9 million. Our cash and cash equivalents, marketable securities and restricted cash are summarized as follows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20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88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1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$60,487</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$ 46,279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Marketable securities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21,451</w:t>
            </w:r>
          </w:p>
        </w:tc>
        <w:tc>
          <w:tcPr>
            <w:tcW w:w="5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87,147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$ 66,209</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the unaudited condensed consolidated statement of cash flows, for the three months ended June 30, 2012, net cash used in operating activities was $11.6 million compared to $57.8 million for the three months ended June 30, 2011. The decrease in net cash used in operations is due primarily to a decrease in net loss, adjusted for non-cash items of $22.3 million and a decrease in cash used for working capital of $23.9 million.</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For the three months ended June 30, 2012, net cash used in investing activities was $6.8 million compared to net cash provided by investing activities of $59.8 million for the three months ended June 30, 2011. The decrease in net cash provided by investing activities for the three months ended June 30, 2012 was driven primarily by a decrease in the proceeds from the maturity of marketable securities of $90.7 million and an increase in restricted cash of $3.1 million, partially offset by a decrease in capital expenditures of $4.4 million, and the $20.6 million advance payment to The Switch, and the additional minority investment in Tres Amigas of $1.8 million during the three months ended June 30, 2011, which did not recur.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For the three months ended June 30, 2012, net cash provided by financing activities was $32.9 million compared to $4.4 million in the three months ended June 30, 2011. The increase in net cash provided by financing activities is primarily due to the net proceeds from our financings during the period ended June 30, 2012 of $32.9 million, partially offset by a payment on borrowings under a line of credit of $4.6 million during the three months ended June 30, 2011.</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June 30, 2012, we had $16.7 million of restricted cash included in current assets, and $4.8 million of restricted cash included in long-term assets. These amounts included in restricted cash represent deposits to secure letters of credit for various supply contracts and are held in interest bearing accounts. We are working with our inventory suppliers to delay cash settlements and to reduce the gross liability associated with our adverse purchase commitments, which is approximately $17.5 million as of June 30, 2012. During the quarter ending June 30, 2012, we agreed to settle adverse purchase commitments with certain of our vendors. In conjunction with these settlements, we agreed to provide letters of credit and bank guarantees in the amount of approximately $9.0 million with expirations through January 31, 2013. The letters of credit and bank guarantees were secured with cash collateral of $8.5 million and resulted in a reduction of our adverse purchase commitments liability of $7.3 million.</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June 30, 2012, we had three performance bonds in support of customer contracts. The total value of the outstanding performance bonds is $3.5 million with expiration dates through March 2014. In the event that the payment is made in accordance with the requirements of any of these performance bonds, we would record the payment as an offset to revenue.</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April 4, 2012, we completed a private placement of $25.0 million of Convertible Notes. The Convertible Notes bear interest of 7% and have an initial conversion price of $4.85 per share. The Convertible Notes are payable in monthly installments beginning four months from issuance and ending on October 4, 2014. Monthly payments are payable in cash or common stock at our option, subject to certain trading volume, stock price and other conditions. The Convertible Notes contain certain covenants and restrictions, including, among others, that for so long as the Convertible Notes are outstanding, we will not incur any indebtedness (other than permitted indebtedness under the Convertible Notes), permit liens on our properties (other than permitted liens under the Convertible Notes), make payments on junior securities or make dividends. The Convertible Notes also contain limitations on the transfer of certain assets. Events of default under the Convertible Notes include failure to pay principal or interest as due on the Convertible Notes, failure to deliver registered shares of common stock upon the holders request for conversion of part or all of the Convertible Notes, failure to maintain our common stock eligible for trading on defined markets, cross defaults to other material indebtedness, receipt of uninsured judgments against us in excess of defined limits and other administrative covenants, as defined in the Convertible Notes and related documentation. Upon an event of default, the holders may require us to redeem all or any portion of the outstanding principal amount of the Convertible Notes in cash plus a penalty specified in the agreement. In addition, if we fail to maintain an effective registration statement covering common stock to be used in settling obligations under the Convertible Notes, we will be required to pay a penalty specified in the agreement.</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June 5, 2012, we entered into a Loan and Security Agreement with Hercules Technology Growth Capital, under which we borrowed $10.0 million. The Term Loan bears interest at a floating per annum rate equal to 11% plus the percentage, if any, by which the prime rate exceeds 3.75%. We will make interest only payments beginning July 1, 2012 and continuing through October 1, 2012, after which we will repay the Term Loan in equal monthly installments ending on December 1, 2014. The Term Loan contains certain covenants that restrict our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which requirements us to maintain a minimum unrestricted cash balance in the United States of at least $10.0 million at the inception of the Term Loan, which will decrease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12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Although we are in and expect to remain in compliance with covenants and restrictions on the Convertible Notes and Term Loan as of the date of this Quarterly Report on Form 10-Q, there can no assurance that we will continue to be in compliance. If we fail to stay in compliance with our covenants or suffer some other event of default, we may be forced to repay the outstanding principle of one or both of our debt obligations. In the case of the Convertible Note, such an event of default would also include the requirement to pay a penalty as defined in the agreement. Should this occur, our liquidity would be adversely affected.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June 30, 2012, we had cash, cash equivalents, and marketable securities of $65.7 million. We experienced a substantial decline in revenues, incurred a net loss of $136.8 million and used $141.0 million of cash for operations during the fiscal year ended March 31, 2012. As a result, we reduced our global workforce by approximately 50% and consolidated certain business operations in three locations to reduce facility costs. As of June 30, 2012, we had a global workforce of approximately 430 persons.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expect that our cost reduction efforts and anticipated revenue growth will result in a substantial reduction in cash used for operations during the fiscal year ended March 31, 2013. We plan to closely monitor our expenses and if required, expect to further reduce operating costs and capital spending to enhance liquidity.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our available cash, together with additional reductions in operating costs and capital expenditures that we expect to make if necessary, will be sufficient to fund our operations, capital expenditures and any scheduled cash payments under our debt obligations through June 30, 2013. Our liquidity is highly dependent on our ability to profitably grow revenues, successfully manage adverse purchase commitments, fund and maintain compliance with the covenants and restrictions on our debt obligations, and raise additional capital, as required. We may seek additional financing however; there can be no assurance that financing will be available on commercially acceptable terms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If the loss is not probable or cannot be reasonably estimated, a liability is not recorded in its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we have various contractual arrangements in which minimum quantities of goods or services have been committed to be purchased on an annual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early adopted ASU 2011-05 and it did not have a material impact on our consolidated results of operations, financial condition, or cash flows.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results of operations, financial condition, or cash flows.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We are currently evaluating the impact of adopting ASU 2011-11, but currently believe there will be no significant impact on our consolidated results of operations, financial condition, or 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other recently issued accounting pronouncements will have a material impact on our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exposure to interest rate risk through financial instruments includes investments in marketable securities as well as our Term Loan that carries a variable interest rate. To manage the interest rate exposure on our investments, our strategy is to invest in short-term, highly liquid investments. Our investments in marketable securities consist primarily of government-backed securities and commercial paper and are designed, in order of priority, to preserve principal, provide liquidity, and maximize income. Investments are monitored to limit exposure to instruments responsible for the recent turmoil in the credit markets. Interest rates are variable and fluctuate with current market conditions. Our Term Loan bears interest at a floating per annum rate equal to 11% plus the percentage, if any, by which the prime rate exceeds 3.75%. We do not believe that a 10% change in interest rates would have a material impact on our financial position or results of operations. Our Convertible Note bears a fixed interest rate of 7%; however upon the occurrence on an event of default pursuant to the Note, the interest rate would increase to 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Foreign currency transaction gains included in net (loss) income were $0.9 million and $1.2 million for the three months ended June 30, 2012 and 2011,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June 30, 2012,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2012 that have materially affected, or are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Superconductor Corporation, et al.</w:t>
      </w:r>
      <w:r>
        <w:rPr>
          <w:rFonts w:ascii="Arial" w:cs="Arial" w:eastAsia="Arial" w:hAnsi="Arial"/>
          <w:sz w:val="16"/>
          <w:szCs w:val="16"/>
          <w:color w:val="auto"/>
        </w:rPr>
        <w:t>, Docket No. 1:11-cv-10582-WGY. On August 31, 2011, Lead Plaintiff, the Plumbers and Pipefitters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us and our officers, and taking under advisement the motion to dismiss the Exchange Act claims against us and our officers and the motion to dismiss the Securities Act claims made against the underwriters. On July 26, 2012, the district court dismissed the Exchange Act claims against us and our officers and denied the motion to dismiss the Securities Act claims made against the underwriters.</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w:t>
      </w:r>
      <w:r>
        <w:rPr>
          <w:rFonts w:ascii="Arial" w:cs="Arial" w:eastAsia="Arial" w:hAnsi="Arial"/>
          <w:sz w:val="16"/>
          <w:szCs w:val="16"/>
          <w:color w:val="auto"/>
        </w:rPr>
        <w:t xml:space="preserve"> et al., moved to voluntarily dismiss its complaint and refiled its complaint in Superior Court for the Commonwealth of Massachusetts, Middlesex County. On September 7, 2011, the Marlborough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Marlborough Family Revocable Trust v.</w:t>
      </w:r>
      <w:r>
        <w:rPr>
          <w:rFonts w:ascii="Arial" w:cs="Arial" w:eastAsia="Arial" w:hAnsi="Arial"/>
          <w:sz w:val="16"/>
          <w:szCs w:val="16"/>
          <w:color w:val="auto"/>
        </w:rPr>
        <w:t xml:space="preserve"> </w:t>
      </w:r>
      <w:r>
        <w:rPr>
          <w:rFonts w:ascii="Arial" w:cs="Arial" w:eastAsia="Arial" w:hAnsi="Arial"/>
          <w:sz w:val="16"/>
          <w:szCs w:val="16"/>
          <w:i w:val="1"/>
          <w:iCs w:val="1"/>
          <w:color w:val="auto"/>
        </w:rPr>
        <w:t>Yurek</w:t>
      </w:r>
      <w:r>
        <w:rPr>
          <w:rFonts w:ascii="Arial" w:cs="Arial" w:eastAsia="Arial" w:hAnsi="Arial"/>
          <w:sz w:val="16"/>
          <w:szCs w:val="16"/>
          <w:color w:val="auto"/>
        </w:rPr>
        <w:t>, et al., Docket No. 11-1961. On January 12, 2012, an additional shareholder derivative complaint was filed in the Court of Chancery for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Delaware. That matter is captioned </w:t>
      </w:r>
      <w:r>
        <w:rPr>
          <w:rFonts w:ascii="Arial" w:cs="Arial" w:eastAsia="Arial" w:hAnsi="Arial"/>
          <w:sz w:val="16"/>
          <w:szCs w:val="16"/>
          <w:i w:val="1"/>
          <w:iCs w:val="1"/>
          <w:color w:val="auto"/>
        </w:rPr>
        <w:t>Krasnoff v. Budhraja</w:t>
      </w:r>
      <w:r>
        <w:rPr>
          <w:rFonts w:ascii="Arial" w:cs="Arial" w:eastAsia="Arial" w:hAnsi="Arial"/>
          <w:sz w:val="16"/>
          <w:szCs w:val="16"/>
          <w:color w:val="auto"/>
        </w:rPr>
        <w:t>, et al., Docket No. 7171.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us, as well as an award of costs and expenses, including attorney’s fees.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 Therefore no adjustment has been made to the financial statements to reflect the outcome of these uncertainties.</w:t>
      </w:r>
    </w:p>
    <w:p>
      <w:pPr>
        <w:spacing w:after="0" w:line="118"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 xml:space="preserve">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6"/>
          <w:szCs w:val="16"/>
          <w:i w:val="1"/>
          <w:iCs w:val="1"/>
          <w:color w:val="auto"/>
        </w:rPr>
        <w:t>(2011) Jin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we were prepared to deliver. We allege that these actions constitute material breaches of our contracts because Sinovel did not give us notice that it intended to delay deliveries 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We also submitted a civil action application to the Beijing No. 1 Intermediate People’s Court under the caption </w:t>
      </w:r>
      <w:r>
        <w:rPr>
          <w:rFonts w:ascii="Arial" w:cs="Arial" w:eastAsia="Arial" w:hAnsi="Arial"/>
          <w:sz w:val="16"/>
          <w:szCs w:val="16"/>
          <w:i w:val="1"/>
          <w:iCs w:val="1"/>
          <w:color w:val="auto"/>
        </w:rPr>
        <w:t>(2011) Yi Zhong Min Chu Zi No. 15524,</w:t>
      </w:r>
      <w:r>
        <w:rPr>
          <w:rFonts w:ascii="Arial" w:cs="Arial" w:eastAsia="Arial" w:hAnsi="Arial"/>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our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has filed an appeal of the Beijing Higher People’s Court’s decision with China’s Supreme People’s Court. On June 18, 2012, Sinovel filed a new motion to remove this case form the Beijing No. 1 Intermediate People’s Court to the court located in Gansu Province.</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has accepted the case, which was necessary in order for the case to proceed. On December 22, 2011 the Beijing Higher People’s Court transferred the case to the Beijing No. 1 Intermediate People’s Court under the caption (2011) Gao Min Chu Zi No. 4193. On June 7, 2012, we received the Acceptance Notice form the Beijing No.1 Intermediate People’s Court under the caption (2012) Yi Zhong Min Chu Zi No.6833. We are currently awaiting notice from the Beijing No. 1 Intermediate People’s Court regarding the first hearing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appealed the court’s ruling to the Hainan Higher Court, which on April 5, 2012 upheld the decision of the Hainan Province No. 1 Intermediate People’s Court. On April 9, 2012, we filed an appeal of the Hainan Higher Court’s decision with China’s Supreme People’s Court. The Supreme Court accepted the appeal on May 23, 2012. The case is captioned, (2012) Min Shen Zi No. 630.</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($9.0 million). Ghodawat has filed a Reply to Answer to Request for Arbitration and Counterclaim in which it denies AMSC Austria’s counterclaims. The arbitration proceedings are currently ongoing. We have recorded a loss contingency based on our assessment of probable losses on this claim; however, this amount is immaterial to our consolidated financial statements.</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factors discussed in Part I, “Item 1A. Risk Factors” in our Annual Report on Form 10-K for the year ended March 31, 2012, which could materially affect our business, financial condition or future results. To the best of our knowledge, as of the date of this report there has been no material change in any risk factors described in our Annual Report on Form 10-K.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spacing w:after="0"/>
        <w:tabs>
          <w:tab w:leader="none" w:pos="6020" w:val="left"/>
          <w:tab w:leader="none" w:pos="7940" w:val="left"/>
          <w:tab w:leader="none" w:pos="830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A. H</w:t>
      </w:r>
      <w:r>
        <w:rPr>
          <w:rFonts w:ascii="Arial" w:cs="Arial" w:eastAsia="Arial" w:hAnsi="Arial"/>
          <w:sz w:val="13"/>
          <w:szCs w:val="13"/>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David A. Henry</w:t>
      </w:r>
    </w:p>
    <w:p>
      <w:pPr>
        <w:jc w:val="center"/>
        <w:ind w:left="640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4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70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2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24"/>
                <w:szCs w:val="24"/>
                <w:color w:val="auto"/>
              </w:rPr>
            </w:pPr>
          </w:p>
        </w:tc>
      </w:tr>
      <w:tr>
        <w:trPr>
          <w:trHeight w:val="316"/>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Senior Convertible Note, dated as of April 4, 2012, between the Registrant and Capital Ventures International</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Series A Warrant, dated as of April 4, 2012, between the Registrant and Capital Ventures International</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10.1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Securities Purchase Agreement, dated April 4, 2012, by and among the Registrant and Capital Ventures International (1)</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10.2</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Registration Rights Agreement, dated April 4, 2012, by and among the Registrant and Capital Ventures International (2)</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10.3</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8"/>
              </w:rPr>
              <w:t>Loan and Security Agreement, dated as of June 5, 2012, between the Registrant and Hercules Technology Growth Capital, Inc. (3)</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10.4</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Warrant Agreement, dated as of June 5, 2012, between the Registrant and Hercules Technology Growth Capital, Inc. (4)</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10.5</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Executive Severance Agreement dated as of January 30, 2012 between the Registrant and James F. Maguire</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10.6</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9"/>
              </w:rPr>
              <w:t>First Amendment to Executive Severance Agreement, effective as of May 9, 2012, between the Registrant and James F. Maguire</w:t>
            </w:r>
          </w:p>
        </w:tc>
      </w:tr>
      <w:tr>
        <w:trPr>
          <w:trHeight w:val="318"/>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31.1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8"/>
              </w:rPr>
              <w:t>Chief Executive Officer—Certification pursuant to Rule 13a-14(a) or Rule 15d-14(a) of the Securities Exchange Act of 1934, as adopted pursuant</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31.2</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89"/>
              </w:rPr>
              <w:t>Chief Financial Officer—Certification pursuant to Rule 13a-14(a) or Rule 15d-14(a) of the Securities Exchange Act of 1934, as adopted pursuant</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32.1</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3"/>
              </w:rPr>
              <w:t>Chief Executive Officer—Certification pursuant to Rule 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32.2</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w w:val="93"/>
              </w:rPr>
              <w:t>Chief Financial Officer—Certification pursuant to Rule 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0700" w:type="dxa"/>
            <w:vAlign w:val="bottom"/>
            <w:gridSpan w:val="3"/>
          </w:tcPr>
          <w:p>
            <w:pPr>
              <w:ind w:left="4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30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April 4, 2012 (Commission file No. 000-19672).</w:t>
      </w:r>
    </w:p>
    <w:p>
      <w:pPr>
        <w:ind w:left="460" w:right="3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filed with the Commission on April 4, 2012 (Commission file No. 000-19672).</w:t>
      </w:r>
    </w:p>
    <w:p>
      <w:pPr>
        <w:ind w:left="460" w:right="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6, 2012 (Commission file No. 000-19672).</w:t>
      </w:r>
    </w:p>
    <w:p>
      <w:pPr>
        <w:ind w:left="460" w:right="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Exhibit 10.2 to the Registrant’s Current Report on Form 8-K filed with the Commission on June 6, 2012 (Commission file No. 000-19672).</w:t>
      </w:r>
    </w:p>
    <w:p>
      <w:pPr>
        <w:spacing w:after="0" w:line="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6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Statements of Income for the three months ended June 30, 2012 and 2011, (ii) Condensed Consolidated Balance Sheets as of June 30, 2012 and March 31, 2012,</w:t>
      </w:r>
    </w:p>
    <w:p>
      <w:pPr>
        <w:ind w:right="360" w:firstLine="8"/>
        <w:spacing w:after="0" w:line="361" w:lineRule="auto"/>
        <w:tabs>
          <w:tab w:leader="none" w:pos="307"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Condensed Consolidated Statements of Comprehensive (Loss) Income for the three months ended June 30, 2012 and 2011, (iv) Condensed Consolidated Statements of Cash Flows for the three months ended June 30, 2012 and 2011, and (v) Notes to Condensed Consolidated Financial Statements.</w:t>
      </w:r>
    </w:p>
    <w:p>
      <w:pPr>
        <w:spacing w:after="0" w:line="6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ind w:left="10600"/>
        <w:spacing w:after="0"/>
        <w:rPr>
          <w:sz w:val="20"/>
          <w:szCs w:val="20"/>
          <w:color w:val="auto"/>
        </w:rPr>
      </w:pPr>
      <w:r>
        <w:rPr>
          <w:rFonts w:ascii="Arial" w:cs="Arial" w:eastAsia="Arial" w:hAnsi="Arial"/>
          <w:sz w:val="16"/>
          <w:szCs w:val="16"/>
          <w:b w:val="1"/>
          <w:bCs w:val="1"/>
          <w:color w:val="auto"/>
        </w:rPr>
        <w:t>Exhibit 4.1</w:t>
      </w:r>
    </w:p>
    <w:p>
      <w:pPr>
        <w:spacing w:after="0" w:line="19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TRANSFERRED IN THE ABSENCE OF AN EFFECTIVE REGISTRATION STATEMENT FOR THE SECURITIES UNDER THE SECURITIES ACT OF 1933, AS AMENDED, OR AN EXEMPTION THEREFROM. PRIOR TO THE REGISTRATION OF ANY TRANSFER IN ACCORDANCE WITH THE FOREGOING, THE COMPANY RESERVES THE RIGHT TO REQUIRE THE DELIVERY OF SUCH LEGAL OPINIONS (UNLESS SUCH SECURITIES ARE ELIGIBLE TO BE SOLD WITHOUT RESTRICTION OR HAVE BEEN SOLD PURSUANT TO RULE 144 OR RULE 144A UNDER SAID ACT), CERTIFICATIONS OR OTHER EVIDENCE AS MAY REASONABLY BE REQUIRED IN ORDER TO DETERMINE THAT THE PROPOSED TRANSFER IS BEING MADE IN COMPLIANCE WITH THE SECURITIES ACT AND APPLICABLE STATE SECURITIES LAWS. “TRANSFER” MEANS ANY SALE, ASSIGNMENT OR OTHER TRANSFER. NOTWITHSTANDING THE FOREGOING, THE SECURITIES MAY BE PLEDGED IN CONNECTION WITH A BONA FIDE MARGIN ACCOUNT OR OTHER LOAN OR FINANCING ARRANGEMENT SECURED BY THE SECURITIES. ANY TRANSFEREE OF THIS NOTE SHOULD CAREFULLY REVIEW THE TERMS OF THIS NOTE, INCLUDING SECTIONS 3(c)(iii) AND 19(a)</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color w:val="auto"/>
        </w:rPr>
        <w:t>HEREOF. THE PRINCIPAL AMOUNT REPRESENTED BY THIS NOTE AND, ACCORDINGLY, THE SECURITIES ISSUABLE UPON CONVERSION HEREOF MAY BE LESS THAN THE AMOUNTS SET FORTH ON THE FACE HEREOF PURSUANT TO SECTION 3(c)(iii) OF THIS NOTE.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ONVERTIBLE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w:t>
      </w:r>
    </w:p>
    <w:p>
      <w:pPr>
        <w:spacing w:after="0" w:line="218"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Issuance Date: April 4, 2012</w:t>
      </w:r>
      <w:r>
        <w:rPr>
          <w:sz w:val="20"/>
          <w:szCs w:val="20"/>
          <w:color w:val="auto"/>
        </w:rPr>
        <w:tab/>
      </w:r>
      <w:r>
        <w:rPr>
          <w:rFonts w:ascii="Arial" w:cs="Arial" w:eastAsia="Arial" w:hAnsi="Arial"/>
          <w:sz w:val="16"/>
          <w:szCs w:val="16"/>
          <w:color w:val="auto"/>
        </w:rPr>
        <w:t>Original Principal Amount: U.S. $25,000,000</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American Superconductor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 to the order of</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Ventures International or its registered assigns (“</w:t>
      </w:r>
      <w:r>
        <w:rPr>
          <w:rFonts w:ascii="Arial" w:cs="Arial" w:eastAsia="Arial" w:hAnsi="Arial"/>
          <w:sz w:val="16"/>
          <w:szCs w:val="16"/>
          <w:b w:val="1"/>
          <w:bCs w:val="1"/>
          <w:color w:val="auto"/>
        </w:rPr>
        <w:t>Holder</w:t>
      </w:r>
      <w:r>
        <w:rPr>
          <w:rFonts w:ascii="Arial" w:cs="Arial" w:eastAsia="Arial" w:hAnsi="Arial"/>
          <w:sz w:val="16"/>
          <w:szCs w:val="16"/>
          <w:color w:val="auto"/>
        </w:rPr>
        <w:t>”) the amount set forth above as the Original Principal Amount (as reduced pursuant to the terms hereof pursuant to redemption, conversion or otherwise, the “</w:t>
      </w:r>
      <w:r>
        <w:rPr>
          <w:rFonts w:ascii="Arial" w:cs="Arial" w:eastAsia="Arial" w:hAnsi="Arial"/>
          <w:sz w:val="16"/>
          <w:szCs w:val="16"/>
          <w:b w:val="1"/>
          <w:bCs w:val="1"/>
          <w:color w:val="auto"/>
        </w:rPr>
        <w:t>Principal</w:t>
      </w:r>
      <w:r>
        <w:rPr>
          <w:rFonts w:ascii="Arial" w:cs="Arial" w:eastAsia="Arial" w:hAnsi="Arial"/>
          <w:sz w:val="16"/>
          <w:szCs w:val="16"/>
          <w:color w:val="auto"/>
        </w:rPr>
        <w:t>”) when due, whether on the Maturity Date or any Installment Date with respect to the corresponding Installment Amount due (each as defined below), or upon acceleration, redemption or otherwise (in each case in accordance with the terms hereof) and to pay interest (“</w:t>
      </w:r>
      <w:r>
        <w:rPr>
          <w:rFonts w:ascii="Arial" w:cs="Arial" w:eastAsia="Arial" w:hAnsi="Arial"/>
          <w:sz w:val="16"/>
          <w:szCs w:val="16"/>
          <w:b w:val="1"/>
          <w:bCs w:val="1"/>
          <w:color w:val="auto"/>
        </w:rPr>
        <w:t>Interest</w:t>
      </w:r>
      <w:r>
        <w:rPr>
          <w:rFonts w:ascii="Arial" w:cs="Arial" w:eastAsia="Arial" w:hAnsi="Arial"/>
          <w:sz w:val="16"/>
          <w:szCs w:val="16"/>
          <w:color w:val="auto"/>
        </w:rPr>
        <w:t>”) on any outstanding Principal at the applicable Interest Rate (as defined below) from the date set forth above as the Issuance Date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same becomes due and payable, whether upon the Maturity Date, on any Installment Date with respect to the Installment Amount due on such Installment Date, acceleration, conversion, redemption or otherwise (in each case in accordance with the terms hereof). This Senior Convertible Note (including all Senior Convertible Notes issued in exchange, transfer or replacement hereof, this “</w:t>
      </w:r>
      <w:r>
        <w:rPr>
          <w:rFonts w:ascii="Arial" w:cs="Arial" w:eastAsia="Arial" w:hAnsi="Arial"/>
          <w:sz w:val="16"/>
          <w:szCs w:val="16"/>
          <w:b w:val="1"/>
          <w:bCs w:val="1"/>
          <w:color w:val="auto"/>
        </w:rPr>
        <w:t>Note</w:t>
      </w:r>
      <w:r>
        <w:rPr>
          <w:rFonts w:ascii="Arial" w:cs="Arial" w:eastAsia="Arial" w:hAnsi="Arial"/>
          <w:sz w:val="16"/>
          <w:szCs w:val="16"/>
          <w:color w:val="auto"/>
        </w:rPr>
        <w:t>”) is one of a series of Senior Convertible Notes issued pursuant to the Securities Purchase Agreement (as defined below) either on the Initial Closing Date (as defined below) or, if applicable, on the Additional Closing Date (as defined below) (collectively, the “</w:t>
      </w:r>
      <w:r>
        <w:rPr>
          <w:rFonts w:ascii="Arial" w:cs="Arial" w:eastAsia="Arial" w:hAnsi="Arial"/>
          <w:sz w:val="16"/>
          <w:szCs w:val="16"/>
          <w:b w:val="1"/>
          <w:bCs w:val="1"/>
          <w:color w:val="auto"/>
        </w:rPr>
        <w:t>Notes</w:t>
      </w:r>
      <w:r>
        <w:rPr>
          <w:rFonts w:ascii="Arial" w:cs="Arial" w:eastAsia="Arial" w:hAnsi="Arial"/>
          <w:sz w:val="16"/>
          <w:szCs w:val="16"/>
          <w:color w:val="auto"/>
        </w:rPr>
        <w:t>” and such other Senior Convertible Notes, the “</w:t>
      </w:r>
      <w:r>
        <w:rPr>
          <w:rFonts w:ascii="Arial" w:cs="Arial" w:eastAsia="Arial" w:hAnsi="Arial"/>
          <w:sz w:val="16"/>
          <w:szCs w:val="16"/>
          <w:b w:val="1"/>
          <w:bCs w:val="1"/>
          <w:color w:val="auto"/>
        </w:rPr>
        <w:t>Other Notes</w:t>
      </w:r>
      <w:r>
        <w:rPr>
          <w:rFonts w:ascii="Arial" w:cs="Arial" w:eastAsia="Arial" w:hAnsi="Arial"/>
          <w:sz w:val="16"/>
          <w:szCs w:val="16"/>
          <w:color w:val="auto"/>
        </w:rPr>
        <w:t>”). Certain capitalized terms used herein are defined in Section 31.</w:t>
      </w:r>
    </w:p>
    <w:p>
      <w:pPr>
        <w:sectPr>
          <w:pgSz w:w="11900" w:h="16838" w:orient="portrait"/>
          <w:cols w:equalWidth="0" w:num="1">
            <w:col w:w="11420"/>
          </w:cols>
          <w:pgMar w:left="240" w:top="125" w:right="239" w:bottom="1440" w:gutter="0" w:footer="0" w:header="0"/>
        </w:sectPr>
      </w:pPr>
    </w:p>
    <w:bookmarkStart w:id="41" w:name="page42"/>
    <w:bookmarkEnd w:id="41"/>
    <w:p>
      <w:pPr>
        <w:ind w:left="-40" w:right="180" w:firstLine="464"/>
        <w:spacing w:after="0" w:line="298" w:lineRule="auto"/>
        <w:tabs>
          <w:tab w:leader="none" w:pos="59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w:t>
      </w:r>
      <w:r>
        <w:rPr>
          <w:rFonts w:ascii="Arial" w:cs="Arial" w:eastAsia="Arial" w:hAnsi="Arial"/>
          <w:sz w:val="16"/>
          <w:szCs w:val="16"/>
          <w:color w:val="auto"/>
        </w:rPr>
        <w:t>. On each Installment Date (which includes the Maturity Date), the Company shall pay to the Holder an amount equal to the Installment Amount due on such Installment Date in accordance with Section 8. On the Maturity Date, the Company shall pay to the Holder an amount in cash, shares of Common Stock or a combination thereof in accordance with Section 8 representing all outstanding Principal and accrued and unpaid Interest. Other than as specifically permitted by this Note, the Company may not prepay any portion of the outstanding Principal, accrued and unpaid Interest.</w:t>
      </w:r>
    </w:p>
    <w:p>
      <w:pPr>
        <w:spacing w:after="0" w:line="112" w:lineRule="exact"/>
        <w:rPr>
          <w:rFonts w:ascii="Arial" w:cs="Arial" w:eastAsia="Arial" w:hAnsi="Arial"/>
          <w:sz w:val="16"/>
          <w:szCs w:val="16"/>
          <w:color w:val="auto"/>
        </w:rPr>
      </w:pPr>
    </w:p>
    <w:p>
      <w:pPr>
        <w:ind w:left="600" w:hanging="17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20" w:firstLine="443"/>
        <w:spacing w:after="0" w:line="259" w:lineRule="auto"/>
        <w:tabs>
          <w:tab w:leader="none" w:pos="109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Interest on this Note shall commence accruing on the Issuance Date and shall (i) be computed on the basis of a 360-day year and twelve 30-day months, (ii) shall compound each month and (iii) shall be payable on each Installment Date in accordance with Section 8 below or otherwise in accordance with the terms of this Note.</w:t>
      </w:r>
    </w:p>
    <w:p>
      <w:pPr>
        <w:spacing w:after="0" w:line="59" w:lineRule="exact"/>
        <w:rPr>
          <w:rFonts w:ascii="Arial" w:cs="Arial" w:eastAsia="Arial" w:hAnsi="Arial"/>
          <w:sz w:val="18"/>
          <w:szCs w:val="18"/>
          <w:color w:val="auto"/>
        </w:rPr>
      </w:pPr>
    </w:p>
    <w:p>
      <w:pPr>
        <w:ind w:left="420" w:right="60" w:firstLine="443"/>
        <w:spacing w:after="0" w:line="290" w:lineRule="auto"/>
        <w:tabs>
          <w:tab w:leader="none" w:pos="1107"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Prior to the payment of Interest on an Installment Date, Interest on this Note shall accrue at the Interest Rate and be payable by way of inclusion of the Interest in the Conversion Amount on each Conversion Date in accordance with Section 3(b)(i), on each Installment Date in accordance with Section 8 below or upon any redemption in accordance with Section 11. From and after the occurrence and during the continuance of an Event of Default (as defined below), the Interest Rate shall be increased to fifteen percent (15.0%). In the event that such Event of Default is subsequently cured, the automatic increase to the Interest Rate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18" w:lineRule="exact"/>
        <w:rPr>
          <w:rFonts w:ascii="Arial" w:cs="Arial" w:eastAsia="Arial" w:hAnsi="Arial"/>
          <w:sz w:val="16"/>
          <w:szCs w:val="16"/>
          <w:color w:val="auto"/>
        </w:rPr>
      </w:pPr>
    </w:p>
    <w:p>
      <w:pPr>
        <w:ind w:left="-40" w:right="420" w:firstLine="464"/>
        <w:spacing w:after="0" w:line="268"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CONVERSION OF NOTES</w:t>
      </w:r>
      <w:r>
        <w:rPr>
          <w:rFonts w:ascii="Arial" w:cs="Arial" w:eastAsia="Arial" w:hAnsi="Arial"/>
          <w:sz w:val="18"/>
          <w:szCs w:val="18"/>
          <w:color w:val="auto"/>
        </w:rPr>
        <w:t>. This Note shall be convertible into validly issued, fully paid and non-assessable shares of Common Stock (as defined below), on the terms and conditions set forth in this Section 3.</w:t>
      </w:r>
    </w:p>
    <w:p>
      <w:pPr>
        <w:spacing w:after="0" w:line="50" w:lineRule="exact"/>
        <w:rPr>
          <w:rFonts w:ascii="Arial" w:cs="Arial" w:eastAsia="Arial" w:hAnsi="Arial"/>
          <w:sz w:val="18"/>
          <w:szCs w:val="18"/>
          <w:color w:val="auto"/>
        </w:rPr>
      </w:pPr>
    </w:p>
    <w:p>
      <w:pPr>
        <w:ind w:left="420" w:firstLine="443"/>
        <w:spacing w:after="0" w:line="290" w:lineRule="auto"/>
        <w:tabs>
          <w:tab w:leader="none" w:pos="1097"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Conversion Right</w:t>
      </w:r>
      <w:r>
        <w:rPr>
          <w:rFonts w:ascii="Arial" w:cs="Arial" w:eastAsia="Arial" w:hAnsi="Arial"/>
          <w:sz w:val="16"/>
          <w:szCs w:val="16"/>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fractional shares of Common Stock upon conversion of any portion of the outstanding and unpaid Conversion Amount. If any fractional share of Common Stock would be issuable upon the conversion of any portion of the outstanding Conversion Amount, the Company shall round such fractional share of Common Stock to the nearest whole share. The Company shall pay any and all transfer, stamp, issuance and similar taxes that may be payable with respect to the issuance of stock certificates, if any, in respect of shares of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42" w:name="page43"/>
    <w:bookmarkEnd w:id="42"/>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deliverable upon conversion of any Conversion Amount. The Company shall not, however, be required to pay any such tax which may be payable in respect of any transfer involved in the issuance and delivery of Common Stock in any name other than that of the Holder of this Note.</w:t>
      </w:r>
    </w:p>
    <w:p>
      <w:pPr>
        <w:spacing w:after="0" w:line="4" w:lineRule="exact"/>
        <w:rPr>
          <w:sz w:val="20"/>
          <w:szCs w:val="20"/>
          <w:color w:val="auto"/>
        </w:rPr>
      </w:pPr>
    </w:p>
    <w:p>
      <w:pPr>
        <w:ind w:firstLine="443"/>
        <w:spacing w:after="0" w:line="268"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Conversion Rate</w:t>
      </w:r>
      <w:r>
        <w:rPr>
          <w:rFonts w:ascii="Arial" w:cs="Arial" w:eastAsia="Arial" w:hAnsi="Arial"/>
          <w:sz w:val="18"/>
          <w:szCs w:val="18"/>
          <w:color w:val="auto"/>
        </w:rPr>
        <w:t>. The number of shares of Common Stock issuable upon conversion of any Conversion Amount pursuant to Section 3(a) shall be determined by dividing (x) such Conversion Amount by (y) the Conversion Price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460" w:right="20" w:firstLine="421"/>
        <w:spacing w:after="0" w:line="275" w:lineRule="auto"/>
        <w:tabs>
          <w:tab w:leader="none" w:pos="10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portion of the Principal to be converted, redeemed or otherwise with respect to which this determination is being made, plus all accrued and unpaid Interest with respect to such portion of the Principal.</w:t>
      </w:r>
    </w:p>
    <w:p>
      <w:pPr>
        <w:spacing w:after="0" w:line="38" w:lineRule="exact"/>
        <w:rPr>
          <w:rFonts w:ascii="Arial" w:cs="Arial" w:eastAsia="Arial" w:hAnsi="Arial"/>
          <w:sz w:val="18"/>
          <w:szCs w:val="18"/>
          <w:color w:val="auto"/>
        </w:rPr>
      </w:pPr>
    </w:p>
    <w:p>
      <w:pPr>
        <w:ind w:left="460" w:right="120" w:firstLine="421"/>
        <w:spacing w:after="0" w:line="275" w:lineRule="auto"/>
        <w:tabs>
          <w:tab w:leader="none" w:pos="11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Conversion Date (as defined below) or other date of determination, $4.85, subject to adjustment as provided herein.</w:t>
      </w:r>
    </w:p>
    <w:p>
      <w:pPr>
        <w:spacing w:after="0" w:line="44" w:lineRule="exact"/>
        <w:rPr>
          <w:rFonts w:ascii="Arial" w:cs="Arial" w:eastAsia="Arial" w:hAnsi="Arial"/>
          <w:sz w:val="18"/>
          <w:szCs w:val="18"/>
          <w:color w:val="auto"/>
        </w:rPr>
      </w:pPr>
    </w:p>
    <w:p>
      <w:pPr>
        <w:ind w:left="680" w:hanging="237"/>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right="80" w:firstLine="421"/>
        <w:spacing w:after="0" w:line="286" w:lineRule="auto"/>
        <w:tabs>
          <w:tab w:leader="none" w:pos="1089"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To convert any Conversion Amount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deliver (whether via facsimile or otherwise), for receipt on or prior to 5:00 p.m., New York City time, on such date, a copy of an executed notice of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Company. On or before the first (1</w:t>
      </w:r>
      <w:r>
        <w:rPr>
          <w:rFonts w:ascii="Arial" w:cs="Arial" w:eastAsia="Arial" w:hAnsi="Arial"/>
          <w:sz w:val="10"/>
          <w:szCs w:val="10"/>
          <w:color w:val="auto"/>
        </w:rPr>
        <w:t>st</w:t>
      </w:r>
      <w:r>
        <w:rPr>
          <w:rFonts w:ascii="Arial" w:cs="Arial" w:eastAsia="Arial" w:hAnsi="Arial"/>
          <w:sz w:val="16"/>
          <w:szCs w:val="16"/>
          <w:color w:val="auto"/>
        </w:rPr>
        <w:t xml:space="preserve">) Trading Day following the date of receipt of a Conversion Notice, the Company shall transmit by facsimile an acknowledgment of confirmation, in the form attached hereto as </w:t>
      </w:r>
      <w:r>
        <w:rPr>
          <w:rFonts w:ascii="Arial" w:cs="Arial" w:eastAsia="Arial" w:hAnsi="Arial"/>
          <w:sz w:val="16"/>
          <w:szCs w:val="16"/>
          <w:u w:val="single" w:color="auto"/>
          <w:color w:val="auto"/>
        </w:rPr>
        <w:t>Exhibit II</w:t>
      </w:r>
      <w:r>
        <w:rPr>
          <w:rFonts w:ascii="Arial" w:cs="Arial" w:eastAsia="Arial" w:hAnsi="Arial"/>
          <w:sz w:val="16"/>
          <w:szCs w:val="16"/>
          <w:color w:val="auto"/>
        </w:rPr>
        <w:t>, of receipt of such Conversion Notice to the Holder and the Transfer Agent. On or before the third (3</w:t>
      </w:r>
      <w:r>
        <w:rPr>
          <w:rFonts w:ascii="Arial" w:cs="Arial" w:eastAsia="Arial" w:hAnsi="Arial"/>
          <w:sz w:val="10"/>
          <w:szCs w:val="10"/>
          <w:color w:val="auto"/>
        </w:rPr>
        <w:t>rd</w:t>
      </w:r>
      <w:r>
        <w:rPr>
          <w:rFonts w:ascii="Arial" w:cs="Arial" w:eastAsia="Arial" w:hAnsi="Arial"/>
          <w:sz w:val="16"/>
          <w:szCs w:val="16"/>
          <w:color w:val="auto"/>
        </w:rPr>
        <w:t>) Trading Day following the date of receipt of a Conversion Notice, the Company shall (1) provided that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Company’s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credit such aggregate number of shares of Common Stock to which the Holder shall be entitled to the Holder’s or its designee’s balance account with DTC through its Deposit/Withdrawal at Custodian system or (2) otherwise issue and deliver (via reputable overnight courier) to the address as specified in the Conversion Notice, a certificate, registered in the name of the Holder or its designee, for the number of shares of Common Stock to which the Holder shall be entitled. If required by Section 3(c)(ii), within three (3) Trading Days following a conversion of this Note as aforesaid, the Holder shall surrender this Note (or an indemnification undertaking with respect to this Note in the case of its loss, theft or destruction as contemplated by Section 19(b)) to the Company.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(or its designee) a new Note (in</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43" w:name="page44"/>
    <w:bookmarkEnd w:id="43"/>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Section 19(d)) representing the outstanding Principal not converted. Subject to Section 3(d)(i), the Person or Persons entitled to receive the shares of Common Stock issuable upon a conversion of this Note shall be treated for all purposes as the record holder or holders of such shares of Common Stock on the Conversion Date. In the event of a partial conversion of this Note pursuant hereto, the Principal amount converted shall be deducted from the Installment Amount(s) relating to the Installment Date(s) as set forth in the applicable Conversion Notice.</w:t>
      </w:r>
    </w:p>
    <w:p>
      <w:pPr>
        <w:spacing w:after="0" w:line="32" w:lineRule="exact"/>
        <w:rPr>
          <w:sz w:val="20"/>
          <w:szCs w:val="20"/>
          <w:color w:val="auto"/>
        </w:rPr>
      </w:pPr>
    </w:p>
    <w:p>
      <w:pPr>
        <w:ind w:left="680" w:hanging="259"/>
        <w:spacing w:after="0"/>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Convert</w:t>
      </w:r>
      <w:r>
        <w:rPr>
          <w:rFonts w:ascii="Arial" w:cs="Arial" w:eastAsia="Arial" w:hAnsi="Arial"/>
          <w:sz w:val="16"/>
          <w:szCs w:val="16"/>
          <w:color w:val="auto"/>
        </w:rPr>
        <w:t>. If the Company shall fail, for any reason or for no reason, to issue to the Holder within three</w:t>
      </w:r>
    </w:p>
    <w:p>
      <w:pPr>
        <w:spacing w:after="0" w:line="38" w:lineRule="exact"/>
        <w:rPr>
          <w:rFonts w:ascii="Arial" w:cs="Arial" w:eastAsia="Arial" w:hAnsi="Arial"/>
          <w:sz w:val="16"/>
          <w:szCs w:val="16"/>
          <w:color w:val="auto"/>
        </w:rPr>
      </w:pPr>
    </w:p>
    <w:p>
      <w:pPr>
        <w:ind w:firstLine="1"/>
        <w:spacing w:after="0" w:line="300" w:lineRule="auto"/>
        <w:tabs>
          <w:tab w:leader="none" w:pos="24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Trading Days after the Company’s receipt of a Conversion Notice (whether via facsimile or otherwise) (the “</w:t>
      </w:r>
      <w:r>
        <w:rPr>
          <w:rFonts w:ascii="Arial" w:cs="Arial" w:eastAsia="Arial" w:hAnsi="Arial"/>
          <w:sz w:val="15"/>
          <w:szCs w:val="15"/>
          <w:b w:val="1"/>
          <w:bCs w:val="1"/>
          <w:color w:val="auto"/>
        </w:rPr>
        <w:t>Share Delivery Deadline</w:t>
      </w:r>
      <w:r>
        <w:rPr>
          <w:rFonts w:ascii="Arial" w:cs="Arial" w:eastAsia="Arial" w:hAnsi="Arial"/>
          <w:sz w:val="15"/>
          <w:szCs w:val="15"/>
          <w:color w:val="auto"/>
        </w:rPr>
        <w:t>”), a certificate for the number of shares of Common Stock to which the Holder is entitled and register such shares of Common Stock on the Company’s share register or to credit the Holder’s or its designee’s balance account with DTC for such number of shares of Common Stock to which the Holder is entitled upon the Holder’s conversion of any Conversion Amount (as the case may be) (a “</w:t>
      </w:r>
      <w:r>
        <w:rPr>
          <w:rFonts w:ascii="Arial" w:cs="Arial" w:eastAsia="Arial" w:hAnsi="Arial"/>
          <w:sz w:val="15"/>
          <w:szCs w:val="15"/>
          <w:b w:val="1"/>
          <w:bCs w:val="1"/>
          <w:color w:val="auto"/>
        </w:rPr>
        <w:t>Conversion Failure</w:t>
      </w:r>
      <w:r>
        <w:rPr>
          <w:rFonts w:ascii="Arial" w:cs="Arial" w:eastAsia="Arial" w:hAnsi="Arial"/>
          <w:sz w:val="15"/>
          <w:szCs w:val="15"/>
          <w:color w:val="auto"/>
        </w:rPr>
        <w:t>”) and if on or after such Share Delivery Deadline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conversion that the Holder so anticipated receiving from the Company, then, in addition to all other remedies available to the Holder, the Company shall, within three</w:t>
      </w:r>
    </w:p>
    <w:p>
      <w:pPr>
        <w:spacing w:after="0" w:line="3" w:lineRule="exact"/>
        <w:rPr>
          <w:rFonts w:ascii="Arial" w:cs="Arial" w:eastAsia="Arial" w:hAnsi="Arial"/>
          <w:sz w:val="15"/>
          <w:szCs w:val="15"/>
          <w:color w:val="auto"/>
        </w:rPr>
      </w:pPr>
    </w:p>
    <w:p>
      <w:pPr>
        <w:ind w:right="20" w:firstLine="1"/>
        <w:spacing w:after="0" w:line="307" w:lineRule="auto"/>
        <w:tabs>
          <w:tab w:leader="none" w:pos="249" w:val="left"/>
        </w:tabs>
        <w:numPr>
          <w:ilvl w:val="0"/>
          <w:numId w:val="28"/>
        </w:numPr>
        <w:rPr>
          <w:rFonts w:ascii="Arial" w:cs="Arial" w:eastAsia="Arial" w:hAnsi="Arial"/>
          <w:sz w:val="15"/>
          <w:szCs w:val="15"/>
          <w:color w:val="auto"/>
        </w:rPr>
      </w:pPr>
      <w:r>
        <w:rPr>
          <w:rFonts w:ascii="Arial" w:cs="Arial" w:eastAsia="Arial" w:hAnsi="Arial"/>
          <w:sz w:val="15"/>
          <w:szCs w:val="15"/>
          <w:color w:val="auto"/>
        </w:rPr>
        <w:t>Business Days after receipt of the Holder’s written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5"/>
          <w:szCs w:val="15"/>
          <w:b w:val="1"/>
          <w:bCs w:val="1"/>
          <w:color w:val="auto"/>
        </w:rPr>
        <w:t>Buy-In Price</w:t>
      </w:r>
      <w:r>
        <w:rPr>
          <w:rFonts w:ascii="Arial" w:cs="Arial" w:eastAsia="Arial" w:hAnsi="Arial"/>
          <w:sz w:val="15"/>
          <w:szCs w:val="15"/>
          <w:color w:val="auto"/>
        </w:rPr>
        <w:t>”), at which point the Company’s obligation to so issue and deliver such certificate or credit the Holder’s balance account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conversion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Conversion Notice and ending on the date of such issuance and payment under this clause (ii).</w:t>
      </w:r>
    </w:p>
    <w:p>
      <w:pPr>
        <w:spacing w:after="0" w:line="23" w:lineRule="exact"/>
        <w:rPr>
          <w:rFonts w:ascii="Arial" w:cs="Arial" w:eastAsia="Arial" w:hAnsi="Arial"/>
          <w:sz w:val="15"/>
          <w:szCs w:val="15"/>
          <w:color w:val="auto"/>
        </w:rPr>
      </w:pPr>
    </w:p>
    <w:p>
      <w:pPr>
        <w:ind w:right="200" w:firstLine="421"/>
        <w:spacing w:after="0" w:line="262" w:lineRule="auto"/>
        <w:tabs>
          <w:tab w:leader="none" w:pos="72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Registration; Book-Entry</w:t>
      </w:r>
      <w:r>
        <w:rPr>
          <w:rFonts w:ascii="Arial" w:cs="Arial" w:eastAsia="Arial" w:hAnsi="Arial"/>
          <w:sz w:val="18"/>
          <w:szCs w:val="18"/>
          <w:color w:val="auto"/>
        </w:rPr>
        <w:t>. The Company shall maintain a register (the “</w:t>
      </w:r>
      <w:r>
        <w:rPr>
          <w:rFonts w:ascii="Arial" w:cs="Arial" w:eastAsia="Arial" w:hAnsi="Arial"/>
          <w:sz w:val="18"/>
          <w:szCs w:val="18"/>
          <w:b w:val="1"/>
          <w:bCs w:val="1"/>
          <w:color w:val="auto"/>
        </w:rPr>
        <w:t>Register</w:t>
      </w:r>
      <w:r>
        <w:rPr>
          <w:rFonts w:ascii="Arial" w:cs="Arial" w:eastAsia="Arial" w:hAnsi="Arial"/>
          <w:sz w:val="18"/>
          <w:szCs w:val="18"/>
          <w:color w:val="auto"/>
        </w:rPr>
        <w:t>”) for the recordation of the names and addresses of the holders of each Note and the principal amount of the Notes held by such holders (the “</w:t>
      </w:r>
      <w:r>
        <w:rPr>
          <w:rFonts w:ascii="Arial" w:cs="Arial" w:eastAsia="Arial" w:hAnsi="Arial"/>
          <w:sz w:val="18"/>
          <w:szCs w:val="18"/>
          <w:b w:val="1"/>
          <w:bCs w:val="1"/>
          <w:color w:val="auto"/>
        </w:rPr>
        <w:t>Registered Notes</w:t>
      </w:r>
      <w:r>
        <w:rPr>
          <w:rFonts w:ascii="Arial" w:cs="Arial" w:eastAsia="Arial" w:hAnsi="Arial"/>
          <w:sz w:val="18"/>
          <w:szCs w:val="18"/>
          <w:color w:val="auto"/>
        </w:rPr>
        <w:t>”). The entries in the Register shall be conclusive and binding for all purposes</w:t>
      </w:r>
    </w:p>
    <w:p>
      <w:pPr>
        <w:spacing w:after="0" w:line="1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44" w:name="page45"/>
    <w:bookmarkEnd w:id="44"/>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absent manifest error. The Company and the Holder of this Note shall treat the Person recorded in the Register as the owner of this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together with any required documentation under the Transaction Documents (as defined in the Securities Purchase Agreement) including any legal opinions,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its receipt of (I) such a request and (II) the required documentation under the Transaction Documents including any legal opinions with respect to such transfer, then the Register shall be automatically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and/or paid (as the case may be) and the dates of such conversions and/or payments (as the case may be) or shall use such other method, reasonably satisfactory to the Holder and the Company, so as not to require physical surrender of this Note upon conversion.</w:t>
      </w:r>
    </w:p>
    <w:p>
      <w:pPr>
        <w:spacing w:after="0" w:line="40" w:lineRule="exact"/>
        <w:rPr>
          <w:sz w:val="20"/>
          <w:szCs w:val="20"/>
          <w:color w:val="auto"/>
        </w:rPr>
      </w:pPr>
    </w:p>
    <w:p>
      <w:pPr>
        <w:ind w:firstLine="421"/>
        <w:spacing w:after="0" w:line="290" w:lineRule="auto"/>
        <w:tabs>
          <w:tab w:leader="none" w:pos="71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Pro Rata Conversion; Disputes</w:t>
      </w:r>
      <w:r>
        <w:rPr>
          <w:rFonts w:ascii="Arial" w:cs="Arial" w:eastAsia="Arial" w:hAnsi="Arial"/>
          <w:sz w:val="16"/>
          <w:szCs w:val="16"/>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24.</w:t>
      </w:r>
    </w:p>
    <w:p>
      <w:pPr>
        <w:spacing w:after="0" w:line="10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80" w:right="239" w:bottom="1440" w:gutter="0" w:footer="0" w:header="0"/>
        </w:sectPr>
      </w:pPr>
    </w:p>
    <w:bookmarkStart w:id="45" w:name="page46"/>
    <w:bookmarkEnd w:id="45"/>
    <w:p>
      <w:pPr>
        <w:ind w:left="257" w:hanging="257"/>
        <w:spacing w:after="0"/>
        <w:tabs>
          <w:tab w:leader="none" w:pos="25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on Conversions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 w:firstLine="421"/>
        <w:spacing w:after="0" w:line="284" w:lineRule="auto"/>
        <w:tabs>
          <w:tab w:leader="none" w:pos="647"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in this Note, this Note shall not be convertible by the Holder hereof, and the Company shall not effect any conversion of this Note or otherwise issue any shares of Common Stock pursuant hereto, to the extent (but only to the extent) that after giving effect to such conversion or other share issuance hereunder the Holder or any of its affiliates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Note shall be convertible (vis-à-vis other convertible, exercisable or exchangeable securities owned by the Holder or any of its affiliates) and of which such securities shall be convertible, exercisable or exchangeable (as among all such securities owned by the Holder and its affiliates) shall, subject to such Maximum Percentage limitation, be determined on the basis of the first submission to the Company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Note.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Securities Purchase Agreement. By written notice to the Company, any Holder may increase or decrease the Maximum Percentage to any other percentage not in excess of 9.99% specified in such notice; provided that (i) any such increase will not be effective until the 61st day after such notice is delivered to the Company, and (ii) any such increase or decrease will apply only to the Holder sending such notice and not to any other holder of Notes.</w:t>
      </w:r>
    </w:p>
    <w:p>
      <w:pPr>
        <w:spacing w:after="0" w:line="43" w:lineRule="exact"/>
        <w:rPr>
          <w:rFonts w:ascii="Arial" w:cs="Arial" w:eastAsia="Arial" w:hAnsi="Arial"/>
          <w:sz w:val="16"/>
          <w:szCs w:val="16"/>
          <w:color w:val="auto"/>
        </w:rPr>
      </w:pPr>
    </w:p>
    <w:p>
      <w:pPr>
        <w:ind w:left="17" w:right="120" w:firstLine="421"/>
        <w:spacing w:after="0" w:line="259" w:lineRule="auto"/>
        <w:tabs>
          <w:tab w:leader="none" w:pos="69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Principal Market Regulation</w:t>
      </w:r>
      <w:r>
        <w:rPr>
          <w:rFonts w:ascii="Arial" w:cs="Arial" w:eastAsia="Arial" w:hAnsi="Arial"/>
          <w:sz w:val="18"/>
          <w:szCs w:val="18"/>
          <w:color w:val="auto"/>
        </w:rPr>
        <w:t>. The Company shall not issue any shares of Common Stock upon conversion of this Note or otherwise pursuant to the terms of this Note if the issuance of such shares of Common Stock would exceed the aggregate number of shares of Common Stock which the Company may issue upon</w:t>
      </w:r>
    </w:p>
    <w:p>
      <w:pPr>
        <w:spacing w:after="0" w:line="127"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97"/>
          </w:cols>
          <w:pgMar w:left="1143" w:top="280" w:right="259" w:bottom="1440" w:gutter="0" w:footer="0" w:header="0"/>
        </w:sectPr>
      </w:pPr>
    </w:p>
    <w:bookmarkStart w:id="46" w:name="page47"/>
    <w:bookmarkEnd w:id="46"/>
    <w:p>
      <w:pPr>
        <w:ind w:left="4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of the Notes or otherwise pursuant to the terms of the Notes without breaching the Company’s obligations under the rules or regulations of the Principal Market (the number of shares which may be issued without violating such rules and regulations, the “</w:t>
      </w:r>
      <w:r>
        <w:rPr>
          <w:rFonts w:ascii="Arial" w:cs="Arial" w:eastAsia="Arial" w:hAnsi="Arial"/>
          <w:sz w:val="16"/>
          <w:szCs w:val="16"/>
          <w:b w:val="1"/>
          <w:bCs w:val="1"/>
          <w:color w:val="auto"/>
        </w:rPr>
        <w:t>Exchange Cap</w:t>
      </w:r>
      <w:r>
        <w:rPr>
          <w:rFonts w:ascii="Arial" w:cs="Arial" w:eastAsia="Arial" w:hAnsi="Arial"/>
          <w:sz w:val="16"/>
          <w:szCs w:val="16"/>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outside counsel to the Company that such approval is not required, which opinion shall be reasonably satisfactory to the Holder. Until such approval or such written opinion is obtained, no Buyer (as defined in the Securities Purchase Agreement) shall be issued in the aggregate, upon conversion of any Notes or any other issuance pursuant to the terms of the Notes, shares of Common Stock in an amount greater than the product of (i) the Exchange Cap as of the Issuance Date multiplied by (ii) the quotient of (1) the aggregate maximum original principal amount of Notes issued or issuable to such Buyer pursuant to the Securities Purchase Agreement at any Closing (as defined in the Securities Purchase Agreement) divided by (2) the maximum aggregate original principal amount of all Notes issued or issuable to the Buyers pursuant to the Securities Purchase Agreement at any Closing (with respect to each Buyer, the “</w:t>
      </w:r>
      <w:r>
        <w:rPr>
          <w:rFonts w:ascii="Arial" w:cs="Arial" w:eastAsia="Arial" w:hAnsi="Arial"/>
          <w:sz w:val="16"/>
          <w:szCs w:val="16"/>
          <w:b w:val="1"/>
          <w:bCs w:val="1"/>
          <w:color w:val="auto"/>
        </w:rPr>
        <w:t>Exchange Cap Allocation</w:t>
      </w:r>
      <w:r>
        <w:rPr>
          <w:rFonts w:ascii="Arial" w:cs="Arial" w:eastAsia="Arial" w:hAnsi="Arial"/>
          <w:sz w:val="16"/>
          <w:szCs w:val="16"/>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In the event that the Company is prohibited from issuing shares of Common Stock pursuant to this Section 3(d)(ii) (the “</w:t>
      </w:r>
      <w:r>
        <w:rPr>
          <w:rFonts w:ascii="Arial" w:cs="Arial" w:eastAsia="Arial" w:hAnsi="Arial"/>
          <w:sz w:val="16"/>
          <w:szCs w:val="16"/>
          <w:b w:val="1"/>
          <w:bCs w:val="1"/>
          <w:color w:val="auto"/>
        </w:rPr>
        <w:t>Exchange Cap Shares</w:t>
      </w:r>
      <w:r>
        <w:rPr>
          <w:rFonts w:ascii="Arial" w:cs="Arial" w:eastAsia="Arial" w:hAnsi="Arial"/>
          <w:sz w:val="16"/>
          <w:szCs w:val="16"/>
          <w:color w:val="auto"/>
        </w:rPr>
        <w:t>”), the Company shall pay cash in exchange for the cancellation of such shares of Common Stock at a price equal to the sum of (i) the product of (x) such number of Exchange Cap Shares and (y) the Closing Sale Price on the Trading Day immediately preceding the date such Exchange Cap Shares would otherwise be required to be delivered to the Holder hereunder and (ii)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126" w:lineRule="exact"/>
        <w:rPr>
          <w:sz w:val="20"/>
          <w:szCs w:val="20"/>
          <w:color w:val="auto"/>
        </w:rPr>
      </w:pPr>
    </w:p>
    <w:p>
      <w:pPr>
        <w:ind w:left="180" w:hanging="176"/>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680" w:hanging="237"/>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160" w:firstLine="421"/>
        <w:spacing w:after="0" w:line="268" w:lineRule="auto"/>
        <w:tabs>
          <w:tab w:leader="none" w:pos="1089"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suspension from trading or the failure of the Common Stock to be traded or listed (as applicable) on an Eligible Market for a period of ten (10) consecutive Trading Days or for more than an aggregate of 30 days in any 365-day period;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47" w:name="page48"/>
    <w:bookmarkEnd w:id="47"/>
    <w:p>
      <w:pPr>
        <w:ind w:left="-280" w:firstLine="421"/>
        <w:spacing w:after="0" w:line="314" w:lineRule="auto"/>
        <w:tabs>
          <w:tab w:leader="none" w:pos="398" w:val="left"/>
        </w:tabs>
        <w:numPr>
          <w:ilvl w:val="0"/>
          <w:numId w:val="3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(A) failure to cure a Conversion Failure with respect to this Note or a Delivery Failure (as defined in the Warrants) with respect to Warrants held by the Holder, as applicable, by delivery of the required number of shares of Common Stock within ten (10) Trading Days after Conversion Date or exercise date, as applicable, or (B) notice, written or oral, to the Holder of this Note or,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or a request for exercise of the Warrants for Warrant Shares (as defined in the Warrants) in accordance with the provisions of the Warrants held by the Holder;</w:t>
      </w:r>
    </w:p>
    <w:p>
      <w:pPr>
        <w:spacing w:after="0" w:line="23" w:lineRule="exact"/>
        <w:rPr>
          <w:rFonts w:ascii="Arial" w:cs="Arial" w:eastAsia="Arial" w:hAnsi="Arial"/>
          <w:sz w:val="15"/>
          <w:szCs w:val="15"/>
          <w:color w:val="auto"/>
        </w:rPr>
      </w:pPr>
    </w:p>
    <w:p>
      <w:pPr>
        <w:ind w:left="440" w:hanging="299"/>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breach of the provision of Section 10(b) of this Note;</w:t>
      </w:r>
    </w:p>
    <w:p>
      <w:pPr>
        <w:spacing w:after="0" w:line="90" w:lineRule="exact"/>
        <w:rPr>
          <w:rFonts w:ascii="Arial" w:cs="Arial" w:eastAsia="Arial" w:hAnsi="Arial"/>
          <w:sz w:val="18"/>
          <w:szCs w:val="18"/>
          <w:color w:val="auto"/>
        </w:rPr>
      </w:pPr>
    </w:p>
    <w:p>
      <w:pPr>
        <w:ind w:left="-280" w:right="20" w:firstLine="421"/>
        <w:spacing w:after="0" w:line="294" w:lineRule="auto"/>
        <w:tabs>
          <w:tab w:leader="none" w:pos="4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Company’s failure to pay to the Holder any amount of Principal, Interest or other amounts when and as due under this Note (including, without limitation, the Company’s failure to pay any redemption payments or amounts hereunder) or, subject to the delivery of a written notice by the Holder to the Company, pursuant to any other Transaction Document (as defined in the Securities Purchase Agreement) or any other agreement, document, certificate or other instrument delivered in connection with the transactions contemplated hereby and thereby, except, in the case of a failure to pay Interest when and as due, in which case only if such failure remains uncured for a period of at least five (5) days;</w:t>
      </w:r>
    </w:p>
    <w:p>
      <w:pPr>
        <w:spacing w:after="0" w:line="34" w:lineRule="exact"/>
        <w:rPr>
          <w:rFonts w:ascii="Arial" w:cs="Arial" w:eastAsia="Arial" w:hAnsi="Arial"/>
          <w:sz w:val="16"/>
          <w:szCs w:val="16"/>
          <w:color w:val="auto"/>
        </w:rPr>
      </w:pPr>
    </w:p>
    <w:p>
      <w:pPr>
        <w:ind w:left="-280" w:right="100" w:firstLine="421"/>
        <w:spacing w:after="0" w:line="256" w:lineRule="auto"/>
        <w:tabs>
          <w:tab w:leader="none" w:pos="3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failure to remove any restrictive legend on any certificate or any shares of Common Stock issued to the Holder upon conversion or exercise (as the case may be) of this Note or any Warrant held by the Holder as and when required by such Note or Warrant or the Securities Purchase Agreement, unless otherwise not in accordance with state or federal securities laws, and any such failure remains uncured for at least five (5) days;</w:t>
      </w:r>
    </w:p>
    <w:p>
      <w:pPr>
        <w:spacing w:after="0" w:line="62" w:lineRule="exact"/>
        <w:rPr>
          <w:rFonts w:ascii="Arial" w:cs="Arial" w:eastAsia="Arial" w:hAnsi="Arial"/>
          <w:sz w:val="18"/>
          <w:szCs w:val="18"/>
          <w:color w:val="auto"/>
        </w:rPr>
      </w:pPr>
    </w:p>
    <w:p>
      <w:pPr>
        <w:ind w:left="-280" w:right="60" w:firstLine="421"/>
        <w:spacing w:after="0" w:line="357" w:lineRule="auto"/>
        <w:tabs>
          <w:tab w:leader="none" w:pos="43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occurrence of any default under, redemption of or acceleration prior to maturity of an aggregate amount of Indebtedness (as defined in the Securities Purchase Agreement) in excess of $2,000,000 of the Company or any of its Subsidiaries, other than with respect to any Other Notes;</w:t>
      </w:r>
    </w:p>
    <w:p>
      <w:pPr>
        <w:ind w:left="-280" w:right="80" w:firstLine="421"/>
        <w:spacing w:after="0" w:line="259" w:lineRule="auto"/>
        <w:tabs>
          <w:tab w:leader="none" w:pos="4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the Company or any Significant Subsidiary and, if instituted against the Company or any Significant Subsidiary by a third party, which shall not be dismissed within thirty (30) days of their initiation;</w:t>
      </w:r>
    </w:p>
    <w:p>
      <w:pPr>
        <w:spacing w:after="0" w:line="1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00"/>
          </w:cols>
          <w:pgMar w:left="1440" w:top="280" w:right="259" w:bottom="1440" w:gutter="0" w:footer="0" w:header="0"/>
        </w:sectPr>
      </w:pPr>
    </w:p>
    <w:bookmarkStart w:id="48" w:name="page49"/>
    <w:bookmarkEnd w:id="48"/>
    <w:p>
      <w:pPr>
        <w:ind w:right="20" w:firstLine="421"/>
        <w:spacing w:after="0" w:line="286" w:lineRule="auto"/>
        <w:tabs>
          <w:tab w:leader="none" w:pos="815" w:val="left"/>
        </w:tabs>
        <w:numPr>
          <w:ilvl w:val="1"/>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commencement by the Company or any Significant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Significant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Significant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Significant Subsidiary in furtherance of any such action or the taking of any action by any Person to commence a Uniform Commercial Code foreclosure sale or any other similar action under federal, state or foreign law;</w:t>
      </w:r>
    </w:p>
    <w:p>
      <w:pPr>
        <w:spacing w:after="0" w:line="43" w:lineRule="exact"/>
        <w:rPr>
          <w:rFonts w:ascii="Arial" w:cs="Arial" w:eastAsia="Arial" w:hAnsi="Arial"/>
          <w:sz w:val="16"/>
          <w:szCs w:val="16"/>
          <w:color w:val="auto"/>
        </w:rPr>
      </w:pPr>
    </w:p>
    <w:p>
      <w:pPr>
        <w:ind w:firstLine="421"/>
        <w:spacing w:after="0" w:line="282" w:lineRule="auto"/>
        <w:tabs>
          <w:tab w:leader="none" w:pos="717"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entry by a court of (i) a decree, order, judgment or other similar document in respect of the Company or any Significant Subsidiary of a voluntary or involuntary case or proceeding under any applicable federal, state or foreign bankruptcy, insolvency, reorganization or other similar law or (ii) a decree, order, judgment or other similar document adjudging the Company or any Significant Subsidiary as bankrupt or insolvent, or approving as properly filed a petition seeking liquidation, reorganization, arrangement, adjustment or composition of or in respect of the Company or any Significant Subsidiary under any applicable federal, state or foreign law or (iii) a decree, order, judgment or other similar document appointing a custodian, receiver, liquidator, assignee, trustee, sequestrator or other similar official of the Company or any Significant Subsidiary or of any substantial part of its property, or ordering the winding up or liquidation of its affairs, and, in each case, the continuance of any such decree, order, judgment or other similar document or any such other decree, order, judgment or other similar document unstayed and in effect for a period of thirty</w:t>
      </w:r>
    </w:p>
    <w:p>
      <w:pPr>
        <w:spacing w:after="0" w:line="5" w:lineRule="exact"/>
        <w:rPr>
          <w:rFonts w:ascii="Arial" w:cs="Arial" w:eastAsia="Arial" w:hAnsi="Arial"/>
          <w:sz w:val="16"/>
          <w:szCs w:val="16"/>
          <w:color w:val="auto"/>
        </w:rPr>
      </w:pPr>
    </w:p>
    <w:p>
      <w:pPr>
        <w:ind w:left="340" w:hanging="339"/>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consecutive days;</w:t>
      </w:r>
    </w:p>
    <w:p>
      <w:pPr>
        <w:spacing w:after="0" w:line="83" w:lineRule="exact"/>
        <w:rPr>
          <w:rFonts w:ascii="Arial" w:cs="Arial" w:eastAsia="Arial" w:hAnsi="Arial"/>
          <w:sz w:val="18"/>
          <w:szCs w:val="18"/>
          <w:color w:val="auto"/>
        </w:rPr>
      </w:pPr>
    </w:p>
    <w:p>
      <w:pPr>
        <w:ind w:left="660" w:hanging="239"/>
        <w:spacing w:after="0"/>
        <w:tabs>
          <w:tab w:leader="none" w:pos="6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except with respect any present or future claims relating to the controversies existing as of the date hereof and disclosed on </w:t>
      </w:r>
      <w:r>
        <w:rPr>
          <w:rFonts w:ascii="Arial" w:cs="Arial" w:eastAsia="Arial" w:hAnsi="Arial"/>
          <w:sz w:val="16"/>
          <w:szCs w:val="16"/>
          <w:u w:val="single" w:color="auto"/>
          <w:color w:val="auto"/>
        </w:rPr>
        <w:t>Schedule 4(a)</w:t>
      </w:r>
    </w:p>
    <w:p>
      <w:pPr>
        <w:spacing w:after="0" w:line="38" w:lineRule="exact"/>
        <w:rPr>
          <w:rFonts w:ascii="Arial" w:cs="Arial" w:eastAsia="Arial" w:hAnsi="Arial"/>
          <w:sz w:val="16"/>
          <w:szCs w:val="16"/>
          <w:color w:val="auto"/>
        </w:rPr>
      </w:pPr>
    </w:p>
    <w:p>
      <w:pPr>
        <w:ind w:right="60"/>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attached hereto, a final judgment or judgments for the payment of money aggregating in excess of $2,000,000 are rendered against the Company and/or any of its Subsidiaries and which judgments are not, within thirty (30) days after the entry thereof, bonded, discharged or stayed pending appeal, or are not discharged within thirty (30) days after the expiration of such stay; provided, however, any judgment which is covered by insurance or an indemnity from a credit worthy party shall not be included in calculating the $2,000,000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0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0"/>
          </w:cols>
          <w:pgMar w:left="1160" w:top="280" w:right="259" w:bottom="1440" w:gutter="0" w:footer="0" w:header="0"/>
        </w:sectPr>
      </w:pPr>
    </w:p>
    <w:bookmarkStart w:id="49" w:name="page50"/>
    <w:bookmarkEnd w:id="49"/>
    <w:p>
      <w:pPr>
        <w:ind w:left="1180" w:hanging="299"/>
        <w:spacing w:after="0"/>
        <w:tabs>
          <w:tab w:leader="none" w:pos="1180" w:val="left"/>
        </w:tabs>
        <w:numPr>
          <w:ilvl w:val="2"/>
          <w:numId w:val="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with respect any present or future claims relating to the controversies existing as of the date hereof and disclosed on </w:t>
      </w:r>
      <w:r>
        <w:rPr>
          <w:rFonts w:ascii="Arial" w:cs="Arial" w:eastAsia="Arial" w:hAnsi="Arial"/>
          <w:sz w:val="15"/>
          <w:szCs w:val="15"/>
          <w:u w:val="single" w:color="auto"/>
          <w:color w:val="auto"/>
        </w:rPr>
        <w:t>Schedule 4(a)</w:t>
      </w:r>
    </w:p>
    <w:p>
      <w:pPr>
        <w:spacing w:after="0" w:line="49" w:lineRule="exact"/>
        <w:rPr>
          <w:rFonts w:ascii="Arial" w:cs="Arial" w:eastAsia="Arial" w:hAnsi="Arial"/>
          <w:sz w:val="15"/>
          <w:szCs w:val="15"/>
          <w:color w:val="auto"/>
        </w:rPr>
      </w:pPr>
    </w:p>
    <w:p>
      <w:pPr>
        <w:ind w:left="460" w:right="100" w:firstLine="1"/>
        <w:spacing w:after="0" w:line="286" w:lineRule="auto"/>
        <w:tabs>
          <w:tab w:leader="none" w:pos="757" w:val="left"/>
        </w:tabs>
        <w:numPr>
          <w:ilvl w:val="1"/>
          <w:numId w:val="36"/>
        </w:numPr>
        <w:rPr>
          <w:rFonts w:ascii="Arial" w:cs="Arial" w:eastAsia="Arial" w:hAnsi="Arial"/>
          <w:sz w:val="16"/>
          <w:szCs w:val="16"/>
          <w:u w:val="single" w:color="auto"/>
          <w:color w:val="auto"/>
        </w:rPr>
      </w:pPr>
      <w:r>
        <w:rPr>
          <w:rFonts w:ascii="Arial" w:cs="Arial" w:eastAsia="Arial" w:hAnsi="Arial"/>
          <w:sz w:val="16"/>
          <w:szCs w:val="16"/>
          <w:color w:val="auto"/>
        </w:rPr>
        <w:t>attached hereto, the Company and/or any Subsidiary, individually or in the aggregate, either (i) fails to pay, when due, or within any applicable grace period, any payment with respect to any Indebtedness in excess of $2,000,000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$2,000,000,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43" w:lineRule="exact"/>
        <w:rPr>
          <w:rFonts w:ascii="Arial" w:cs="Arial" w:eastAsia="Arial" w:hAnsi="Arial"/>
          <w:sz w:val="16"/>
          <w:szCs w:val="16"/>
          <w:u w:val="single" w:color="auto"/>
          <w:color w:val="auto"/>
        </w:rPr>
      </w:pPr>
    </w:p>
    <w:p>
      <w:pPr>
        <w:ind w:left="460" w:right="480" w:firstLine="421"/>
        <w:spacing w:after="0" w:line="256" w:lineRule="auto"/>
        <w:tabs>
          <w:tab w:leader="none" w:pos="1226" w:val="left"/>
        </w:tabs>
        <w:numPr>
          <w:ilvl w:val="2"/>
          <w:numId w:val="36"/>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4(a), the Company or any Subsidiary breaches any material representation, warranty, covenant or other term or condition of any Transaction Document (as defined in the Securities Purchase Agreement), except, in the case of a breach of a covenant or other term or condition that is curable, only if such breach remains uncured for a period of ten (10) consecutive Trading Days after notice to the Company from a Holder;</w:t>
      </w:r>
    </w:p>
    <w:p>
      <w:pPr>
        <w:spacing w:after="0" w:line="62" w:lineRule="exact"/>
        <w:rPr>
          <w:rFonts w:ascii="Arial" w:cs="Arial" w:eastAsia="Arial" w:hAnsi="Arial"/>
          <w:sz w:val="18"/>
          <w:szCs w:val="18"/>
          <w:color w:val="auto"/>
        </w:rPr>
      </w:pPr>
    </w:p>
    <w:p>
      <w:pPr>
        <w:ind w:left="460" w:firstLine="421"/>
        <w:spacing w:after="0" w:line="268" w:lineRule="auto"/>
        <w:tabs>
          <w:tab w:leader="none" w:pos="1275"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breach or failure in any respect by the Company or any Subsidiary to comply with any provision of clauses (a) to (g) of Section 13 of this Note; or</w:t>
      </w:r>
    </w:p>
    <w:p>
      <w:pPr>
        <w:spacing w:after="0" w:line="50" w:lineRule="exact"/>
        <w:rPr>
          <w:rFonts w:ascii="Arial" w:cs="Arial" w:eastAsia="Arial" w:hAnsi="Arial"/>
          <w:sz w:val="18"/>
          <w:szCs w:val="18"/>
          <w:color w:val="auto"/>
        </w:rPr>
      </w:pPr>
    </w:p>
    <w:p>
      <w:pPr>
        <w:ind w:left="1260" w:hanging="379"/>
        <w:spacing w:after="0"/>
        <w:tabs>
          <w:tab w:leader="none" w:pos="12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Event of Default (as defined in the Other Notes) occurs with respect to any Other Notes.</w:t>
      </w:r>
    </w:p>
    <w:p>
      <w:pPr>
        <w:spacing w:after="0" w:line="90" w:lineRule="exact"/>
        <w:rPr>
          <w:rFonts w:ascii="Arial" w:cs="Arial" w:eastAsia="Arial" w:hAnsi="Arial"/>
          <w:sz w:val="18"/>
          <w:szCs w:val="18"/>
          <w:color w:val="auto"/>
        </w:rPr>
      </w:pPr>
    </w:p>
    <w:p>
      <w:pPr>
        <w:ind w:right="20" w:firstLine="443"/>
        <w:spacing w:after="0" w:line="291" w:lineRule="auto"/>
        <w:tabs>
          <w:tab w:leader="none" w:pos="68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Notice of an Event of Default; Redemption Right</w:t>
      </w:r>
      <w:r>
        <w:rPr>
          <w:rFonts w:ascii="Arial" w:cs="Arial" w:eastAsia="Arial" w:hAnsi="Arial"/>
          <w:sz w:val="16"/>
          <w:szCs w:val="16"/>
          <w:color w:val="auto"/>
        </w:rPr>
        <w:t>. Upon the occurrence of an Event of Default with respect to this Note, the Company shall promptly, but in no event later than two (2) Business Day after becoming aware of such Event of Default, deliver written notice thereof via facsimile and overnight courier (with next day delivery specified)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At any time after the earlier of the Holder’s receipt of an Event of Default Notice and the Holder becoming aware of an Event of Default, the Holder may require the Company to redeem (regardless of whether such Event of Default has been cured)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which Event of Default Redemption Notice shall indicate the portion of this Note the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50" w:name="page51"/>
    <w:bookmarkEnd w:id="5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is electing to redeem. Each portion of this Note subject to redemption by the Company pursuant to this Section 4(b) shall be redeemed in cash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11.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 but subject to Section 3(d), until the Event of Default Redemption Price is paid in full, the Conversion Amount submitted for redemption under this Section 4(b) may be converted, in whole or in part, by the Holder into Common Stock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w:t>
      </w:r>
    </w:p>
    <w:p>
      <w:pPr>
        <w:spacing w:after="0" w:line="126" w:lineRule="exact"/>
        <w:rPr>
          <w:sz w:val="20"/>
          <w:szCs w:val="20"/>
          <w:color w:val="auto"/>
        </w:rPr>
      </w:pPr>
    </w:p>
    <w:p>
      <w:pPr>
        <w:ind w:left="180" w:hanging="176"/>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443"/>
        <w:spacing w:after="0" w:line="287" w:lineRule="auto"/>
        <w:tabs>
          <w:tab w:leader="none" w:pos="677"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(i) the Successor Entity assumes in writing (or, if prior to the consummation of such Fundamental Transaction, such applicable agreement requires the assumption of) all of the obligations of the Company under this Note and the other Transaction Documents (as defined in the Securities Purchase Agreement) in accordance with the provisions of this Section 5(a),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51" w:name="page52"/>
    <w:bookmarkEnd w:id="51"/>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the Company’s Common Stock (or other securities, cash, assets or other property (except such items still issuable under Sections 6 and 16,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46" w:lineRule="exact"/>
        <w:rPr>
          <w:sz w:val="20"/>
          <w:szCs w:val="20"/>
          <w:color w:val="auto"/>
        </w:rPr>
      </w:pPr>
    </w:p>
    <w:p>
      <w:pPr>
        <w:ind w:firstLine="443"/>
        <w:spacing w:after="0" w:line="282" w:lineRule="auto"/>
        <w:tabs>
          <w:tab w:leader="none" w:pos="687"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Notice of a Change of Control; Redemption Right</w:t>
      </w:r>
      <w:r>
        <w:rPr>
          <w:rFonts w:ascii="Arial" w:cs="Arial" w:eastAsia="Arial" w:hAnsi="Arial"/>
          <w:sz w:val="16"/>
          <w:szCs w:val="16"/>
          <w:color w:val="auto"/>
        </w:rPr>
        <w:t>. No earlier than twenty (20) Trading Days nor later than ten (10) Trading Days prior to the consummation of a Change of Control (the “</w:t>
      </w:r>
      <w:r>
        <w:rPr>
          <w:rFonts w:ascii="Arial" w:cs="Arial" w:eastAsia="Arial" w:hAnsi="Arial"/>
          <w:sz w:val="16"/>
          <w:szCs w:val="16"/>
          <w:b w:val="1"/>
          <w:bCs w:val="1"/>
          <w:color w:val="auto"/>
        </w:rPr>
        <w:t>Change of Control Date</w:t>
      </w:r>
      <w:r>
        <w:rPr>
          <w:rFonts w:ascii="Arial" w:cs="Arial" w:eastAsia="Arial" w:hAnsi="Arial"/>
          <w:sz w:val="16"/>
          <w:szCs w:val="16"/>
          <w:color w:val="auto"/>
        </w:rPr>
        <w:t>”), but not prior to the public announcement of such Change of Control, the Company shall deliver written notice thereof via facsimile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the later of twenty (20) Trading Days after (A) consummation of such Change of Control or (B) the date of receipt of such Change of Control Notice, the Holder may require the Company to redeem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greater of (i) the product of (w) the Change of Control Redemption Premium multiplied by (y) the Conversion Amount being redeemed, (ii)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at the time of delivery by the Holder of the Change of Control Redemption Notice and (iii) the product of (A) the Conversion Amount being redeemed multiplied by (B) the quotient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cash consideration and the aggregate cash value of any non-cash</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52" w:name="page53"/>
    <w:bookmarkEnd w:id="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Price</w:t>
      </w:r>
      <w:r>
        <w:rPr>
          <w:rFonts w:ascii="Arial" w:cs="Arial" w:eastAsia="Arial" w:hAnsi="Arial"/>
          <w:sz w:val="16"/>
          <w:szCs w:val="16"/>
          <w:color w:val="auto"/>
        </w:rPr>
        <w:t>”). Redemptions required by this Section 5 shall be made in accordance with the provisions of Section 11 and shall have priority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is paid in full, the Conversion Amount submitted for redemption under this Section 5(b)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124" w:lineRule="exact"/>
        <w:rPr>
          <w:sz w:val="20"/>
          <w:szCs w:val="20"/>
          <w:color w:val="auto"/>
        </w:rPr>
      </w:pPr>
    </w:p>
    <w:p>
      <w:pPr>
        <w:ind w:left="180" w:hanging="176"/>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UPON ISSUANCE OF PURCHASE RIGHTS AND OTHER CORPORATE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443"/>
        <w:spacing w:after="0" w:line="308" w:lineRule="auto"/>
        <w:tabs>
          <w:tab w:leader="none" w:pos="677"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Purchase Rights</w:t>
      </w:r>
      <w:r>
        <w:rPr>
          <w:rFonts w:ascii="Arial" w:cs="Arial" w:eastAsia="Arial" w:hAnsi="Arial"/>
          <w:sz w:val="15"/>
          <w:szCs w:val="15"/>
          <w:color w:val="auto"/>
        </w:rPr>
        <w:t>. In addition to any adjustments pursuant to Section 7 below,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5"/>
          <w:szCs w:val="15"/>
          <w:b w:val="1"/>
          <w:bCs w:val="1"/>
          <w:color w:val="auto"/>
        </w:rPr>
        <w:t>Purchase Rights</w:t>
      </w:r>
      <w:r>
        <w:rPr>
          <w:rFonts w:ascii="Arial" w:cs="Arial" w:eastAsia="Arial" w:hAnsi="Arial"/>
          <w:sz w:val="15"/>
          <w:szCs w:val="15"/>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53" w:name="page54"/>
    <w:bookmarkEnd w:id="53"/>
    <w:p>
      <w:pPr>
        <w:ind w:firstLine="443"/>
        <w:spacing w:after="0" w:line="288" w:lineRule="auto"/>
        <w:tabs>
          <w:tab w:leader="none" w:pos="68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Corporate Events</w:t>
      </w:r>
      <w:r>
        <w:rPr>
          <w:rFonts w:ascii="Arial" w:cs="Arial" w:eastAsia="Arial" w:hAnsi="Arial"/>
          <w:sz w:val="16"/>
          <w:szCs w:val="16"/>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 conversion of this Note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119" w:lineRule="exact"/>
        <w:rPr>
          <w:rFonts w:ascii="Arial" w:cs="Arial" w:eastAsia="Arial" w:hAnsi="Arial"/>
          <w:sz w:val="16"/>
          <w:szCs w:val="16"/>
          <w:color w:val="auto"/>
        </w:rPr>
      </w:pPr>
    </w:p>
    <w:p>
      <w:pPr>
        <w:ind w:left="180" w:hanging="176"/>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RIGHTS UPON ISSUANCE OF OTHER 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6" w:lineRule="auto"/>
        <w:tabs>
          <w:tab w:leader="none" w:pos="677"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Issuance of Common Stock</w:t>
      </w:r>
      <w:r>
        <w:rPr>
          <w:rFonts w:ascii="Arial" w:cs="Arial" w:eastAsia="Arial" w:hAnsi="Arial"/>
          <w:sz w:val="16"/>
          <w:szCs w:val="16"/>
          <w:color w:val="auto"/>
        </w:rPr>
        <w:t>. If and whenever on or after the Subscription Date the Company issues or sells, or in accordance with this Section 7(a) is deemed to have issued or sold, any shares of Common Stock (including the issuance or sale of shares of Common Stock owned or held by or for the account of the Company, but excluding any Excluded Securities issued or sold or deemed to have been issued or sold) for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the Conversion Price in effect immediately prior to such issue or sale or deemed issuance or sale (such Conversion Price then in effect is referred to herein as the “</w:t>
      </w:r>
      <w:r>
        <w:rPr>
          <w:rFonts w:ascii="Arial" w:cs="Arial" w:eastAsia="Arial" w:hAnsi="Arial"/>
          <w:sz w:val="16"/>
          <w:szCs w:val="16"/>
          <w:b w:val="1"/>
          <w:bCs w:val="1"/>
          <w:color w:val="auto"/>
        </w:rPr>
        <w:t>Applicable 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(other than a stock dividend or other distribution of shares of Common Stock to all holders of Common Stock) (such number being appropriately adjusted to reflect the occurrence of any event described in Section 7(b)), then, immediately after such Dilutive Issuance, the Conversion Price then in effect shall be reduced to an amount equal to the product of (A) the Applicable Price and (B) the quotient determined by dividing (1) the sum of (I) the product derived by multiplying the Applicable Price and the number of shares of Common Stock Deemed Outstanding immediately prior to such Dilutive Issuance plus (II) the consideration, if any, received by the Company upon such Dilutive Issuance, by (2) the product derived by multiplying (I) the Applicable Price by (II) the number of shares of Common Stock Deemed Outstanding immediately after such Dilutive Issuance. For all purposes of the foregoing (including, without limitation, determining the adjusted Conversion Price, the consideration per share and the New Issuance Price under this Section 7(a)), the following shall be applicable:</w:t>
      </w:r>
    </w:p>
    <w:p>
      <w:pPr>
        <w:spacing w:after="0" w:line="39" w:lineRule="exact"/>
        <w:rPr>
          <w:rFonts w:ascii="Arial" w:cs="Arial" w:eastAsia="Arial" w:hAnsi="Arial"/>
          <w:sz w:val="16"/>
          <w:szCs w:val="16"/>
          <w:color w:val="auto"/>
        </w:rPr>
      </w:pPr>
    </w:p>
    <w:p>
      <w:pPr>
        <w:ind w:left="460" w:right="40" w:firstLine="421"/>
        <w:spacing w:after="0" w:line="285" w:lineRule="auto"/>
        <w:tabs>
          <w:tab w:leader="none" w:pos="1089"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7(a)(i), the “lowest price per share for which one share of Common Stock is issuable upon the exercise of any such Options or upon conversion,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upon the actual issuance of such share of Common Stock upon conversion, exercise or exchange of such Convertible Securities.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54" w:name="page55"/>
    <w:bookmarkEnd w:id="54"/>
    <w:p>
      <w:pPr>
        <w:ind w:firstLine="421"/>
        <w:spacing w:after="0" w:line="282" w:lineRule="auto"/>
        <w:tabs>
          <w:tab w:leader="none" w:pos="67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7(a)(ii),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Conversion Price shall be made upon the actual issuance of such share of Common Stock upon conversion, exercise or exchange of such Convertible Securities, and if any such issue or sale of such Convertible Securities is made upon exercise of any Options for which adjustment of the Conversion Price has been or is to be made pursuant to other provisions of this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7(a), except as contemplated below, no further adjustment of the Conversion Price shall be made by reason of such issue or sale.</w:t>
      </w:r>
    </w:p>
    <w:p>
      <w:pPr>
        <w:spacing w:after="0" w:line="17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0"/>
          </w:cols>
          <w:pgMar w:left="1160" w:top="280" w:right="279" w:bottom="1440" w:gutter="0" w:footer="0" w:header="0"/>
        </w:sectPr>
      </w:pPr>
    </w:p>
    <w:bookmarkStart w:id="55" w:name="page56"/>
    <w:bookmarkEnd w:id="55"/>
    <w:p>
      <w:pPr>
        <w:ind w:left="-1" w:right="20" w:firstLine="421"/>
        <w:spacing w:after="0" w:line="305" w:lineRule="auto"/>
        <w:tabs>
          <w:tab w:leader="none" w:pos="726"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Option Price or Rate of Conversion</w:t>
      </w:r>
      <w:r>
        <w:rPr>
          <w:rFonts w:ascii="Arial" w:cs="Arial" w:eastAsia="Arial" w:hAnsi="Arial"/>
          <w:sz w:val="15"/>
          <w:szCs w:val="15"/>
          <w:color w:val="auto"/>
        </w:rPr>
        <w:t>. If the purchase or exercise price provided for in any Options referred to in Section 7(a)(i), the additional consideration, if any, payable upon the issue, conversion, exercise or exchange of any Convertible Securities referred to in Section 7(a)</w:t>
      </w:r>
    </w:p>
    <w:p>
      <w:pPr>
        <w:ind w:left="-1" w:right="60" w:firstLine="1"/>
        <w:spacing w:after="0" w:line="287" w:lineRule="auto"/>
        <w:tabs>
          <w:tab w:leader="none" w:pos="209" w:val="left"/>
        </w:tabs>
        <w:numPr>
          <w:ilvl w:val="0"/>
          <w:numId w:val="46"/>
        </w:numPr>
        <w:rPr>
          <w:rFonts w:ascii="Arial" w:cs="Arial" w:eastAsia="Arial" w:hAnsi="Arial"/>
          <w:sz w:val="16"/>
          <w:szCs w:val="16"/>
          <w:color w:val="auto"/>
        </w:rPr>
      </w:pPr>
      <w:r>
        <w:rPr>
          <w:rFonts w:ascii="Arial" w:cs="Arial" w:eastAsia="Arial" w:hAnsi="Arial"/>
          <w:sz w:val="16"/>
          <w:szCs w:val="16"/>
          <w:color w:val="auto"/>
        </w:rPr>
        <w:t>or 7(a)(ii), or the rate at which any Convertible Securities referred to in Section 7(a)(i) or 7(a)(ii) are convertible into or exercisable or exchangeable for shares of Common Stock increases or decreases at any time,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39" w:lineRule="exact"/>
        <w:rPr>
          <w:rFonts w:ascii="Arial" w:cs="Arial" w:eastAsia="Arial" w:hAnsi="Arial"/>
          <w:sz w:val="16"/>
          <w:szCs w:val="16"/>
          <w:color w:val="auto"/>
        </w:rPr>
      </w:pPr>
    </w:p>
    <w:p>
      <w:pPr>
        <w:ind w:left="-1" w:firstLine="421"/>
        <w:spacing w:after="0" w:line="285" w:lineRule="auto"/>
        <w:tabs>
          <w:tab w:leader="none" w:pos="71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or Convertible Security or Adjustment Right is issued or deemed issued in connection with the issuance or sale or deemed issuance or sale of any other securities of the Company, together comprising one integrated transaction, (x) such Option or Convertible Security (as applicable) or Adjustment Right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or receivable by the Company minus (II) the Black Scholes Consideration Value of each such Option or Convertible Security (as applicable) or Adjustment Right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average VWAP of such security for the five (5) Trading Day period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w:t>
      </w:r>
    </w:p>
    <w:p>
      <w:pPr>
        <w:spacing w:after="0" w:line="115"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99"/>
          </w:cols>
          <w:pgMar w:left="1161" w:top="280" w:right="239" w:bottom="1440" w:gutter="0" w:footer="0" w:header="0"/>
        </w:sectPr>
      </w:pPr>
    </w:p>
    <w:bookmarkStart w:id="56" w:name="page57"/>
    <w:bookmarkEnd w:id="56"/>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the fair value of such consideration will be determined within five (5) Trading Days after the tenth (10</w:t>
      </w:r>
      <w:r>
        <w:rPr>
          <w:rFonts w:ascii="Arial" w:cs="Arial" w:eastAsia="Arial" w:hAnsi="Arial"/>
          <w:sz w:val="10"/>
          <w:szCs w:val="10"/>
          <w:color w:val="auto"/>
        </w:rPr>
        <w:t>th</w:t>
      </w:r>
      <w:r>
        <w:rPr>
          <w:rFonts w:ascii="Arial" w:cs="Arial" w:eastAsia="Arial" w:hAnsi="Arial"/>
          <w:sz w:val="16"/>
          <w:szCs w:val="16"/>
          <w:color w:val="auto"/>
        </w:rPr>
        <w:t>) day following such 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39" w:lineRule="exact"/>
        <w:rPr>
          <w:sz w:val="20"/>
          <w:szCs w:val="20"/>
          <w:color w:val="auto"/>
        </w:rPr>
      </w:pPr>
    </w:p>
    <w:p>
      <w:pPr>
        <w:ind w:left="460" w:right="80" w:firstLine="421"/>
        <w:spacing w:after="0" w:line="294" w:lineRule="auto"/>
        <w:tabs>
          <w:tab w:leader="none" w:pos="1128"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4" w:lineRule="exact"/>
        <w:rPr>
          <w:rFonts w:ascii="Arial" w:cs="Arial" w:eastAsia="Arial" w:hAnsi="Arial"/>
          <w:sz w:val="16"/>
          <w:szCs w:val="16"/>
          <w:color w:val="auto"/>
        </w:rPr>
      </w:pPr>
    </w:p>
    <w:p>
      <w:pPr>
        <w:ind w:left="700" w:hanging="257"/>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Subdivision or Combination of Common Stock</w:t>
      </w:r>
      <w:r>
        <w:rPr>
          <w:rFonts w:ascii="Arial" w:cs="Arial" w:eastAsia="Arial" w:hAnsi="Arial"/>
          <w:sz w:val="16"/>
          <w:szCs w:val="16"/>
          <w:color w:val="auto"/>
        </w:rPr>
        <w:t>. Without limiting any provision of Section 5 or</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7(a), if the Company at any time on or after the Subscription Date subdivides (by any stock split, stock dividend, recapitalization or otherwise) one or more classes of its outstanding shares of Common Stock into a greater number of shares, the Conversion Price in effect immediately prior to such subdivision will be proportionately reduced. Without limiting any provision of Section 5 or Section 7(a), if the Company at any time on or after the Subscription Date combines (by combination, reverse stock split or otherwise)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43" w:lineRule="exact"/>
        <w:rPr>
          <w:sz w:val="20"/>
          <w:szCs w:val="20"/>
          <w:color w:val="auto"/>
        </w:rPr>
      </w:pPr>
    </w:p>
    <w:p>
      <w:pPr>
        <w:ind w:right="60" w:firstLine="443"/>
        <w:spacing w:after="0" w:line="291" w:lineRule="auto"/>
        <w:tabs>
          <w:tab w:leader="none" w:pos="67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Holder’s Right of Alternative Conversion Price</w:t>
      </w:r>
      <w:r>
        <w:rPr>
          <w:rFonts w:ascii="Arial" w:cs="Arial" w:eastAsia="Arial" w:hAnsi="Arial"/>
          <w:sz w:val="16"/>
          <w:szCs w:val="16"/>
          <w:color w:val="auto"/>
        </w:rPr>
        <w:t>. Subject to Section 4(n) of the Securities Purchase Agreement, in addition to and not in limitation of the other provisions of this Section 7, if the Company in any manner issues or sells or enters into any agreement to issue or sell, any Common Stock, Options or Convertible Securities (any such securities, “</w:t>
      </w:r>
      <w:r>
        <w:rPr>
          <w:rFonts w:ascii="Arial" w:cs="Arial" w:eastAsia="Arial" w:hAnsi="Arial"/>
          <w:sz w:val="16"/>
          <w:szCs w:val="16"/>
          <w:b w:val="1"/>
          <w:bCs w:val="1"/>
          <w:color w:val="auto"/>
        </w:rPr>
        <w:t>Variable Price Securities</w:t>
      </w:r>
      <w:r>
        <w:rPr>
          <w:rFonts w:ascii="Arial" w:cs="Arial" w:eastAsia="Arial" w:hAnsi="Arial"/>
          <w:sz w:val="16"/>
          <w:szCs w:val="16"/>
          <w:color w:val="auto"/>
        </w:rPr>
        <w:t>”) after the Subscription Date that are issuable pursuant to such agreement or convertible into or exchangeable or exercisable for shares of Common Stock pursuant to such Options or Convertible Securities, as applicable, at a price which varies or may vary with the market price of the shares of Common Stock, including by way of one or more reset(s) to a fixed price, but exclusive of such formulations reflecting customary anti-dilution provisions (such as share splits,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57" w:name="page58"/>
    <w:bookmarkEnd w:id="5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combinations, share dividends and similar transactions) (each of the formulations for such variable price being herein referred to as, the “</w:t>
      </w:r>
      <w:r>
        <w:rPr>
          <w:rFonts w:ascii="Arial" w:cs="Arial" w:eastAsia="Arial" w:hAnsi="Arial"/>
          <w:sz w:val="16"/>
          <w:szCs w:val="16"/>
          <w:b w:val="1"/>
          <w:bCs w:val="1"/>
          <w:color w:val="auto"/>
        </w:rPr>
        <w:t>Variable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the Company shall provide written notice thereof via facsimile and overnight courier to the Holder on the date of such agreement and/or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such Convertible Securities or Options, as applicable. Subject to Section 4(n) of the Securities Purchase Agreement, from and after the date the Company enters into such agreement or issues any such Convertible Securities or Options with a Variable Price,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37" w:lineRule="exact"/>
        <w:rPr>
          <w:sz w:val="20"/>
          <w:szCs w:val="20"/>
          <w:color w:val="auto"/>
        </w:rPr>
      </w:pPr>
    </w:p>
    <w:p>
      <w:pPr>
        <w:ind w:firstLine="443"/>
        <w:spacing w:after="0" w:line="288" w:lineRule="auto"/>
        <w:tabs>
          <w:tab w:leader="none" w:pos="687"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7(d)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38" w:lineRule="exact"/>
        <w:rPr>
          <w:rFonts w:ascii="Arial" w:cs="Arial" w:eastAsia="Arial" w:hAnsi="Arial"/>
          <w:sz w:val="16"/>
          <w:szCs w:val="16"/>
          <w:color w:val="auto"/>
        </w:rPr>
      </w:pPr>
    </w:p>
    <w:p>
      <w:pPr>
        <w:jc w:val="both"/>
        <w:ind w:right="200" w:firstLine="443"/>
        <w:spacing w:after="0" w:line="259" w:lineRule="auto"/>
        <w:tabs>
          <w:tab w:leader="none" w:pos="67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7 shall be made by rounding to the nearest cent or the nearest 1/100</w:t>
      </w:r>
      <w:r>
        <w:rPr>
          <w:rFonts w:ascii="Arial" w:cs="Arial" w:eastAsia="Arial" w:hAnsi="Arial"/>
          <w:sz w:val="11"/>
          <w:szCs w:val="11"/>
          <w:color w:val="auto"/>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COMPANY INSTALLMENT CONVERSION OR REDEMPTION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443"/>
        <w:spacing w:after="0" w:line="254" w:lineRule="auto"/>
        <w:tabs>
          <w:tab w:leader="none" w:pos="67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On each applicable Installment Date, the Company shall pay to the Holder of this Note the applicable Installment Amount due on such date by converting such Installment Amount in accordance with this Section 8 (a “</w:t>
      </w:r>
      <w:r>
        <w:rPr>
          <w:rFonts w:ascii="Arial" w:cs="Arial" w:eastAsia="Arial" w:hAnsi="Arial"/>
          <w:sz w:val="18"/>
          <w:szCs w:val="18"/>
          <w:b w:val="1"/>
          <w:bCs w:val="1"/>
          <w:color w:val="auto"/>
        </w:rPr>
        <w:t>Company Conversion</w:t>
      </w:r>
      <w:r>
        <w:rPr>
          <w:rFonts w:ascii="Arial" w:cs="Arial" w:eastAsia="Arial" w:hAnsi="Arial"/>
          <w:sz w:val="18"/>
          <w:szCs w:val="18"/>
          <w:color w:val="auto"/>
        </w:rPr>
        <w:t>”); provided, however, the Company may, at its option as described below, pay all or any part of such Installment Amount by redeeming such Installment Amount in cash (a “</w:t>
      </w:r>
      <w:r>
        <w:rPr>
          <w:rFonts w:ascii="Arial" w:cs="Arial" w:eastAsia="Arial" w:hAnsi="Arial"/>
          <w:sz w:val="18"/>
          <w:szCs w:val="18"/>
          <w:b w:val="1"/>
          <w:bCs w:val="1"/>
          <w:color w:val="auto"/>
        </w:rPr>
        <w:t>Company Redemption</w:t>
      </w:r>
      <w:r>
        <w:rPr>
          <w:rFonts w:ascii="Arial" w:cs="Arial" w:eastAsia="Arial" w:hAnsi="Arial"/>
          <w:sz w:val="18"/>
          <w:szCs w:val="18"/>
          <w:color w:val="auto"/>
        </w:rPr>
        <w:t>”) or by any combination of a Company Conversion and a Company Redemption so long as the entire amount of such Installment Amount due shall be converted and/or redeemed by the Company on the applicable Installment Date, subject to the provisions of this Section 8, provided further that the Company shall not be</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74" w:right="279" w:bottom="1440" w:gutter="0" w:footer="0" w:header="0"/>
        </w:sectPr>
      </w:pPr>
    </w:p>
    <w:bookmarkStart w:id="58" w:name="page59"/>
    <w:bookmarkEnd w:id="58"/>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effect a Company Conversion with respect to any portion of such Installment Amount and shall be required to elect and to pay the entire amount of such Installment Amount in cash pursuant to a Company Redemption if on the applicable Installment Notice Due Date or on the applicable Installment Date (as the case may be) there is an Equity Conditions Failure, except that a Company Conversion may still occur on the applicable Installment Date in accordance with Section 8(c) with the written consent of the Holder if the Company properly elected a Company Conversion with respect to such Installment Date, provided further that, notwithstanding the foregoing, if (i) the Company has elected to effect a Company Conversion pursuant to this Section 8 with respect to the applicable Installment Date, (ii) the Company is permitted pursuant to this Section 8 to effect such Company Conversion on such Installment Date (without regard to any failure to satisfy Section 3(d)(i) of this Note in accordance with clause (iv) of the definition of “Equity Conditions”) and (iii) if such Company Conversion would otherwise violate Section 3(d)(i) of this Note, the Installment Amount of the Holder for such Installment Date shall be automatically reduced until such reduced Installment Amount would no longer result in a violation of Section 3(d)(i) if such Company Conversion were effected (the amount of such reduction is referred to herein as the “</w:t>
      </w:r>
      <w:r>
        <w:rPr>
          <w:rFonts w:ascii="Arial" w:cs="Arial" w:eastAsia="Arial" w:hAnsi="Arial"/>
          <w:sz w:val="16"/>
          <w:szCs w:val="16"/>
          <w:b w:val="1"/>
          <w:bCs w:val="1"/>
          <w:color w:val="auto"/>
        </w:rPr>
        <w:t>Designated Specified Amount</w:t>
      </w:r>
      <w:r>
        <w:rPr>
          <w:rFonts w:ascii="Arial" w:cs="Arial" w:eastAsia="Arial" w:hAnsi="Arial"/>
          <w:sz w:val="16"/>
          <w:szCs w:val="16"/>
          <w:color w:val="auto"/>
        </w:rPr>
        <w:t>”), and such Designated Specified Amount shall be automatically deferred to the immediately subsequent Installment Date (or such other Installment Date as elected in a writing delivered to the Company by the Holder). For the avoidance of doubt, after giving effect to such reduction of the Designated Specified Amount, clause</w:t>
      </w:r>
    </w:p>
    <w:p>
      <w:pPr>
        <w:spacing w:after="0" w:line="5" w:lineRule="exact"/>
        <w:rPr>
          <w:sz w:val="20"/>
          <w:szCs w:val="20"/>
          <w:color w:val="auto"/>
        </w:rPr>
      </w:pPr>
    </w:p>
    <w:p>
      <w:pPr>
        <w:ind w:left="300" w:hanging="296"/>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definition of “Equity Conditions” shall be deemed to be satisfied with respect to such Company Conversion.</w:t>
      </w:r>
    </w:p>
    <w:p>
      <w:pPr>
        <w:spacing w:after="0" w:line="83" w:lineRule="exact"/>
        <w:rPr>
          <w:rFonts w:ascii="Arial" w:cs="Arial" w:eastAsia="Arial" w:hAnsi="Arial"/>
          <w:sz w:val="18"/>
          <w:szCs w:val="18"/>
          <w:color w:val="auto"/>
        </w:rPr>
      </w:pPr>
    </w:p>
    <w:p>
      <w:pPr>
        <w:ind w:right="20" w:firstLine="443"/>
        <w:spacing w:after="0" w:line="283" w:lineRule="auto"/>
        <w:tabs>
          <w:tab w:leader="none" w:pos="68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Mechanics of Company Installment Payments</w:t>
      </w:r>
      <w:r>
        <w:rPr>
          <w:rFonts w:ascii="Arial" w:cs="Arial" w:eastAsia="Arial" w:hAnsi="Arial"/>
          <w:sz w:val="16"/>
          <w:szCs w:val="16"/>
          <w:color w:val="auto"/>
        </w:rPr>
        <w:t>. On or prior to the date which is the thirteenth (13</w:t>
      </w:r>
      <w:r>
        <w:rPr>
          <w:rFonts w:ascii="Arial" w:cs="Arial" w:eastAsia="Arial" w:hAnsi="Arial"/>
          <w:sz w:val="10"/>
          <w:szCs w:val="10"/>
          <w:color w:val="auto"/>
        </w:rPr>
        <w:t>th</w:t>
      </w:r>
      <w:r>
        <w:rPr>
          <w:rFonts w:ascii="Arial" w:cs="Arial" w:eastAsia="Arial" w:hAnsi="Arial"/>
          <w:sz w:val="16"/>
          <w:szCs w:val="16"/>
          <w:color w:val="auto"/>
        </w:rPr>
        <w:t>) Trading Day prior to each Installment Date (each, an “</w:t>
      </w:r>
      <w:r>
        <w:rPr>
          <w:rFonts w:ascii="Arial" w:cs="Arial" w:eastAsia="Arial" w:hAnsi="Arial"/>
          <w:sz w:val="16"/>
          <w:szCs w:val="16"/>
          <w:b w:val="1"/>
          <w:bCs w:val="1"/>
          <w:color w:val="auto"/>
        </w:rPr>
        <w:t>Installment Notice Due Date</w:t>
      </w:r>
      <w:r>
        <w:rPr>
          <w:rFonts w:ascii="Arial" w:cs="Arial" w:eastAsia="Arial" w:hAnsi="Arial"/>
          <w:sz w:val="16"/>
          <w:szCs w:val="16"/>
          <w:color w:val="auto"/>
        </w:rPr>
        <w:t>”), the Company shall deliver written notice (each, a “</w:t>
      </w:r>
      <w:r>
        <w:rPr>
          <w:rFonts w:ascii="Arial" w:cs="Arial" w:eastAsia="Arial" w:hAnsi="Arial"/>
          <w:sz w:val="16"/>
          <w:szCs w:val="16"/>
          <w:b w:val="1"/>
          <w:bCs w:val="1"/>
          <w:color w:val="auto"/>
        </w:rPr>
        <w:t>Company Installment Notice</w:t>
      </w:r>
      <w:r>
        <w:rPr>
          <w:rFonts w:ascii="Arial" w:cs="Arial" w:eastAsia="Arial" w:hAnsi="Arial"/>
          <w:sz w:val="16"/>
          <w:szCs w:val="16"/>
          <w:color w:val="auto"/>
        </w:rPr>
        <w:t>” and the date all of the holders receive such notice is referred to as to the “</w:t>
      </w:r>
      <w:r>
        <w:rPr>
          <w:rFonts w:ascii="Arial" w:cs="Arial" w:eastAsia="Arial" w:hAnsi="Arial"/>
          <w:sz w:val="16"/>
          <w:szCs w:val="16"/>
          <w:b w:val="1"/>
          <w:bCs w:val="1"/>
          <w:color w:val="auto"/>
        </w:rPr>
        <w:t>Company Installment Notice Date</w:t>
      </w:r>
      <w:r>
        <w:rPr>
          <w:rFonts w:ascii="Arial" w:cs="Arial" w:eastAsia="Arial" w:hAnsi="Arial"/>
          <w:sz w:val="16"/>
          <w:szCs w:val="16"/>
          <w:color w:val="auto"/>
        </w:rPr>
        <w:t>”), to each holder of Notes and such Company Installment Notice shall (i) either (A) confirm that the applicable Installment Amount of such holder’s Note shall be converted in whole pursuant to a Company Conversion or</w:t>
      </w:r>
    </w:p>
    <w:p>
      <w:pPr>
        <w:spacing w:after="0" w:line="2"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(B) (1) state that the Company elects to redeem, or is required to elect and redeem in accordance with the provisions of the Notes, in whole or in part, the applicable Installment Amount pursuant to a Company Redemption and (2) specify the portion of the applicable Installment Amount which the Company elects, or is required to elect and redeem, pursuant to a Company Redemption (such amount to be redeemed in cash, the “</w:t>
      </w:r>
      <w:r>
        <w:rPr>
          <w:rFonts w:ascii="Arial" w:cs="Arial" w:eastAsia="Arial" w:hAnsi="Arial"/>
          <w:sz w:val="16"/>
          <w:szCs w:val="16"/>
          <w:b w:val="1"/>
          <w:bCs w:val="1"/>
          <w:color w:val="auto"/>
        </w:rPr>
        <w:t>Company 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and the portion of the applicable Installment Amount, if any, with respect to which the Company will, and is permitted to, effect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(such amount of the applicable Installment Amount so specified to be so converted pursuant to this Section 8 (subject to adjustment pursuant to Section 8(f) below) is referred to herein as the “</w:t>
      </w:r>
      <w:r>
        <w:rPr>
          <w:rFonts w:ascii="Arial" w:cs="Arial" w:eastAsia="Arial" w:hAnsi="Arial"/>
          <w:sz w:val="16"/>
          <w:szCs w:val="16"/>
          <w:b w:val="1"/>
          <w:bCs w:val="1"/>
          <w:color w:val="auto"/>
        </w:rPr>
        <w:t>Company Conversion Amount</w:t>
      </w:r>
      <w:r>
        <w:rPr>
          <w:rFonts w:ascii="Arial" w:cs="Arial" w:eastAsia="Arial" w:hAnsi="Arial"/>
          <w:sz w:val="16"/>
          <w:szCs w:val="16"/>
          <w:color w:val="auto"/>
        </w:rPr>
        <w:t>”), which amounts when added together, must equal the entire applicable Installment Amount, (ii) specify whether any Additional Installment Amounts (as defined below) with respect to such Installment Date will be converted pursuant to a Company Conversion or, at the sole election of the Company, paid pursuant to a Company Redemption, in accordance with this Section 8(b) and Section 8(f) below, and (iii) if the applicable Installment Amount is to be paid, in whole or in part, pursuant to a Company Conversion, certify that there is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59" w:name="page60"/>
    <w:bookmarkEnd w:id="5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then an Equity Conditions Failure as of the date of the applicable Company Installment Notice. Each Company Installment Notice shall be irrevocable and may not be revoked by the Company. If the Company elects not to deliver, or any Company Installment Notice is not timely delivered, a Company Installment Notice in accordance with this Section 8 with respect to a particular Installment Date, then the Company shall be deemed to have delivered an irrevocable Company Installment Notice confirming a Company Conversion of the entire Installment Amount payable on such Installment Date and shall be deemed to have certified that there is not then an Equity Conditions Failure on the applicable Installment Notice Due Date and the applicable Installment Date. For the avoidance of doubt, no failure to deliver a Company Installment Notice will result in an Event of Default to the extent that, pursuant to this Section 8(b), the Company is permitted to elect a Company Conversion with respect to such Installment Date. Except as expressly provided in this Section 8(b),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forth in the applicable Company Installment Notice or by operation of this Section 8) shall be converted in accordance with Section 8(c) and the applicable Company Redemption Amount shall be redeemed in accordance with Section 8(d). No later than three (3) Trading Days after delivery of the applicable Company Installment Notice setting forth a Company Conversion Amount, the Company shall deliver to the Holder’s account with DTC such number of shares of Common Stock (the “</w:t>
      </w:r>
      <w:r>
        <w:rPr>
          <w:rFonts w:ascii="Arial" w:cs="Arial" w:eastAsia="Arial" w:hAnsi="Arial"/>
          <w:sz w:val="16"/>
          <w:szCs w:val="16"/>
          <w:b w:val="1"/>
          <w:bCs w:val="1"/>
          <w:color w:val="auto"/>
        </w:rPr>
        <w:t>Pre-Installment Conversion Shares</w:t>
      </w:r>
      <w:r>
        <w:rPr>
          <w:rFonts w:ascii="Arial" w:cs="Arial" w:eastAsia="Arial" w:hAnsi="Arial"/>
          <w:sz w:val="16"/>
          <w:szCs w:val="16"/>
          <w:color w:val="auto"/>
        </w:rPr>
        <w:t>”) equal to the quotient of (x) such Company Conversion Amount divided by (y) the Pre-Installment Period Conversion Price, and as to which the Holder shall be the owner thereof as of such time of delivery or deemed delivery (as the case may be) of such Company Installment Notice. Except as expressly provided in this Section 8(b),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forth in the applicable Company Installment Notice or by operation of this Section 8) shall be converted in accordance with Section 8(c) and the applicable Company Redemption Amount shall be redeemed in accordance with Section 8(d).</w:t>
      </w:r>
    </w:p>
    <w:p>
      <w:pPr>
        <w:spacing w:after="0" w:line="48" w:lineRule="exact"/>
        <w:rPr>
          <w:sz w:val="20"/>
          <w:szCs w:val="20"/>
          <w:color w:val="auto"/>
        </w:rPr>
      </w:pPr>
    </w:p>
    <w:p>
      <w:pPr>
        <w:ind w:firstLine="443"/>
        <w:spacing w:after="0" w:line="253" w:lineRule="auto"/>
        <w:tabs>
          <w:tab w:leader="none" w:pos="67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Mechanics of Company Conversion</w:t>
      </w:r>
      <w:r>
        <w:rPr>
          <w:rFonts w:ascii="Arial" w:cs="Arial" w:eastAsia="Arial" w:hAnsi="Arial"/>
          <w:sz w:val="18"/>
          <w:szCs w:val="18"/>
          <w:color w:val="auto"/>
        </w:rPr>
        <w:t>. Subject to Section 3(d), if the Company delivers a Company Installment Notice and elects, or is deemed to have delivered a Company Installment Notice and deemed to have elected, in whole or in part, a Company Conversion in accordance with Section 8(b), then the remainder of this Section 8(c) shall apply. The applicable Company Conversion Amount, if any, which remains outstanding as of the applicable Installment Date shall be converted as of the applicable Installment Date by converting on such Installment Date such Company Conversion Amount at the Company Conversion Price and the Company shall (subject to the reduction contemplated by the immediately following sentence and, if applicable, the last sentence of this Section 8(c)), on the applicable Installment Date (1) provided that the Transfer Agent is participating in DTC’s Fast Automated Securities Transfer Program, credit such</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60" w:name="page61"/>
    <w:bookmarkEnd w:id="6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(via reputable overnight courier) to the address as specified in the Conversion Notice, a certificate, registered in the name of the Holder or its designee, for the number of shares of Common Stock to which the Holder shall be entitled; provided that there is no Equity Conditions Failure as of such Installment Date and a Company Conversion is not otherwise prohibited under any other provision of this Note. The number of shares of Common Stock to be delivered upon such Company Conversion shall be reduced by the number of any Pre-Installment Conversion Shares delivered in connection with such Installment Date. Notwithstanding anything herein to the contrary, with respect to any Installment Date other than the Maturity Date, if the number of Pre-Installment Conversion Shares delivered in connection with such Installment Date exceeds the Installment Conversion Shares required to be delivered in connection with such Installment Date, the Company’s obligation to deliver Pre-Installment Conversion Shares in connection with the immediately subsequent Installment Date, if any, shall be reduced by such excess number of shares of Common Stock (which, for purposes of this Section 8, shall be deemed to have been timely and properly delivered as Pre-Installment Conversion Shares for such immediately subsequent Installment Date). Notwithstanding anything herein to the contrary, if the number of Pre-Installment Conversion Shares delivered in connection with the Maturity Date exceeds the Installment Conversion Shares required to be delivered on the Maturity Date, the Holder shall return the excess number of shares of Common Stock delivered in connection with the Maturity Date. If an Event of Default occurs during any period from the delivery of the Company Installment Notice to the Installment Date, then either (i) the Holder shall return any Pre-Installment Conversion Shares delivered in connection with the applicable Installment Date or (ii) the Conversion Amount used to calculate the Event of Default Redemption Price shall be reduced by the product of (x) the Company Conversion Amount applicable to such Installment Date multiplied by (y) the Conversion Share Ratio (as defined below). If there is an Equity Conditions Failure as of such Installment Date or a Company Conversion is not otherwise permitted under any other provision of this Note, then (i) the Holder may, by written notice to the Company, require the Company to redeem in cash all or any part of the Company Conversion Amount as designated by the Holder (the “</w:t>
      </w:r>
      <w:r>
        <w:rPr>
          <w:rFonts w:ascii="Arial" w:cs="Arial" w:eastAsia="Arial" w:hAnsi="Arial"/>
          <w:sz w:val="16"/>
          <w:szCs w:val="16"/>
          <w:b w:val="1"/>
          <w:bCs w:val="1"/>
          <w:color w:val="auto"/>
        </w:rPr>
        <w:t>Designated Redemption Amount</w:t>
      </w:r>
      <w:r>
        <w:rPr>
          <w:rFonts w:ascii="Arial" w:cs="Arial" w:eastAsia="Arial" w:hAnsi="Arial"/>
          <w:sz w:val="16"/>
          <w:szCs w:val="16"/>
          <w:color w:val="auto"/>
        </w:rPr>
        <w:t>”) and the Company shall pay to the Holder within three (3) Trading Days of such Installment Date, by wire transfer of immediately available funds, an amount in cash equal to 125% of such Designated Redemption Amount, and/or (ii) the Company Conversion shall be null and void with respect to all or any part designated by the Holder of the unconverted Company Conversion Amount and the Holder shall be entitled to all the rights of a holder of this Note with respect to such designated part of the Company Conversion Amount; provided, however, the Conversion Price for such designated part of such unconverted Company Conversion Amount shall thereafter be adjusted to equal the lesser of (A) the Company Conversion Price as in effect on the date on which the Holder voided the Company Conversion and (B) the Company Conversion Price that will be in effect on the date on which the Holder delivers a Conversion Notice relating thereto as if such date was an Installment Date. In addition, if any of the Equity</w:t>
      </w: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61" w:name="page62"/>
    <w:bookmarkEnd w:id="61"/>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are not satisfied (or waived in writing by the Holder) on such Installment Date or a Company Conversion is not otherwise permitted under any other provision of this Note, then, at the Holder’s option, either (I) the Holder shall return any Pre-Installment Conversion Shares delivered in connection with the applicable Installment Date or (II) the applicable Designated Redemption Amount shall be reduced by the product of (X) the Company Conversion Amount applicable to such Installment Date multiplied by (Y) the Conversion Share Ratio. If the Company fails to redeem any Designated Redemption Amount by the third (3</w:t>
      </w:r>
      <w:r>
        <w:rPr>
          <w:rFonts w:ascii="Arial" w:cs="Arial" w:eastAsia="Arial" w:hAnsi="Arial"/>
          <w:sz w:val="10"/>
          <w:szCs w:val="10"/>
          <w:color w:val="auto"/>
        </w:rPr>
        <w:t>rd</w:t>
      </w:r>
      <w:r>
        <w:rPr>
          <w:rFonts w:ascii="Arial" w:cs="Arial" w:eastAsia="Arial" w:hAnsi="Arial"/>
          <w:sz w:val="15"/>
          <w:szCs w:val="15"/>
          <w:color w:val="auto"/>
        </w:rPr>
        <w:t>) Trading Day following the applicable Installment Date by payment of such amount on the applicable Installment Date, then the Holder shall have the rights set forth in Section 11(a) as if the Company failed to pay the applicable Company Installment Redemption Price (as defined below) and all other rights under this Note (including, without limitation, such failure constituting an Event of Default described in Section 4(a)(xiii)). Notwithstanding anything to the contrary in this Section 8(c), but subject to Section 3(d), until the Company delivers Common Stock representing the Company Conversion Amount to the Holder, the Company Conversion Amount may be converted by the Holder into Common Stock pursuant to Section 3. In the event that the Holder elects to convert the Company Conversion Amount prior to the applicable Installment Date as set forth in the immediately preceding sentence, the Company Conversion Amount so converted shall be deducted from the Installment Amount(s) relating to the applicable Installment Date(s) as set forth in the applicable Conversion Notice. The Company shall pay any and all taxes that may be payable with respect to the issuance and delivery of any shares of Common Stock in any Company Conversion hereunder. The Company shall not, however, be required to pay any such tax which may be payable in respect of any transfer involved in the issue and delivery of Common Stock in any name other than that of the Holder of this Note.</w:t>
      </w:r>
    </w:p>
    <w:p>
      <w:pPr>
        <w:spacing w:after="0" w:line="27" w:lineRule="exact"/>
        <w:rPr>
          <w:sz w:val="20"/>
          <w:szCs w:val="20"/>
          <w:color w:val="auto"/>
        </w:rPr>
      </w:pPr>
    </w:p>
    <w:p>
      <w:pPr>
        <w:ind w:right="60" w:firstLine="443"/>
        <w:spacing w:after="0" w:line="285" w:lineRule="auto"/>
        <w:tabs>
          <w:tab w:leader="none" w:pos="68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Mechanics of Company Redemption</w:t>
      </w:r>
      <w:r>
        <w:rPr>
          <w:rFonts w:ascii="Arial" w:cs="Arial" w:eastAsia="Arial" w:hAnsi="Arial"/>
          <w:sz w:val="16"/>
          <w:szCs w:val="16"/>
          <w:color w:val="auto"/>
        </w:rPr>
        <w:t>. If the Company elects, or is required to elect, a Company Redemption, in whole or in part, in accordance with Section 8(b), then the Company Redemption Amount, if any, which is to be paid to the Holder on the applicable Installment Date shall be redeemed by the Company on such Installment Date in an amount of cash, and the Company shall pay to the Holder on such Installment Date, by wire transfer of immediately available funds an amount, equal to the applicable Company Redemption Amount (the “</w:t>
      </w:r>
      <w:r>
        <w:rPr>
          <w:rFonts w:ascii="Arial" w:cs="Arial" w:eastAsia="Arial" w:hAnsi="Arial"/>
          <w:sz w:val="16"/>
          <w:szCs w:val="16"/>
          <w:b w:val="1"/>
          <w:bCs w:val="1"/>
          <w:color w:val="auto"/>
        </w:rPr>
        <w:t>Company Installment Redemption Price</w:t>
      </w:r>
      <w:r>
        <w:rPr>
          <w:rFonts w:ascii="Arial" w:cs="Arial" w:eastAsia="Arial" w:hAnsi="Arial"/>
          <w:sz w:val="16"/>
          <w:szCs w:val="16"/>
          <w:color w:val="auto"/>
        </w:rPr>
        <w:t>”). If the Company fails to redeem the applicable Company Redemption Amount on the applicable Installment Date by payment of the Company Installment Redemption Price on such date, then, at the option of the Holder designated in writing to the Company on or prior to such Installment Date (any such designation shall be a “Conversion Notice” for purposes of this Note), the Holder may require the Company to convert all or any part of the Company Redemption Amount at the Company Conversion Price (determined as of the date of such designation as if such date were an Installment Date). Conversions required by this Section 8(d) shall be made in accordance with the provisions of Section 3(c). Notwithstanding anything to the contrary in this Section 8(d), but subject to Section 3(d), until the Company Installment Redemption Price is paid in full, the Company Redemption Amount may be converted, in whole or in part, by the Holder into Common Stock pursuant to Section 3. In the event the Holder elects to convert all or any portion of the Company Redemption Amount prior to the applicable Installment Date as set forth in the immediately preceding sentence, the Company Redemption Amount so converted shall be deducted from the Installment Amounts relating to the applicable Installment Date(s) as set forth in the applicable Conversion Notice. Redemptions required by this Section 8(d) shall be made in accordance with the provisions of Section 11.</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62" w:name="page63"/>
    <w:bookmarkEnd w:id="62"/>
    <w:p>
      <w:pPr>
        <w:ind w:firstLine="443"/>
        <w:spacing w:after="0" w:line="253" w:lineRule="auto"/>
        <w:tabs>
          <w:tab w:leader="none" w:pos="67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Deferred Installment Amount</w:t>
      </w:r>
      <w:r>
        <w:rPr>
          <w:rFonts w:ascii="Arial" w:cs="Arial" w:eastAsia="Arial" w:hAnsi="Arial"/>
          <w:sz w:val="18"/>
          <w:szCs w:val="18"/>
          <w:color w:val="auto"/>
        </w:rPr>
        <w:t>. Notwithstanding any provision of this Section 8 to the contrary, the Holder may, at its option and in its sole discretion, deliver a written notice to the Company no later than the eleventh (11</w:t>
      </w:r>
      <w:r>
        <w:rPr>
          <w:rFonts w:ascii="Arial" w:cs="Arial" w:eastAsia="Arial" w:hAnsi="Arial"/>
          <w:sz w:val="11"/>
          <w:szCs w:val="11"/>
          <w:color w:val="auto"/>
        </w:rPr>
        <w:t>th</w:t>
      </w:r>
      <w:r>
        <w:rPr>
          <w:rFonts w:ascii="Arial" w:cs="Arial" w:eastAsia="Arial" w:hAnsi="Arial"/>
          <w:sz w:val="18"/>
          <w:szCs w:val="18"/>
          <w:color w:val="auto"/>
        </w:rPr>
        <w:t>) Trading Day prior to the applicable Installment Date (the “</w:t>
      </w:r>
      <w:r>
        <w:rPr>
          <w:rFonts w:ascii="Arial" w:cs="Arial" w:eastAsia="Arial" w:hAnsi="Arial"/>
          <w:sz w:val="18"/>
          <w:szCs w:val="18"/>
          <w:b w:val="1"/>
          <w:bCs w:val="1"/>
          <w:color w:val="auto"/>
        </w:rPr>
        <w:t>Installment</w:t>
      </w:r>
      <w:r>
        <w:rPr>
          <w:rFonts w:ascii="Arial" w:cs="Arial" w:eastAsia="Arial" w:hAnsi="Arial"/>
          <w:sz w:val="18"/>
          <w:szCs w:val="18"/>
          <w:color w:val="auto"/>
        </w:rPr>
        <w:t xml:space="preserve"> </w:t>
      </w:r>
      <w:r>
        <w:rPr>
          <w:rFonts w:ascii="Arial" w:cs="Arial" w:eastAsia="Arial" w:hAnsi="Arial"/>
          <w:sz w:val="18"/>
          <w:szCs w:val="18"/>
          <w:b w:val="1"/>
          <w:bCs w:val="1"/>
          <w:color w:val="auto"/>
        </w:rPr>
        <w:t>Notification Deadline Date</w:t>
      </w:r>
      <w:r>
        <w:rPr>
          <w:rFonts w:ascii="Arial" w:cs="Arial" w:eastAsia="Arial" w:hAnsi="Arial"/>
          <w:sz w:val="18"/>
          <w:szCs w:val="18"/>
          <w:color w:val="auto"/>
        </w:rPr>
        <w:t>”) electing to have the payment of all or any portion of an Installment Amount payable on such Installment Date deferred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deferred, the “</w:t>
      </w:r>
      <w:r>
        <w:rPr>
          <w:rFonts w:ascii="Arial" w:cs="Arial" w:eastAsia="Arial" w:hAnsi="Arial"/>
          <w:sz w:val="18"/>
          <w:szCs w:val="18"/>
          <w:b w:val="1"/>
          <w:bCs w:val="1"/>
          <w:color w:val="auto"/>
        </w:rPr>
        <w:t>Deferral Amount</w:t>
      </w:r>
      <w:r>
        <w:rPr>
          <w:rFonts w:ascii="Arial" w:cs="Arial" w:eastAsia="Arial" w:hAnsi="Arial"/>
          <w:sz w:val="18"/>
          <w:szCs w:val="18"/>
          <w:color w:val="auto"/>
        </w:rPr>
        <w:t>”) until any subsequent Installment Date selected by the Holder, in its sole discretion, in which case, the Deferral Amount shall be added to, and become part of, such subsequent Installment Amount and such Deferral Amount shall continue to accrue Interest hereunder. Any notice delivered by the Holder pursuant to this Section 8(d) shall set forth (i) the Deferral Amount and (ii) the date that such Deferral Amount shall now be payable.</w:t>
      </w:r>
    </w:p>
    <w:p>
      <w:pPr>
        <w:spacing w:after="0" w:line="66" w:lineRule="exact"/>
        <w:rPr>
          <w:rFonts w:ascii="Arial" w:cs="Arial" w:eastAsia="Arial" w:hAnsi="Arial"/>
          <w:sz w:val="18"/>
          <w:szCs w:val="18"/>
          <w:color w:val="auto"/>
        </w:rPr>
      </w:pPr>
    </w:p>
    <w:p>
      <w:pPr>
        <w:ind w:firstLine="443"/>
        <w:spacing w:after="0" w:line="284" w:lineRule="auto"/>
        <w:tabs>
          <w:tab w:leader="none" w:pos="65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Additional Installment Amounts</w:t>
      </w:r>
      <w:r>
        <w:rPr>
          <w:rFonts w:ascii="Arial" w:cs="Arial" w:eastAsia="Arial" w:hAnsi="Arial"/>
          <w:sz w:val="16"/>
          <w:szCs w:val="16"/>
          <w:color w:val="auto"/>
        </w:rPr>
        <w:t>. Notwithstanding any provision of this Section 8 to the contrary, following the earlier of (x) the initial Effectiveness Deadline (as defined in the Registration Rights Agreement) and (y) the effective date of the Initial Registration Statement registering the resale of the Required Initial Registration Amount (as defined in the Registration Rights Agreement), no later than the applicable Installment Notification Deadline Date, the Holder may, at its option and in its sole discretion, increase the Installment Amount then in effect with respect to such Installment Date to an amount not to exceed (together with the Installment Amount set forth in the applicable Company Installment Notice) the outstanding principal amount of this Note then outstanding (such additional amount, the “</w:t>
      </w:r>
      <w:r>
        <w:rPr>
          <w:rFonts w:ascii="Arial" w:cs="Arial" w:eastAsia="Arial" w:hAnsi="Arial"/>
          <w:sz w:val="16"/>
          <w:szCs w:val="16"/>
          <w:b w:val="1"/>
          <w:bCs w:val="1"/>
          <w:color w:val="auto"/>
        </w:rPr>
        <w:t>Additional Installment Amount</w:t>
      </w:r>
      <w:r>
        <w:rPr>
          <w:rFonts w:ascii="Arial" w:cs="Arial" w:eastAsia="Arial" w:hAnsi="Arial"/>
          <w:sz w:val="16"/>
          <w:szCs w:val="16"/>
          <w:color w:val="auto"/>
        </w:rPr>
        <w:t>”) by delivery of written notice to the Company on or prior to the Installment Notification Deadline Date (each, an “</w:t>
      </w:r>
      <w:r>
        <w:rPr>
          <w:rFonts w:ascii="Arial" w:cs="Arial" w:eastAsia="Arial" w:hAnsi="Arial"/>
          <w:sz w:val="16"/>
          <w:szCs w:val="16"/>
          <w:b w:val="1"/>
          <w:bCs w:val="1"/>
          <w:color w:val="auto"/>
        </w:rPr>
        <w:t>Additional Installment Notice</w:t>
      </w:r>
      <w:r>
        <w:rPr>
          <w:rFonts w:ascii="Arial" w:cs="Arial" w:eastAsia="Arial" w:hAnsi="Arial"/>
          <w:sz w:val="16"/>
          <w:szCs w:val="16"/>
          <w:color w:val="auto"/>
        </w:rPr>
        <w:t>”, and such date, the “</w:t>
      </w:r>
      <w:r>
        <w:rPr>
          <w:rFonts w:ascii="Arial" w:cs="Arial" w:eastAsia="Arial" w:hAnsi="Arial"/>
          <w:sz w:val="16"/>
          <w:szCs w:val="16"/>
          <w:b w:val="1"/>
          <w:bCs w:val="1"/>
          <w:color w:val="auto"/>
        </w:rPr>
        <w:t>Additional Installment Notice Date</w:t>
      </w:r>
      <w:r>
        <w:rPr>
          <w:rFonts w:ascii="Arial" w:cs="Arial" w:eastAsia="Arial" w:hAnsi="Arial"/>
          <w:sz w:val="16"/>
          <w:szCs w:val="16"/>
          <w:color w:val="auto"/>
        </w:rPr>
        <w:t>”) setting forth (i) such Additional Installment Amount and (ii) specifying the extent one or more Installment Amount(s) related to such other Installment Date(s) shall be reduced as a result therefrom. In each Company Installment Notice, the Company shall elect to have any Additional Installment Amounts with respect to the applicable Installment Date converted into Common Stock pursuant to a Company Conversion hereunder (it being understood and agreed that the delivery of a valid Additional Installment Notice must include a representation that, after giving effect to the conversion of such Additional Installment Amount, the Holder will not have direct or indirect beneficial ownership of a number of shares of Common Stock which exceeds the Maximum Percentage as of the date of such Additional Installment Notice and, to the extent the Company delivers a notice to the Holder that any of the Equity Conditions have not been met, all such Equity Conditions shall be deemed to be automatically waived by such Holder solely with respect to the shares of Common Stock to be delivered in connection with such Additional Installment Notice unless the Holder delivers a subsequent written notice to the Company electing to revoke, cancel or terminate such Additional Installment Notice (in which case such Additional Installment Notice shall be null and void and in no further force and effect and, if applicable, the Holder shall promptly return such number of shares of Common Stock previously delivered to the Holder in connection with such Additional Installment Notice)) or shall</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80" w:right="259" w:bottom="1440" w:gutter="0" w:footer="0" w:header="0"/>
        </w:sectPr>
      </w:pPr>
    </w:p>
    <w:bookmarkStart w:id="63" w:name="page64"/>
    <w:bookmarkEnd w:id="63"/>
    <w:p>
      <w:pPr>
        <w:ind w:left="3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 to pay such Additional Installment Amounts for such Installment Date in a Company Redemption; provided, that the failure to deliver a Company Installment Notice with respect to an Installment Date shall be deemed to be an election by the Company to effect a Company Conversion with respect to any Additional Installment Amounts with respect to such Installment Date and will not result in a default hereunder. If the Company elects to pay Additional Installment Amounts in cash, the applicable Company Redemption Amount in effect for such Installment Date shall be deemed to have been automatically increased by an amount equal to such Additional Installment Amount for all purposes hereunder. If the Company elects or is deemed to have elected to cause the Additional Installment Amounts to be converted into Common Stock in a Company Conversion, from and after each Additional Installment Notice Date, the applicable Company Conversion Amount in effect for such Installment Date shall be deemed to have been automatically increased by an amount equal to such Additional Installment Amount for all purposes hereunder. Notwithstanding anything herein to the contrary, during the period commencing on an Installment Date (a “</w:t>
      </w:r>
      <w:r>
        <w:rPr>
          <w:rFonts w:ascii="Arial" w:cs="Arial" w:eastAsia="Arial" w:hAnsi="Arial"/>
          <w:sz w:val="16"/>
          <w:szCs w:val="16"/>
          <w:b w:val="1"/>
          <w:bCs w:val="1"/>
          <w:color w:val="auto"/>
        </w:rPr>
        <w:t>Current Installment Date</w:t>
      </w:r>
      <w:r>
        <w:rPr>
          <w:rFonts w:ascii="Arial" w:cs="Arial" w:eastAsia="Arial" w:hAnsi="Arial"/>
          <w:sz w:val="16"/>
          <w:szCs w:val="16"/>
          <w:color w:val="auto"/>
        </w:rPr>
        <w:t xml:space="preserve">”) and ending on the Trading Day immediately prior to the Installment Notice Due Date with respect to the next Installment Date, at the option of the Holder, at one or more times, the Holder may convert other Installment Amounts, in whole or in part, at the Company Conversion Price of such Current Installment Date in accordance with the conversion procedures set forth in Section 3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 Notwithstanding the foregoing, with respect to any Installment Date, the Holder may not elect to increase any Installment Amount or effect any conversion of any other Installment Amount pursuant to this Section 8(f), in the aggregate, in excess of the sum of three</w:t>
      </w:r>
    </w:p>
    <w:p>
      <w:pPr>
        <w:spacing w:after="0" w:line="5" w:lineRule="exact"/>
        <w:rPr>
          <w:sz w:val="20"/>
          <w:szCs w:val="20"/>
          <w:color w:val="auto"/>
        </w:rPr>
      </w:pPr>
    </w:p>
    <w:p>
      <w:pPr>
        <w:ind w:left="380" w:right="300" w:firstLine="4"/>
        <w:spacing w:after="0" w:line="323" w:lineRule="auto"/>
        <w:tabs>
          <w:tab w:leader="none" w:pos="62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Installment Amounts pursuant to this Section 8(f) and in any twelve (12) month period, the total amount of all Additional Installment Amounts and other Installment Amounts converted pursuant to this Section 8(f) shall not exceed the sum of seven (7) Installment Amounts.</w:t>
      </w:r>
    </w:p>
    <w:p>
      <w:pPr>
        <w:spacing w:after="0" w:line="93" w:lineRule="exact"/>
        <w:rPr>
          <w:sz w:val="20"/>
          <w:szCs w:val="20"/>
          <w:color w:val="auto"/>
        </w:rPr>
      </w:pPr>
    </w:p>
    <w:p>
      <w:pPr>
        <w:ind w:left="-80" w:right="40" w:firstLine="464"/>
        <w:spacing w:after="0" w:line="287" w:lineRule="auto"/>
        <w:tabs>
          <w:tab w:leader="none" w:pos="5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the Company (i) shall not increase the par value of any shares of Common Stock receivable upon conversion of this Note above the Conversion Price then in effect, (ii) shall take all such actions as may be reasonably necessary or appropriate in order that the Company may validly and legally issue fully paid and nonassessable shares of Common Stock upon the conversion of this Note, and (iii) shall, so long as any of the Notes are outstanding, take all action necessary to reserve and keep available out of its authorized and unissued shares of Common Stock, solely for the purpose of effecting the conversion of the Notes, the maximum number of shares of Common Stock as shall from time to time be necessary to effect the conversion of the Notes then outstanding (without regard to any limitations on conversion).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320" w:top="280" w:right="299" w:bottom="1440" w:gutter="0" w:footer="0" w:header="0"/>
        </w:sectPr>
      </w:pPr>
    </w:p>
    <w:bookmarkStart w:id="64" w:name="page65"/>
    <w:bookmarkEnd w:id="64"/>
    <w:p>
      <w:pPr>
        <w:ind w:left="260" w:hanging="256"/>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RESERVATION OF AUTHORIZED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3" w:lineRule="auto"/>
        <w:tabs>
          <w:tab w:leader="none" w:pos="677"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Reservation</w:t>
      </w:r>
      <w:r>
        <w:rPr>
          <w:rFonts w:ascii="Arial" w:cs="Arial" w:eastAsia="Arial" w:hAnsi="Arial"/>
          <w:sz w:val="16"/>
          <w:szCs w:val="16"/>
          <w:color w:val="auto"/>
        </w:rPr>
        <w:t>. The Company shall initially reserve out of its authorized and unissued Common Stock a number of shares of Common Stock equal to the sum of (i) 120% of the maximum number of Conversion Shares issued and issuable pursuant to the Notes (determined without taking into account any limitations on the conversion of the Notes set forth therein and assuming that the Notes are convertible at the initial Conversion Price and all Additional Notes issuable pursuant to the Securities Purchase Agreement have been issued), (ii) the maximum number of Interest Shares (as defined in the Securities Purchase Agreement) issued and issuable pursuant to the terms of the Notes from the Initial Closing Date through the maturity date of the Additional Notes (determined without taking into account any limitations on the conversion of the Notes set forth therein and assuming that the Notes are convertible at the initial Conversion Price and all Additional Notes issuable pursuant to the Securities Purchase Agreement have been issued) and (iii) the maximum number of Warrant Shares issued and issuable pursuant to the Warrants, in each case, as of the Trading Day (as defined in the Warrants) immediately preceding the applicable date of determination (without taking into account any limitations on the exercise of the Warrants set forth therein). So long as any of the Notes are outstanding, the Company shall take all action reasonably necessary (including, without limitation increasing any such reserve, as necessary, prior to the consummation of any Subsequent Placement (as defined in the Securities Purchase Agreement) to reserve and keep available out of its authorized and unissued Common Stock, equal to the sum of (i) the maximum number of Conversion Shares issued and issuable pursuant to the Notes (determined without taking into account any limitations on the conversion of the Notes set forth therein and assuming that the Notes are convertible at the Conversion Price and, if prior to the Additional Closing Date, all Additional Notes issuable pursuant to the Securities Purchase Agreement have been issued), (ii) 120% of the maximum number of Interest Shares (as defined in the Securities Purchase Agreement) issued and issuable pursuant to the terms of the Notes from the Initial Closing Date through the maturity date of the Additional Notes (determined without taking into account any limitations on the conversion of the Notes set forth therein and assuming that the Notes are convertible at the Conversion Price and, if prior to the Additional Closing Date, all Additional Notes issuable pursuant to the Securities Purchase Agreement have been issued) and (iii) the maximum number of Warrant Shares issued and issuable pursuant to the Warrants, in each case, as of the Trading Day (as defined in the Warrants) immediately preceding the applicable date of determination (without taking into account any limitations on the exercise of the Warrants set forth therein) (collectively,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The initial number of shares of Common Stock reserved for conversions of the Notes and each increase in the number of shares so</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shall be allocated pro rata among the holders of the Notes based on the original principal amount of the Notes held by each holder on the Initial Closing Date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65" w:name="page66"/>
    <w:bookmarkEnd w:id="65"/>
    <w:p>
      <w:pPr>
        <w:ind w:right="20" w:firstLine="443"/>
        <w:spacing w:after="0" w:line="309" w:lineRule="auto"/>
        <w:tabs>
          <w:tab w:leader="none" w:pos="687"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Insufficient Authorized Shares</w:t>
      </w:r>
      <w:r>
        <w:rPr>
          <w:rFonts w:ascii="Arial" w:cs="Arial" w:eastAsia="Arial" w:hAnsi="Arial"/>
          <w:sz w:val="15"/>
          <w:szCs w:val="15"/>
          <w:color w:val="auto"/>
        </w:rPr>
        <w:t>. If, notwithstanding Section 10(a), and not in limitation thereof, at any time while any of the Notes remain outstanding the Company determines that it does not have a sufficient number of authorized and unreserved shares of Common Stock to satisfy its obligation under Section 10(a) (an “</w:t>
      </w:r>
      <w:r>
        <w:rPr>
          <w:rFonts w:ascii="Arial" w:cs="Arial" w:eastAsia="Arial" w:hAnsi="Arial"/>
          <w:sz w:val="15"/>
          <w:szCs w:val="15"/>
          <w:b w:val="1"/>
          <w:bCs w:val="1"/>
          <w:color w:val="auto"/>
        </w:rPr>
        <w:t>Authorized Share Failure</w:t>
      </w:r>
      <w:r>
        <w:rPr>
          <w:rFonts w:ascii="Arial" w:cs="Arial" w:eastAsia="Arial" w:hAnsi="Arial"/>
          <w:sz w:val="15"/>
          <w:szCs w:val="15"/>
          <w:color w:val="auto"/>
        </w:rPr>
        <w:t>”), then the Company shall use reasonable best efforts to take all action necessary to increase the Company’s authorized shares of Common Stock to an amount sufficient to allow the Company to comply with Section 10(a).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Nothing contained in Section 10(a) or this Section 10(b) shall limit any obligations of the Company under any provision of the Securities Purchase Agreement</w:t>
      </w:r>
    </w:p>
    <w:p>
      <w:pPr>
        <w:spacing w:after="0" w:line="108" w:lineRule="exact"/>
        <w:rPr>
          <w:rFonts w:ascii="Arial" w:cs="Arial" w:eastAsia="Arial" w:hAnsi="Arial"/>
          <w:sz w:val="15"/>
          <w:szCs w:val="15"/>
          <w:color w:val="auto"/>
        </w:rPr>
      </w:pPr>
    </w:p>
    <w:p>
      <w:pPr>
        <w:ind w:left="260" w:hanging="256"/>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HOLDER’S REDEMPTIONS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5" w:lineRule="auto"/>
        <w:tabs>
          <w:tab w:leader="none" w:pos="677"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Mechanics</w:t>
      </w:r>
      <w:r>
        <w:rPr>
          <w:rFonts w:ascii="Arial" w:cs="Arial" w:eastAsia="Arial" w:hAnsi="Arial"/>
          <w:sz w:val="16"/>
          <w:szCs w:val="16"/>
          <w:color w:val="auto"/>
        </w:rPr>
        <w:t>. The Company shall deliver the applicable Event of Default Redemption Price to the Holder in cash within five (5) Business Days after the Company’s receipt of the Holder’s Event of Default Redemption Notice (the “</w:t>
      </w:r>
      <w:r>
        <w:rPr>
          <w:rFonts w:ascii="Arial" w:cs="Arial" w:eastAsia="Arial" w:hAnsi="Arial"/>
          <w:sz w:val="16"/>
          <w:szCs w:val="16"/>
          <w:b w:val="1"/>
          <w:bCs w:val="1"/>
          <w:color w:val="auto"/>
        </w:rPr>
        <w:t>Event of Default Redemption Date</w:t>
      </w:r>
      <w:r>
        <w:rPr>
          <w:rFonts w:ascii="Arial" w:cs="Arial" w:eastAsia="Arial" w:hAnsi="Arial"/>
          <w:sz w:val="16"/>
          <w:szCs w:val="16"/>
          <w:color w:val="auto"/>
        </w:rPr>
        <w:t>”).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Installment Redemption Price to the Holder in cash on the applicable Installment Date. The Company shall deliver the applicable Sale Redemption Price to the Holder in cash on the applicable Sale Redemption Date. The Company shall deliver the applicable Company Optional Redemption Price to the Holder in cash on the applicable Company Optional Redemption Date. In the event of a redemption of less than all of the Conversion Amount of this Note, the Company shall promptly cause to be issued and delivered to the Holder a new Note (in accordance with Section 19(d))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has not been paid. Upon the Company’s receipt of such notice, (x) the applicable Redemption Notice shall be null and void with respect to such Conversion Amount, (y) the Company shall immediately return this Note, or issue a new Note (in accordance with Section 19(d)), to the Holder, and in each case the principal amount of this Note or such new Note (as the case may be) shall be increased by an amount equal to the difference between (1) the applicable Redemption Price minus (2) the Principal portion of the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80" w:right="279" w:bottom="1440" w:gutter="0" w:footer="0" w:header="0"/>
        </w:sectPr>
      </w:pPr>
    </w:p>
    <w:bookmarkStart w:id="66" w:name="page67"/>
    <w:bookmarkEnd w:id="66"/>
    <w:p>
      <w:pPr>
        <w:ind w:left="42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and (B) 85% of the lowest Closing Bid Price of the Common Stock during the period beginning on and including the date on which the applicable Redemption Notice is delivered and ending on and including the date on which the applicable Redemption Notice is voided.</w:t>
      </w:r>
    </w:p>
    <w:p>
      <w:pPr>
        <w:spacing w:after="0" w:line="62" w:lineRule="exact"/>
        <w:rPr>
          <w:sz w:val="20"/>
          <w:szCs w:val="20"/>
          <w:color w:val="auto"/>
        </w:rPr>
      </w:pPr>
    </w:p>
    <w:p>
      <w:pPr>
        <w:ind w:left="420" w:firstLine="443"/>
        <w:spacing w:after="0" w:line="301" w:lineRule="auto"/>
        <w:tabs>
          <w:tab w:leader="none" w:pos="1107" w:val="left"/>
        </w:tabs>
        <w:numPr>
          <w:ilvl w:val="1"/>
          <w:numId w:val="61"/>
        </w:numPr>
        <w:rPr>
          <w:rFonts w:ascii="Arial" w:cs="Arial" w:eastAsia="Arial" w:hAnsi="Arial"/>
          <w:sz w:val="15"/>
          <w:szCs w:val="15"/>
          <w:color w:val="auto"/>
        </w:rPr>
      </w:pPr>
      <w:r>
        <w:rPr>
          <w:rFonts w:ascii="Arial" w:cs="Arial" w:eastAsia="Arial" w:hAnsi="Arial"/>
          <w:sz w:val="15"/>
          <w:szCs w:val="15"/>
          <w:u w:val="single" w:color="auto"/>
          <w:color w:val="auto"/>
        </w:rPr>
        <w:t>Redemption by Other Holders</w:t>
      </w:r>
      <w:r>
        <w:rPr>
          <w:rFonts w:ascii="Arial" w:cs="Arial" w:eastAsia="Arial" w:hAnsi="Arial"/>
          <w:sz w:val="15"/>
          <w:szCs w:val="15"/>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Arial" w:cs="Arial" w:eastAsia="Arial" w:hAnsi="Arial"/>
          <w:sz w:val="15"/>
          <w:szCs w:val="15"/>
          <w:b w:val="1"/>
          <w:bCs w:val="1"/>
          <w:color w:val="auto"/>
        </w:rPr>
        <w:t>Other Redemption</w:t>
      </w:r>
      <w:r>
        <w:rPr>
          <w:rFonts w:ascii="Arial" w:cs="Arial" w:eastAsia="Arial" w:hAnsi="Arial"/>
          <w:sz w:val="15"/>
          <w:szCs w:val="15"/>
          <w:color w:val="auto"/>
        </w:rPr>
        <w:t xml:space="preserve"> </w:t>
      </w:r>
      <w:r>
        <w:rPr>
          <w:rFonts w:ascii="Arial" w:cs="Arial" w:eastAsia="Arial" w:hAnsi="Arial"/>
          <w:sz w:val="15"/>
          <w:szCs w:val="15"/>
          <w:b w:val="1"/>
          <w:bCs w:val="1"/>
          <w:color w:val="auto"/>
        </w:rPr>
        <w:t>Notice</w:t>
      </w:r>
      <w:r>
        <w:rPr>
          <w:rFonts w:ascii="Arial" w:cs="Arial" w:eastAsia="Arial" w:hAnsi="Arial"/>
          <w:sz w:val="15"/>
          <w:szCs w:val="15"/>
          <w:color w:val="auto"/>
        </w:rPr>
        <w:t>”), the Company shall immediately, but no later than one (1) Business Day of its receipt thereof, forward to the Holder by facsimile a copy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notice. If the Company receives a Redemption Notice and one or more Other Redemption Notices, during the seven (7) Business Day period beginning on and including the date which is three (3) Business Days prior to the Company’s receipt of the Holder’s applicable Redemption Notice and ending on and including the date which is three (3) Business Days after the Company’s receipt of the Holder’s applicable Redemption Notice and the Company is unable to redeem all principal, interest and other amounts designated in such Redemption Notice and such Other Redemption Notices received during such seven</w:t>
      </w:r>
    </w:p>
    <w:p>
      <w:pPr>
        <w:spacing w:after="0" w:line="4" w:lineRule="exact"/>
        <w:rPr>
          <w:rFonts w:ascii="Arial" w:cs="Arial" w:eastAsia="Arial" w:hAnsi="Arial"/>
          <w:sz w:val="15"/>
          <w:szCs w:val="15"/>
          <w:color w:val="auto"/>
        </w:rPr>
      </w:pPr>
    </w:p>
    <w:p>
      <w:pPr>
        <w:ind w:left="420" w:right="120" w:firstLine="4"/>
        <w:spacing w:after="0" w:line="255"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44" w:lineRule="exact"/>
        <w:rPr>
          <w:sz w:val="20"/>
          <w:szCs w:val="20"/>
          <w:color w:val="auto"/>
        </w:rPr>
      </w:pPr>
    </w:p>
    <w:p>
      <w:pPr>
        <w:ind w:left="-40" w:right="380" w:firstLine="464"/>
        <w:spacing w:after="0" w:line="268"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Until all of the Notes have been converted, redeemed or otherwise satisfied in accordance with their terms:</w:t>
      </w:r>
    </w:p>
    <w:p>
      <w:pPr>
        <w:spacing w:after="0" w:line="90" w:lineRule="exact"/>
        <w:rPr>
          <w:rFonts w:ascii="Arial" w:cs="Arial" w:eastAsia="Arial" w:hAnsi="Arial"/>
          <w:sz w:val="18"/>
          <w:szCs w:val="18"/>
          <w:color w:val="auto"/>
        </w:rPr>
      </w:pPr>
    </w:p>
    <w:p>
      <w:pPr>
        <w:ind w:left="420" w:right="380" w:firstLine="443"/>
        <w:spacing w:after="0" w:line="268" w:lineRule="auto"/>
        <w:tabs>
          <w:tab w:leader="none" w:pos="109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xml:space="preserve">. All payments due under this Note (a)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Notes and (b) shall be senior to all other Indebtedness of the Company and its Subsidiaries (other than Permitted Senior Indebtedness).</w:t>
      </w:r>
    </w:p>
    <w:p>
      <w:pPr>
        <w:spacing w:after="0" w:line="50" w:lineRule="exact"/>
        <w:rPr>
          <w:rFonts w:ascii="Arial" w:cs="Arial" w:eastAsia="Arial" w:hAnsi="Arial"/>
          <w:sz w:val="18"/>
          <w:szCs w:val="18"/>
          <w:color w:val="auto"/>
        </w:rPr>
      </w:pPr>
    </w:p>
    <w:p>
      <w:pPr>
        <w:ind w:left="420" w:right="180" w:firstLine="443"/>
        <w:spacing w:after="0" w:line="259" w:lineRule="auto"/>
        <w:tabs>
          <w:tab w:leader="none" w:pos="110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Permitted Indebtedness).</w:t>
      </w:r>
    </w:p>
    <w:p>
      <w:pPr>
        <w:spacing w:after="0" w:line="59" w:lineRule="exact"/>
        <w:rPr>
          <w:rFonts w:ascii="Arial" w:cs="Arial" w:eastAsia="Arial" w:hAnsi="Arial"/>
          <w:sz w:val="18"/>
          <w:szCs w:val="18"/>
          <w:color w:val="auto"/>
        </w:rPr>
      </w:pPr>
    </w:p>
    <w:p>
      <w:pPr>
        <w:jc w:val="both"/>
        <w:ind w:left="420" w:right="140" w:firstLine="443"/>
        <w:spacing w:after="0" w:line="306" w:lineRule="auto"/>
        <w:tabs>
          <w:tab w:leader="none" w:pos="109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Existence of Liens</w:t>
      </w:r>
      <w:r>
        <w:rPr>
          <w:rFonts w:ascii="Arial" w:cs="Arial" w:eastAsia="Arial" w:hAnsi="Arial"/>
          <w:sz w:val="16"/>
          <w:szCs w:val="16"/>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6"/>
          <w:szCs w:val="16"/>
          <w:b w:val="1"/>
          <w:bCs w:val="1"/>
          <w:color w:val="auto"/>
        </w:rPr>
        <w:t>Liens</w:t>
      </w:r>
      <w:r>
        <w:rPr>
          <w:rFonts w:ascii="Arial" w:cs="Arial" w:eastAsia="Arial" w:hAnsi="Arial"/>
          <w:sz w:val="16"/>
          <w:szCs w:val="16"/>
          <w:color w:val="auto"/>
        </w:rPr>
        <w:t>”) other than Permitted Liens.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80" w:top="280" w:right="279" w:bottom="1440" w:gutter="0" w:footer="0" w:header="0"/>
        </w:sectPr>
      </w:pPr>
    </w:p>
    <w:bookmarkStart w:id="67" w:name="page68"/>
    <w:bookmarkEnd w:id="67"/>
    <w:p>
      <w:pPr>
        <w:ind w:firstLine="443"/>
        <w:spacing w:after="0" w:line="291"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Payments</w:t>
      </w:r>
      <w:r>
        <w:rPr>
          <w:rFonts w:ascii="Arial" w:cs="Arial" w:eastAsia="Arial" w:hAnsi="Arial"/>
          <w:sz w:val="16"/>
          <w:szCs w:val="16"/>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Permitted Senior Indebtedness),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39" w:lineRule="exact"/>
        <w:rPr>
          <w:rFonts w:ascii="Arial" w:cs="Arial" w:eastAsia="Arial" w:hAnsi="Arial"/>
          <w:sz w:val="16"/>
          <w:szCs w:val="16"/>
          <w:color w:val="auto"/>
        </w:rPr>
      </w:pPr>
    </w:p>
    <w:p>
      <w:pPr>
        <w:ind w:right="80" w:firstLine="443"/>
        <w:spacing w:after="0" w:line="268" w:lineRule="auto"/>
        <w:tabs>
          <w:tab w:leader="none" w:pos="67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Restriction on Redemption and Cash Dividends</w:t>
      </w:r>
      <w:r>
        <w:rPr>
          <w:rFonts w:ascii="Arial" w:cs="Arial" w:eastAsia="Arial" w:hAnsi="Arial"/>
          <w:sz w:val="18"/>
          <w:szCs w:val="18"/>
          <w:color w:val="auto"/>
        </w:rPr>
        <w:t>. The Company shall not, and the Company shall cause each of its Subsidiaries to not, directly or indirectly, redeem, repurchase or declare or pay any cash dividend or distribution on any of its capital stock.</w:t>
      </w:r>
    </w:p>
    <w:p>
      <w:pPr>
        <w:spacing w:after="0" w:line="50" w:lineRule="exact"/>
        <w:rPr>
          <w:rFonts w:ascii="Arial" w:cs="Arial" w:eastAsia="Arial" w:hAnsi="Arial"/>
          <w:sz w:val="18"/>
          <w:szCs w:val="18"/>
          <w:color w:val="auto"/>
        </w:rPr>
      </w:pPr>
    </w:p>
    <w:p>
      <w:pPr>
        <w:ind w:right="40" w:firstLine="443"/>
        <w:spacing w:after="0" w:line="294" w:lineRule="auto"/>
        <w:tabs>
          <w:tab w:leader="none" w:pos="65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Restriction on Transfer of Assets</w:t>
      </w:r>
      <w:r>
        <w:rPr>
          <w:rFonts w:ascii="Arial" w:cs="Arial" w:eastAsia="Arial" w:hAnsi="Arial"/>
          <w:sz w:val="16"/>
          <w:szCs w:val="16"/>
          <w:color w:val="auto"/>
        </w:rPr>
        <w:t>. The Company shall not, and the Company shall cause each of its Subsidiaries to not, directly or indirectly, sell, lease, assign, transfer, spin-off, split-off, close, convey or otherwise dispose of any assets or rights of the Company or any Subsidiary owned or hereafter acquired whether in a single transaction or a series of related transactions, other than (i) sales, leases, assignments, transfers, conveyances and other dispositions of such assets or rights by the Company and its Subsidiaries that, in the aggregate, do not have a fair market value in excess of $50,000,000 in any twelve (12) month period and (ii) sales of inventory and licensing in the ordinary course of business.</w:t>
      </w:r>
    </w:p>
    <w:p>
      <w:pPr>
        <w:spacing w:after="0" w:line="34" w:lineRule="exact"/>
        <w:rPr>
          <w:rFonts w:ascii="Arial" w:cs="Arial" w:eastAsia="Arial" w:hAnsi="Arial"/>
          <w:sz w:val="16"/>
          <w:szCs w:val="16"/>
          <w:color w:val="auto"/>
        </w:rPr>
      </w:pPr>
    </w:p>
    <w:p>
      <w:pPr>
        <w:ind w:right="100" w:firstLine="443"/>
        <w:spacing w:after="0" w:line="332"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Maturity of Indebtedness</w:t>
      </w:r>
      <w:r>
        <w:rPr>
          <w:rFonts w:ascii="Arial" w:cs="Arial" w:eastAsia="Arial" w:hAnsi="Arial"/>
          <w:sz w:val="16"/>
          <w:szCs w:val="16"/>
          <w:color w:val="auto"/>
        </w:rPr>
        <w:t>. The Company shall not, and the Company shall cause each of its Subsidiaries to not, directly or indirectly, permit any Indebtedness of the Company or any of the Subsidiaries to mature or accelerate prior to the Maturity Date (other than Permitted Senior Indebtedness).</w:t>
      </w:r>
    </w:p>
    <w:p>
      <w:pPr>
        <w:spacing w:after="0" w:line="4" w:lineRule="exact"/>
        <w:rPr>
          <w:rFonts w:ascii="Arial" w:cs="Arial" w:eastAsia="Arial" w:hAnsi="Arial"/>
          <w:sz w:val="16"/>
          <w:szCs w:val="16"/>
          <w:color w:val="auto"/>
        </w:rPr>
      </w:pPr>
    </w:p>
    <w:p>
      <w:pPr>
        <w:jc w:val="both"/>
        <w:ind w:right="20" w:firstLine="443"/>
        <w:spacing w:after="0" w:line="256"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Company shall not, and the Company shall cause each of its Subsidiaries to not, directly or indirectly, engage in any material line of business substantially different from those lines of business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w:t>
      </w:r>
    </w:p>
    <w:p>
      <w:pPr>
        <w:spacing w:after="0" w:line="62" w:lineRule="exact"/>
        <w:rPr>
          <w:rFonts w:ascii="Arial" w:cs="Arial" w:eastAsia="Arial" w:hAnsi="Arial"/>
          <w:sz w:val="18"/>
          <w:szCs w:val="18"/>
          <w:color w:val="auto"/>
        </w:rPr>
      </w:pPr>
    </w:p>
    <w:p>
      <w:pPr>
        <w:ind w:firstLine="443"/>
        <w:spacing w:after="0" w:line="298" w:lineRule="auto"/>
        <w:tabs>
          <w:tab w:leader="none" w:pos="64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where the failure to be so qualified would not result in a Material Adverse Event (as defined in the Securities Purchase Agreement).</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700" w:top="280" w:right="299" w:bottom="1440" w:gutter="0" w:footer="0" w:header="0"/>
        </w:sectPr>
      </w:pPr>
    </w:p>
    <w:bookmarkStart w:id="68" w:name="page69"/>
    <w:bookmarkEnd w:id="68"/>
    <w:p>
      <w:pPr>
        <w:jc w:val="both"/>
        <w:ind w:left="452" w:right="20" w:firstLine="443"/>
        <w:spacing w:after="0" w:line="298" w:lineRule="auto"/>
        <w:tabs>
          <w:tab w:leader="none" w:pos="1100"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Maintenance of Properties, Etc.</w:t>
      </w:r>
      <w:r>
        <w:rPr>
          <w:rFonts w:ascii="Arial" w:cs="Arial" w:eastAsia="Arial" w:hAnsi="Arial"/>
          <w:sz w:val="16"/>
          <w:szCs w:val="16"/>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in all material respects, and cause each of its Subsidiaries to comply in all material respects, at all times with the provisions of all leases to which it is a party as lessee or under which it occupies property, so as to prevent any material loss or forfeiture thereof or thereunder.</w:t>
      </w:r>
    </w:p>
    <w:p>
      <w:pPr>
        <w:spacing w:after="0" w:line="31" w:lineRule="exact"/>
        <w:rPr>
          <w:rFonts w:ascii="Arial" w:cs="Arial" w:eastAsia="Arial" w:hAnsi="Arial"/>
          <w:sz w:val="16"/>
          <w:szCs w:val="16"/>
          <w:color w:val="auto"/>
        </w:rPr>
      </w:pPr>
    </w:p>
    <w:p>
      <w:pPr>
        <w:ind w:left="452" w:right="40" w:firstLine="443"/>
        <w:spacing w:after="0" w:line="255" w:lineRule="auto"/>
        <w:tabs>
          <w:tab w:leader="none" w:pos="1139"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42" w:lineRule="exact"/>
        <w:rPr>
          <w:rFonts w:ascii="Arial" w:cs="Arial" w:eastAsia="Arial" w:hAnsi="Arial"/>
          <w:sz w:val="18"/>
          <w:szCs w:val="18"/>
          <w:color w:val="auto"/>
        </w:rPr>
      </w:pPr>
    </w:p>
    <w:p>
      <w:pPr>
        <w:ind w:left="-8" w:firstLine="464"/>
        <w:spacing w:after="0" w:line="282" w:lineRule="auto"/>
        <w:tabs>
          <w:tab w:leader="none" w:pos="712"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Company Optional Redemption</w:t>
      </w:r>
      <w:r>
        <w:rPr>
          <w:rFonts w:ascii="Arial" w:cs="Arial" w:eastAsia="Arial" w:hAnsi="Arial"/>
          <w:sz w:val="16"/>
          <w:szCs w:val="16"/>
          <w:color w:val="auto"/>
        </w:rPr>
        <w:t>. If at any time after the first anniversary of the Issuance Date, (i) the Closing Sale Price of the Common Stock listed on the Principal Market exceeds $9.70 (as adjusted for stock splits, recapitalizations and similar events) for thirty (30) consecutive Trading Days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Optional Redemption Measuring Period</w:t>
      </w:r>
      <w:r>
        <w:rPr>
          <w:rFonts w:ascii="Arial" w:cs="Arial" w:eastAsia="Arial" w:hAnsi="Arial"/>
          <w:sz w:val="16"/>
          <w:szCs w:val="16"/>
          <w:color w:val="auto"/>
        </w:rPr>
        <w:t>”), and (ii) no Equity Conditions Failure then exists, the Company shall have the right to redeem all, or any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Amount then remaining under this Note (the “</w:t>
      </w:r>
      <w:r>
        <w:rPr>
          <w:rFonts w:ascii="Arial" w:cs="Arial" w:eastAsia="Arial" w:hAnsi="Arial"/>
          <w:sz w:val="16"/>
          <w:szCs w:val="16"/>
          <w:b w:val="1"/>
          <w:bCs w:val="1"/>
          <w:color w:val="auto"/>
        </w:rPr>
        <w:t>Company Optional Redemption Amount</w:t>
      </w:r>
      <w:r>
        <w:rPr>
          <w:rFonts w:ascii="Arial" w:cs="Arial" w:eastAsia="Arial" w:hAnsi="Arial"/>
          <w:sz w:val="16"/>
          <w:szCs w:val="16"/>
          <w:color w:val="auto"/>
        </w:rPr>
        <w:t>”) on the Company Optional Redemption Date (as defined below) (a “</w:t>
      </w:r>
      <w:r>
        <w:rPr>
          <w:rFonts w:ascii="Arial" w:cs="Arial" w:eastAsia="Arial" w:hAnsi="Arial"/>
          <w:sz w:val="16"/>
          <w:szCs w:val="16"/>
          <w:b w:val="1"/>
          <w:bCs w:val="1"/>
          <w:color w:val="auto"/>
        </w:rPr>
        <w:t>Company Optional Redemption</w:t>
      </w:r>
      <w:r>
        <w:rPr>
          <w:rFonts w:ascii="Arial" w:cs="Arial" w:eastAsia="Arial" w:hAnsi="Arial"/>
          <w:sz w:val="16"/>
          <w:szCs w:val="16"/>
          <w:color w:val="auto"/>
        </w:rPr>
        <w:t>”). The portion of this Note subject to redemption pursuant to this Section 14 shall be redeemed by the Company in cash at a price (the “</w:t>
      </w:r>
      <w:r>
        <w:rPr>
          <w:rFonts w:ascii="Arial" w:cs="Arial" w:eastAsia="Arial" w:hAnsi="Arial"/>
          <w:sz w:val="16"/>
          <w:szCs w:val="16"/>
          <w:b w:val="1"/>
          <w:bCs w:val="1"/>
          <w:color w:val="auto"/>
        </w:rPr>
        <w:t>Company Optional Redemption Price</w:t>
      </w:r>
      <w:r>
        <w:rPr>
          <w:rFonts w:ascii="Arial" w:cs="Arial" w:eastAsia="Arial" w:hAnsi="Arial"/>
          <w:sz w:val="16"/>
          <w:szCs w:val="16"/>
          <w:color w:val="auto"/>
        </w:rPr>
        <w:t>”) equal to the sum of (x) 100% of such portion of the Principal of this Note then outstanding and subject to such Company Optional Redemption and (y) all accrued and unpaid Interest with respect to such portion of such Principal. The Company may exercise its right to require redemption under this Section 14 by delivering an irrevocable written notice thereof by facsimile and overnight courier to all, but not less than all, of the holders of Notes (the “</w:t>
      </w:r>
      <w:r>
        <w:rPr>
          <w:rFonts w:ascii="Arial" w:cs="Arial" w:eastAsia="Arial" w:hAnsi="Arial"/>
          <w:sz w:val="16"/>
          <w:szCs w:val="16"/>
          <w:b w:val="1"/>
          <w:bCs w:val="1"/>
          <w:color w:val="auto"/>
        </w:rPr>
        <w:t>Company Optional Redemption Notice</w:t>
      </w:r>
      <w:r>
        <w:rPr>
          <w:rFonts w:ascii="Arial" w:cs="Arial" w:eastAsia="Arial" w:hAnsi="Arial"/>
          <w:sz w:val="16"/>
          <w:szCs w:val="16"/>
          <w:color w:val="auto"/>
        </w:rPr>
        <w:t>” and the date all of the holders of Notes received such notice is referred to as the “</w:t>
      </w:r>
      <w:r>
        <w:rPr>
          <w:rFonts w:ascii="Arial" w:cs="Arial" w:eastAsia="Arial" w:hAnsi="Arial"/>
          <w:sz w:val="16"/>
          <w:szCs w:val="16"/>
          <w:b w:val="1"/>
          <w:bCs w:val="1"/>
          <w:color w:val="auto"/>
        </w:rPr>
        <w:t>Company Optional Redemption Notice Date</w:t>
      </w:r>
      <w:r>
        <w:rPr>
          <w:rFonts w:ascii="Arial" w:cs="Arial" w:eastAsia="Arial" w:hAnsi="Arial"/>
          <w:sz w:val="16"/>
          <w:szCs w:val="16"/>
          <w:color w:val="auto"/>
        </w:rPr>
        <w:t>”). The Company may deliver only one Company Optional Redemption Notice in any ninety</w:t>
      </w:r>
    </w:p>
    <w:p>
      <w:pPr>
        <w:spacing w:after="0" w:line="5" w:lineRule="exact"/>
        <w:rPr>
          <w:rFonts w:ascii="Arial" w:cs="Arial" w:eastAsia="Arial" w:hAnsi="Arial"/>
          <w:sz w:val="16"/>
          <w:szCs w:val="16"/>
          <w:color w:val="auto"/>
        </w:rPr>
      </w:pPr>
    </w:p>
    <w:p>
      <w:pPr>
        <w:ind w:left="-8" w:right="280" w:firstLine="8"/>
        <w:spacing w:after="0" w:line="288" w:lineRule="auto"/>
        <w:tabs>
          <w:tab w:leader="none" w:pos="3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day period. The Company Optional Redemption Notice shall (x) state the date on which the Company Optional Redemption shall occur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Optional Redemption Date</w:t>
      </w:r>
      <w:r>
        <w:rPr>
          <w:rFonts w:ascii="Arial" w:cs="Arial" w:eastAsia="Arial" w:hAnsi="Arial"/>
          <w:sz w:val="16"/>
          <w:szCs w:val="16"/>
          <w:color w:val="auto"/>
        </w:rPr>
        <w:t>”) which date shall not be less than twenty (20) calendar days nor more than thirty (30) Trading Days following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Optional Redemption Notice Date, (y) certify that there has been no Equity Conditions Failure, and (z) state the aggregate Conversion Amount of the Notes which is being redeemed in such Company Optional Redemption from the Holder and all of the other holders of the Notes pursuant to this Section 14 (and analogous provisions under the Other Notes) on the Company Optional Redemption Date. Notwithstanding anything herein to the contrary, (i) if an Equity Conditions Failure occurs at any time prior to the Company Optional Redemption Date, (A) the Company shall provide the Holder a subsequent notice to that effect and (B) unless the Holder waives the applicable Equity Conditions Failure, as applicable, the Company Optional</w:t>
      </w:r>
    </w:p>
    <w:p>
      <w:pPr>
        <w:spacing w:after="0" w:line="1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72"/>
          </w:cols>
          <w:pgMar w:left="248" w:top="280" w:right="279" w:bottom="1440" w:gutter="0" w:footer="0" w:header="0"/>
        </w:sectPr>
      </w:pPr>
    </w:p>
    <w:bookmarkStart w:id="69" w:name="page70"/>
    <w:bookmarkEnd w:id="6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shall be cancelled and the applicable Company Optional Redemption Notice shall be null and void and (ii) at any time prior to the date the Company Optional Redemption Price is paid, in full, the Company Optional Redemption Amount may be converted, in whole or in part, by the Holders into Common Shares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14 shall be made in accordance with Section 11.</w:t>
      </w:r>
    </w:p>
    <w:p>
      <w:pPr>
        <w:spacing w:after="0" w:line="143" w:lineRule="exact"/>
        <w:rPr>
          <w:sz w:val="20"/>
          <w:szCs w:val="20"/>
          <w:color w:val="auto"/>
        </w:rPr>
      </w:pPr>
    </w:p>
    <w:p>
      <w:pPr>
        <w:ind w:firstLine="464"/>
        <w:spacing w:after="0" w:line="283" w:lineRule="auto"/>
        <w:tabs>
          <w:tab w:leader="none" w:pos="72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SALE REDEMPTION</w:t>
      </w:r>
      <w:r>
        <w:rPr>
          <w:rFonts w:ascii="Arial" w:cs="Arial" w:eastAsia="Arial" w:hAnsi="Arial"/>
          <w:sz w:val="16"/>
          <w:szCs w:val="16"/>
          <w:color w:val="auto"/>
        </w:rPr>
        <w:t>. No earlier than fifteen (15) days prior to nor later than ten (10) days following the consummation of any Sale (or series of related Sales, as applicable), with respect to assets or other property with an aggregate fair market value in excess of $25,000,000, the Company shall deliver written notice thereof via facsimile and overnight courier (a “</w:t>
      </w:r>
      <w:r>
        <w:rPr>
          <w:rFonts w:ascii="Arial" w:cs="Arial" w:eastAsia="Arial" w:hAnsi="Arial"/>
          <w:sz w:val="16"/>
          <w:szCs w:val="16"/>
          <w:b w:val="1"/>
          <w:bCs w:val="1"/>
          <w:color w:val="auto"/>
        </w:rPr>
        <w:t>Sale Notice</w:t>
      </w:r>
      <w:r>
        <w:rPr>
          <w:rFonts w:ascii="Arial" w:cs="Arial" w:eastAsia="Arial" w:hAnsi="Arial"/>
          <w:sz w:val="16"/>
          <w:szCs w:val="16"/>
          <w:color w:val="auto"/>
        </w:rPr>
        <w:t>”) to the Holder, which shall include the calculations of the amount of Net Sale Proceeds for such Sale. At any time prior to the later of (i) ten (10) Business Days following the consummation of such Sale and (ii) ten (10) Business Days following receipt of the Sale Notice, the Holder may, at its sole option and in its sole discretion, require the Company to redeem (a “</w:t>
      </w:r>
      <w:r>
        <w:rPr>
          <w:rFonts w:ascii="Arial" w:cs="Arial" w:eastAsia="Arial" w:hAnsi="Arial"/>
          <w:sz w:val="16"/>
          <w:szCs w:val="16"/>
          <w:b w:val="1"/>
          <w:bCs w:val="1"/>
          <w:color w:val="auto"/>
        </w:rPr>
        <w:t>Sale Redemption</w:t>
      </w:r>
      <w:r>
        <w:rPr>
          <w:rFonts w:ascii="Arial" w:cs="Arial" w:eastAsia="Arial" w:hAnsi="Arial"/>
          <w:sz w:val="16"/>
          <w:szCs w:val="16"/>
          <w:color w:val="auto"/>
        </w:rPr>
        <w:t>”), with the Net Sale Proceeds of such Sale, all or part of the Conversion Amount of this Note (which amount shall not exceed the applicable Sale Redemption Eligibility Amount) (the “</w:t>
      </w:r>
      <w:r>
        <w:rPr>
          <w:rFonts w:ascii="Arial" w:cs="Arial" w:eastAsia="Arial" w:hAnsi="Arial"/>
          <w:sz w:val="16"/>
          <w:szCs w:val="16"/>
          <w:b w:val="1"/>
          <w:bCs w:val="1"/>
          <w:color w:val="auto"/>
        </w:rPr>
        <w:t>Sale Redemption Amount</w:t>
      </w:r>
      <w:r>
        <w:rPr>
          <w:rFonts w:ascii="Arial" w:cs="Arial" w:eastAsia="Arial" w:hAnsi="Arial"/>
          <w:sz w:val="16"/>
          <w:szCs w:val="16"/>
          <w:color w:val="auto"/>
        </w:rPr>
        <w:t>”) by delivering written notice thereof (the “</w:t>
      </w:r>
      <w:r>
        <w:rPr>
          <w:rFonts w:ascii="Arial" w:cs="Arial" w:eastAsia="Arial" w:hAnsi="Arial"/>
          <w:sz w:val="16"/>
          <w:szCs w:val="16"/>
          <w:b w:val="1"/>
          <w:bCs w:val="1"/>
          <w:color w:val="auto"/>
        </w:rPr>
        <w:t>Sale Redemption Notice</w:t>
      </w:r>
      <w:r>
        <w:rPr>
          <w:rFonts w:ascii="Arial" w:cs="Arial" w:eastAsia="Arial" w:hAnsi="Arial"/>
          <w:sz w:val="16"/>
          <w:szCs w:val="16"/>
          <w:color w:val="auto"/>
        </w:rPr>
        <w:t>”) to the Company. The Sale Redemption Notice shall state</w:t>
      </w:r>
    </w:p>
    <w:p>
      <w:pPr>
        <w:ind w:right="60" w:firstLine="8"/>
        <w:spacing w:after="0" w:line="290" w:lineRule="auto"/>
        <w:tabs>
          <w:tab w:leader="none" w:pos="2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date the Company is required to pay to the Holder the Sale Redemption Price (as defined below) (the “</w:t>
      </w:r>
      <w:r>
        <w:rPr>
          <w:rFonts w:ascii="Arial" w:cs="Arial" w:eastAsia="Arial" w:hAnsi="Arial"/>
          <w:sz w:val="16"/>
          <w:szCs w:val="16"/>
          <w:b w:val="1"/>
          <w:bCs w:val="1"/>
          <w:color w:val="auto"/>
        </w:rPr>
        <w:t>Sale Redemption Date</w:t>
      </w:r>
      <w:r>
        <w:rPr>
          <w:rFonts w:ascii="Arial" w:cs="Arial" w:eastAsia="Arial" w:hAnsi="Arial"/>
          <w:sz w:val="16"/>
          <w:szCs w:val="16"/>
          <w:color w:val="auto"/>
        </w:rPr>
        <w:t>”), which date shall be no earlier than ten (10) Business Days following the date of delivery of such Sale Redemption Notice and (ii) the allocation of such Sale Redemption Amount between this Note and any Notes held by the Holder. Each portion of this Note subject to redemption pursuant to this Section 5 shall be redeemed by the Company at a price equal to 125% of the applicable Sale Redemption Amount (the “</w:t>
      </w:r>
      <w:r>
        <w:rPr>
          <w:rFonts w:ascii="Arial" w:cs="Arial" w:eastAsia="Arial" w:hAnsi="Arial"/>
          <w:sz w:val="16"/>
          <w:szCs w:val="16"/>
          <w:b w:val="1"/>
          <w:bCs w:val="1"/>
          <w:color w:val="auto"/>
        </w:rPr>
        <w:t>Sale Redemption Price</w:t>
      </w:r>
      <w:r>
        <w:rPr>
          <w:rFonts w:ascii="Arial" w:cs="Arial" w:eastAsia="Arial" w:hAnsi="Arial"/>
          <w:sz w:val="16"/>
          <w:szCs w:val="16"/>
          <w:color w:val="auto"/>
        </w:rPr>
        <w:t>”). Redemptions required by this Section 15 shall be made in accordance with the provisions of Section 11. To the extent redemptions required by this Section 15 are deemed or determined by a court of competent jurisdiction to be prepayments of the Note by the Company, such redemptions shall be deemed to be voluntary prepayments.</w:t>
      </w:r>
    </w:p>
    <w:p>
      <w:pPr>
        <w:spacing w:after="0" w:line="118" w:lineRule="exact"/>
        <w:rPr>
          <w:rFonts w:ascii="Arial" w:cs="Arial" w:eastAsia="Arial" w:hAnsi="Arial"/>
          <w:sz w:val="16"/>
          <w:szCs w:val="16"/>
          <w:color w:val="auto"/>
        </w:rPr>
      </w:pPr>
    </w:p>
    <w:p>
      <w:pPr>
        <w:ind w:right="680" w:firstLine="464"/>
        <w:spacing w:after="0" w:line="305" w:lineRule="auto"/>
        <w:tabs>
          <w:tab w:leader="none" w:pos="720" w:val="left"/>
        </w:tabs>
        <w:numPr>
          <w:ilvl w:val="1"/>
          <w:numId w:val="69"/>
        </w:numPr>
        <w:rPr>
          <w:rFonts w:ascii="Arial" w:cs="Arial" w:eastAsia="Arial" w:hAnsi="Arial"/>
          <w:sz w:val="15"/>
          <w:szCs w:val="15"/>
          <w:color w:val="auto"/>
        </w:rPr>
      </w:pPr>
      <w:r>
        <w:rPr>
          <w:rFonts w:ascii="Arial" w:cs="Arial" w:eastAsia="Arial" w:hAnsi="Arial"/>
          <w:sz w:val="15"/>
          <w:szCs w:val="15"/>
          <w:u w:val="single" w:color="auto"/>
          <w:color w:val="auto"/>
        </w:rPr>
        <w:t>PARTICIPATION</w:t>
      </w:r>
      <w:r>
        <w:rPr>
          <w:rFonts w:ascii="Arial" w:cs="Arial" w:eastAsia="Arial" w:hAnsi="Arial"/>
          <w:sz w:val="15"/>
          <w:szCs w:val="15"/>
          <w:color w:val="auto"/>
        </w:rPr>
        <w:t>. In addition to any adjustments pursuant to Section 7, the Holder, as the holder of this Note, shall be entitled to receive such dividends paid and distributions made to the holders of Common Stock (other than shares of Common Stock to the extent the Company complies with</w:t>
      </w:r>
    </w:p>
    <w:p>
      <w:pPr>
        <w:ind w:right="20"/>
        <w:spacing w:after="0" w:line="287" w:lineRule="auto"/>
        <w:rPr>
          <w:rFonts w:ascii="Arial" w:cs="Arial" w:eastAsia="Arial" w:hAnsi="Arial"/>
          <w:sz w:val="15"/>
          <w:szCs w:val="15"/>
          <w:color w:val="auto"/>
        </w:rPr>
      </w:pPr>
      <w:r>
        <w:rPr>
          <w:rFonts w:ascii="Arial" w:cs="Arial" w:eastAsia="Arial" w:hAnsi="Arial"/>
          <w:sz w:val="16"/>
          <w:szCs w:val="16"/>
          <w:color w:val="auto"/>
        </w:rPr>
        <w:t>Section 7(b) hereof in connection therewith) to the same extent as if the Holder had converted this Note into Common Stock (without regard to any limitations on conversion set forth in Section 3(d)) and had held such shares of Common Stock on the record date for such dividends and distributions. Payments under the preceding sentence shall be made concurrently with the dividend or distribution to the holders of Common Stock (provided, however, to the extent that the Holder’s right to participate in any such dividend or distribution would result in the Holder exceeding the Maximum Percentage, then the Holder shall not be entitled to participate in such dividend or distribution to such extent such dividend or distribution (or the beneficial ownership of any such shares of Common Stock as a result of such dividend or distribution to such extent) will cause the Holder to exceed the Maximum Percentage, and the forgone right to participate in such dividend or distribution such shall be held in abeyance for the benefit of the Holder until such time, if ever, that its participation would not result in the Holder exceeding the Maximum Percentage.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70" w:name="page71"/>
    <w:bookmarkEnd w:id="70"/>
    <w:p>
      <w:pPr>
        <w:ind w:right="140" w:firstLine="464"/>
        <w:spacing w:after="0" w:line="332" w:lineRule="auto"/>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AMENDING THE TERMS OF THIS NOTE</w:t>
      </w:r>
      <w:r>
        <w:rPr>
          <w:rFonts w:ascii="Arial" w:cs="Arial" w:eastAsia="Arial" w:hAnsi="Arial"/>
          <w:sz w:val="16"/>
          <w:szCs w:val="16"/>
          <w:color w:val="auto"/>
        </w:rPr>
        <w:t>. Any amendment with the prior written consent of holders of majority of the aggregate principal amount of outstanding Notes shall be binding on the Holder of the Note except that without the prior written consent of the Holder, the Note shall not be amended to:</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reduce the Redemption Premium or any of the Redemption Prices payable with respect to the Note;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increase the Conversion Price;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change the Principal, Interest Rate or Maturity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change the Company’s obligation to redeem the Note in a manner adverse to the Holder;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change the Company’s installment obligations under Section 8 in a manner adverse to the Holder; or</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17"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impair the right of a Holder to convert the Note or reduce the amount of cash or the number of shares of Common Stock (or any other property) receivable upon conversion.</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Without limiting the foregoing, any change or amendment to this Note may be made with the prior written consent of the Holder. No waiver of any provision of this Note shall be effective unless it is in writing and signed by an authorized representative of the waiving party.</w:t>
      </w:r>
    </w:p>
    <w:p>
      <w:pPr>
        <w:spacing w:after="0" w:line="132" w:lineRule="exact"/>
        <w:rPr>
          <w:sz w:val="20"/>
          <w:szCs w:val="20"/>
          <w:color w:val="auto"/>
        </w:rPr>
      </w:pPr>
    </w:p>
    <w:p>
      <w:pPr>
        <w:ind w:right="220" w:firstLine="464"/>
        <w:spacing w:after="0" w:line="370" w:lineRule="auto"/>
        <w:tabs>
          <w:tab w:leader="none" w:pos="72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Note and any shares of Common Stock issued upon conversion of this Note may be offered, sold, assigned or transferred by the Holder without the consent of the Company, subject only to the provisions of Section 2(h) of the Securities Purchase Agreement and applicable securities laws.</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284" w:lineRule="auto"/>
        <w:tabs>
          <w:tab w:leader="none" w:pos="113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If this Note is to be transferred, the Holder shall surrender this Note to the Company, whereupon the Company will forthwith issue and deliver upon the order of the Holder a new Note (in accordance with Section 19(d)), registered as the Holder may request, representing the outstanding Principal being transferred by the Holder and, if less than the entire outstanding Principal is being transferred, a new Note (in accordance with</w:t>
      </w:r>
    </w:p>
    <w:p>
      <w:pPr>
        <w:spacing w:after="0" w:line="1"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Section 19(d))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1" w:name="page72"/>
    <w:bookmarkEnd w:id="71"/>
    <w:p>
      <w:pPr>
        <w:ind w:left="460" w:firstLine="443"/>
        <w:spacing w:after="0" w:line="283" w:lineRule="auto"/>
        <w:tabs>
          <w:tab w:leader="none" w:pos="1147"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Lost, Stolen or Mutilated Note</w:t>
      </w:r>
      <w:r>
        <w:rPr>
          <w:rFonts w:ascii="Arial" w:cs="Arial" w:eastAsia="Arial" w:hAnsi="Arial"/>
          <w:sz w:val="16"/>
          <w:szCs w:val="16"/>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19(d)) representing the outstanding Principal.</w:t>
      </w:r>
    </w:p>
    <w:p>
      <w:pPr>
        <w:spacing w:after="0" w:line="83" w:lineRule="exact"/>
        <w:rPr>
          <w:rFonts w:ascii="Arial" w:cs="Arial" w:eastAsia="Arial" w:hAnsi="Arial"/>
          <w:sz w:val="16"/>
          <w:szCs w:val="16"/>
          <w:color w:val="auto"/>
        </w:rPr>
      </w:pPr>
    </w:p>
    <w:p>
      <w:pPr>
        <w:ind w:left="460" w:right="20" w:firstLine="443"/>
        <w:spacing w:after="0" w:line="256" w:lineRule="auto"/>
        <w:tabs>
          <w:tab w:leader="none" w:pos="1137"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Note or Notes (in accordance with Section 19(d)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62" w:lineRule="exact"/>
        <w:rPr>
          <w:rFonts w:ascii="Arial" w:cs="Arial" w:eastAsia="Arial" w:hAnsi="Arial"/>
          <w:sz w:val="18"/>
          <w:szCs w:val="18"/>
          <w:color w:val="auto"/>
        </w:rPr>
      </w:pPr>
    </w:p>
    <w:p>
      <w:pPr>
        <w:ind w:left="460" w:right="60" w:firstLine="443"/>
        <w:spacing w:after="0" w:line="302" w:lineRule="auto"/>
        <w:tabs>
          <w:tab w:leader="none" w:pos="1147"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Issuance of New Notes</w:t>
      </w:r>
      <w:r>
        <w:rPr>
          <w:rFonts w:ascii="Arial" w:cs="Arial" w:eastAsia="Arial" w:hAnsi="Arial"/>
          <w:sz w:val="15"/>
          <w:szCs w:val="15"/>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w:t>
      </w:r>
    </w:p>
    <w:p>
      <w:pPr>
        <w:spacing w:after="0" w:line="1" w:lineRule="exact"/>
        <w:rPr>
          <w:rFonts w:ascii="Arial" w:cs="Arial" w:eastAsia="Arial" w:hAnsi="Arial"/>
          <w:sz w:val="15"/>
          <w:szCs w:val="15"/>
          <w:color w:val="auto"/>
        </w:rPr>
      </w:pPr>
    </w:p>
    <w:p>
      <w:pPr>
        <w:ind w:left="760" w:hanging="296"/>
        <w:spacing w:after="0"/>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shall have the same rights and conditions as this Note, and (v) shall represent accrued and unpaid Interest on this Note, from the Issuance Date.</w:t>
      </w:r>
    </w:p>
    <w:p>
      <w:pPr>
        <w:spacing w:after="0" w:line="188" w:lineRule="exact"/>
        <w:rPr>
          <w:sz w:val="20"/>
          <w:szCs w:val="20"/>
          <w:color w:val="auto"/>
        </w:rPr>
      </w:pPr>
    </w:p>
    <w:p>
      <w:pPr>
        <w:ind w:firstLine="464"/>
        <w:spacing w:after="0" w:line="286" w:lineRule="auto"/>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and any of the other Transaction Documents (as defined in the Securities Purchase Agreement) at law or in equity (including a decree of specific performance and/or other injunctive relief), and nothing herein shall limit the Holder’s right to pursue actual damages for any failure by the Company to comply with the terms of this Note; provided, however, that the Holder waives any consequential damages it may suffer from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2" w:name="page73"/>
    <w:bookmarkEnd w:id="72"/>
    <w:p>
      <w:pPr>
        <w:ind w:left="-20" w:firstLine="464"/>
        <w:spacing w:after="0" w:line="290"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COLLECTION, ENFORCEMENT AND OTHER COSTS</w:t>
      </w:r>
      <w:r>
        <w:rPr>
          <w:rFonts w:ascii="Arial" w:cs="Arial" w:eastAsia="Arial" w:hAnsi="Arial"/>
          <w:sz w:val="16"/>
          <w:szCs w:val="16"/>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reasonable attorneys’ fees and disbursements. The Company expressly acknowledges and agrees that no amounts due under this Note shall be affected, or limited, by the fact that the Purchase Price (as defined in the Securities Purchase Agreement) paid for this Note was less than the original Principal amount hereof.</w:t>
      </w:r>
    </w:p>
    <w:p>
      <w:pPr>
        <w:spacing w:after="0" w:line="118" w:lineRule="exact"/>
        <w:rPr>
          <w:rFonts w:ascii="Arial" w:cs="Arial" w:eastAsia="Arial" w:hAnsi="Arial"/>
          <w:sz w:val="16"/>
          <w:szCs w:val="16"/>
          <w:color w:val="auto"/>
        </w:rPr>
      </w:pPr>
    </w:p>
    <w:p>
      <w:pPr>
        <w:jc w:val="both"/>
        <w:ind w:left="-20" w:right="240" w:firstLine="464"/>
        <w:spacing w:after="0" w:line="298"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 Terms used in this Note but defined in the other Transaction Documents (as defined in the Securities Purchase Agreement) shall have the meanings ascribed to such terms on the Initial Closing Date in such other Transaction Documents unless otherwise consented to in writing by the Holder.</w:t>
      </w:r>
    </w:p>
    <w:p>
      <w:pPr>
        <w:spacing w:after="0" w:line="112" w:lineRule="exact"/>
        <w:rPr>
          <w:rFonts w:ascii="Arial" w:cs="Arial" w:eastAsia="Arial" w:hAnsi="Arial"/>
          <w:sz w:val="16"/>
          <w:szCs w:val="16"/>
          <w:color w:val="auto"/>
        </w:rPr>
      </w:pPr>
    </w:p>
    <w:p>
      <w:pPr>
        <w:jc w:val="both"/>
        <w:ind w:left="-20" w:right="140" w:firstLine="464"/>
        <w:spacing w:after="0" w:line="306"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FAILURE OR INDULGENCE NOT WAIVER</w:t>
      </w:r>
      <w:r>
        <w:rPr>
          <w:rFonts w:ascii="Arial" w:cs="Arial" w:eastAsia="Arial" w:hAnsi="Arial"/>
          <w:sz w:val="16"/>
          <w:szCs w:val="16"/>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06" w:lineRule="exact"/>
        <w:rPr>
          <w:rFonts w:ascii="Arial" w:cs="Arial" w:eastAsia="Arial" w:hAnsi="Arial"/>
          <w:sz w:val="16"/>
          <w:szCs w:val="16"/>
          <w:color w:val="auto"/>
        </w:rPr>
      </w:pPr>
    </w:p>
    <w:p>
      <w:pPr>
        <w:ind w:left="-20" w:firstLine="464"/>
        <w:spacing w:after="0" w:line="286"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Conversion Price, the Company Conversion Price, any Redemption Price, the Closing Bid Price, the Closing Sale Price or fair market value (as the case may be) or the arithmetic calculation of the Conversion Rate or the applicable Redemption Price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issuance or sale or deemed issuance or sale was an issuance or sale or deemed issuance or sale of Excluded Securities). If the Holder and the Company are unable to agree upon such determination or calculation within two (2) Business Days of such disputed determination or arithmetic calculation (as the case may be) being submitted to the Company or the Holder (as the case may be), then the Company shall, within two (2) Business Days, submit via facsimile (a) the disputed determination of the Conversion Price, the Company Conversion Price, any Redemption Price, the Closing Bid Price, the Closing Sale Price or fair market value (as the case may be) to an independent, reputable investment bank selected by the Company and reasonably acceptable to the Holder or (b) the disputed arithmetic calculation of the Conversion Rate or any Redemption Price (as the case may be) to the Company’s independent, outside accountant. The Company shall cause at its expense the investment bank or the accountant (as the case may be)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280" w:right="239" w:bottom="1440" w:gutter="0" w:footer="0" w:header="0"/>
        </w:sectPr>
      </w:pPr>
    </w:p>
    <w:bookmarkStart w:id="73" w:name="page74"/>
    <w:bookmarkEnd w:id="7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manifest error.</w:t>
      </w:r>
    </w:p>
    <w:p>
      <w:pPr>
        <w:spacing w:after="0" w:line="140" w:lineRule="exact"/>
        <w:rPr>
          <w:sz w:val="20"/>
          <w:szCs w:val="20"/>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NOTICES; PRE-NOTICES; CURRENCY; 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Note, unless otherwise provided herein, such notice shall be given in accordance with Section 9(f) of the Securities Purchase Agreement. The Company will give written notice to the Holder (i) immediately upon any adjustment of the Conversion Price, setting forth in reasonable detail, and certifying, the calculation of such adjustment and (ii) at least ten (10) days prior to the date on which the Company closes its books or takes a record with respect to (A) any dividend or distribution upon the Common Stock, (B) any grants, issuances, or sales of any Options, Convertible Securities or rights to purchase stock, warrants, securities or other property to holders of shares of Common Stock generally or (C) any determination of rights to vote with respect to any Fundamental Transaction, dissolution or liquidation; provided that in each case that such information shall be made known to the public prior to or in conjunction with such notice being provided to the Holder (and the Holder acknowledges that the Company making such notice and information publicly available in a filing with the SEC shall satisfy the Company’s obligations hereunder).</w:t>
      </w:r>
    </w:p>
    <w:p>
      <w:pPr>
        <w:spacing w:after="0" w:line="37" w:lineRule="exact"/>
        <w:rPr>
          <w:rFonts w:ascii="Arial" w:cs="Arial" w:eastAsia="Arial" w:hAnsi="Arial"/>
          <w:sz w:val="16"/>
          <w:szCs w:val="16"/>
          <w:color w:val="auto"/>
        </w:rPr>
      </w:pPr>
    </w:p>
    <w:p>
      <w:pPr>
        <w:ind w:left="460" w:right="20" w:firstLine="443"/>
        <w:spacing w:after="0" w:line="288"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Pre-Notice</w:t>
      </w:r>
      <w:r>
        <w:rPr>
          <w:rFonts w:ascii="Arial" w:cs="Arial" w:eastAsia="Arial" w:hAnsi="Arial"/>
          <w:sz w:val="16"/>
          <w:szCs w:val="16"/>
          <w:color w:val="auto"/>
        </w:rPr>
        <w:t>. In the event that the Company is required to provide the Holder notice or obtain the approval of the Holder under this Note, and the Company reasonably determines that such notice or obtaining such approval would require the Company to disclose to the Holder material, non-public information, the Company shall deliver to the Holder a written notice (the “</w:t>
      </w:r>
      <w:r>
        <w:rPr>
          <w:rFonts w:ascii="Arial" w:cs="Arial" w:eastAsia="Arial" w:hAnsi="Arial"/>
          <w:sz w:val="16"/>
          <w:szCs w:val="16"/>
          <w:b w:val="1"/>
          <w:bCs w:val="1"/>
          <w:color w:val="auto"/>
        </w:rPr>
        <w:t>Pre-Notice</w:t>
      </w:r>
      <w:r>
        <w:rPr>
          <w:rFonts w:ascii="Arial" w:cs="Arial" w:eastAsia="Arial" w:hAnsi="Arial"/>
          <w:sz w:val="16"/>
          <w:szCs w:val="16"/>
          <w:color w:val="auto"/>
        </w:rPr>
        <w:t>”) that shall not contain any information other than a statement that the Company proposes to provide material, non-public information to the Holder upon the Holder’s written request. Upon the written request of the Holder within three (3) Trading Days after the Company’s delivery to the Holder of such Pre-Notice, and only upon such a written request by the Holder, the Company shall promptly disclose the material, non-public information to the Holder. If the Holder elects not to receive the material, non-public information, or fails to respond to the Pre-Notice within three (3) Trading Days after the Company’s delivery to the Holder of such Pre-Notice, the Holder shall be deemed to have waived its right to such notice under this Note and, if applicable, shall be deemed to have provided the required approval by the Holder under this Note.</w:t>
      </w:r>
    </w:p>
    <w:p>
      <w:pPr>
        <w:spacing w:after="0" w:line="32" w:lineRule="exact"/>
        <w:rPr>
          <w:rFonts w:ascii="Arial" w:cs="Arial" w:eastAsia="Arial" w:hAnsi="Arial"/>
          <w:sz w:val="16"/>
          <w:szCs w:val="16"/>
          <w:color w:val="auto"/>
        </w:rPr>
      </w:pPr>
    </w:p>
    <w:p>
      <w:pPr>
        <w:ind w:left="460" w:right="20" w:firstLine="443"/>
        <w:spacing w:after="0" w:line="296" w:lineRule="auto"/>
        <w:tabs>
          <w:tab w:leader="none" w:pos="1137"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Currency</w:t>
      </w:r>
      <w:r>
        <w:rPr>
          <w:rFonts w:ascii="Arial" w:cs="Arial" w:eastAsia="Arial" w:hAnsi="Arial"/>
          <w:sz w:val="16"/>
          <w:szCs w:val="16"/>
          <w:color w:val="auto"/>
        </w:rPr>
        <w:t>. All dollar amounts referred to in this Note are in United States Dollars (“</w:t>
      </w:r>
      <w:r>
        <w:rPr>
          <w:rFonts w:ascii="Arial" w:cs="Arial" w:eastAsia="Arial" w:hAnsi="Arial"/>
          <w:sz w:val="16"/>
          <w:szCs w:val="16"/>
          <w:b w:val="1"/>
          <w:bCs w:val="1"/>
          <w:color w:val="auto"/>
        </w:rPr>
        <w:t>U.S. Dollars</w:t>
      </w:r>
      <w:r>
        <w:rPr>
          <w:rFonts w:ascii="Arial" w:cs="Arial" w:eastAsia="Arial" w:hAnsi="Arial"/>
          <w:sz w:val="16"/>
          <w:szCs w:val="16"/>
          <w:color w:val="auto"/>
        </w:rPr>
        <w:t xml:space="preserve">”), and all amounts owing under this Note shall be paid in U.S. Dollars. All amounts denominated in other currencies (if any) shall be converted into the U.S. Dollar equivalent amount in accordance with the Exchange Rate on the date of </w:t>
      </w:r>
      <w:r>
        <w:rPr>
          <w:rFonts w:ascii="Arial" w:cs="Arial" w:eastAsia="Arial" w:hAnsi="Arial"/>
          <w:sz w:val="16"/>
          <w:szCs w:val="16"/>
          <w:u w:val="single" w:color="auto"/>
          <w:color w:val="auto"/>
        </w:rPr>
        <w:t>calculation</w:t>
      </w:r>
      <w:r>
        <w:rPr>
          <w:rFonts w:ascii="Arial" w:cs="Arial" w:eastAsia="Arial" w:hAnsi="Arial"/>
          <w:sz w:val="16"/>
          <w:szCs w:val="16"/>
          <w:color w:val="auto"/>
        </w:rPr>
        <w:t>. “</w:t>
      </w:r>
      <w:r>
        <w:rPr>
          <w:rFonts w:ascii="Arial" w:cs="Arial" w:eastAsia="Arial" w:hAnsi="Arial"/>
          <w:sz w:val="16"/>
          <w:szCs w:val="16"/>
          <w:b w:val="1"/>
          <w:bCs w:val="1"/>
          <w:color w:val="auto"/>
        </w:rPr>
        <w:t>Exchange Rate</w:t>
      </w:r>
      <w:r>
        <w:rPr>
          <w:rFonts w:ascii="Arial" w:cs="Arial" w:eastAsia="Arial" w:hAnsi="Arial"/>
          <w:sz w:val="16"/>
          <w:szCs w:val="16"/>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74" w:name="page75"/>
    <w:bookmarkEnd w:id="74"/>
    <w:p>
      <w:pPr>
        <w:ind w:left="460" w:firstLine="443"/>
        <w:spacing w:after="0" w:line="290" w:lineRule="auto"/>
        <w:tabs>
          <w:tab w:leader="none" w:pos="1147"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w:t>
      </w:r>
      <w:r>
        <w:rPr>
          <w:rFonts w:ascii="Arial" w:cs="Arial" w:eastAsia="Arial" w:hAnsi="Arial"/>
          <w:sz w:val="16"/>
          <w:szCs w:val="16"/>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(as defined in the Securities Purchase Agreement),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w:t>
      </w:r>
    </w:p>
    <w:p>
      <w:pPr>
        <w:spacing w:after="0" w:line="118" w:lineRule="exact"/>
        <w:rPr>
          <w:rFonts w:ascii="Arial" w:cs="Arial" w:eastAsia="Arial" w:hAnsi="Arial"/>
          <w:sz w:val="16"/>
          <w:szCs w:val="16"/>
          <w:color w:val="auto"/>
        </w:rPr>
      </w:pPr>
    </w:p>
    <w:p>
      <w:pPr>
        <w:ind w:right="640" w:firstLine="464"/>
        <w:spacing w:after="0" w:line="268"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131" w:lineRule="exact"/>
        <w:rPr>
          <w:rFonts w:ascii="Arial" w:cs="Arial" w:eastAsia="Arial" w:hAnsi="Arial"/>
          <w:sz w:val="18"/>
          <w:szCs w:val="18"/>
          <w:color w:val="auto"/>
        </w:rPr>
      </w:pPr>
    </w:p>
    <w:p>
      <w:pPr>
        <w:ind w:right="360" w:firstLine="464"/>
        <w:spacing w:after="0" w:line="332" w:lineRule="auto"/>
        <w:tabs>
          <w:tab w:leader="none" w:pos="7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WAIVER OF NOTICE</w:t>
      </w:r>
      <w:r>
        <w:rPr>
          <w:rFonts w:ascii="Arial" w:cs="Arial" w:eastAsia="Arial" w:hAnsi="Arial"/>
          <w:sz w:val="16"/>
          <w:szCs w:val="16"/>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85" w:lineRule="exact"/>
        <w:rPr>
          <w:rFonts w:ascii="Arial" w:cs="Arial" w:eastAsia="Arial" w:hAnsi="Arial"/>
          <w:sz w:val="16"/>
          <w:szCs w:val="16"/>
          <w:color w:val="auto"/>
        </w:rPr>
      </w:pPr>
    </w:p>
    <w:p>
      <w:pPr>
        <w:ind w:firstLine="464"/>
        <w:spacing w:after="0" w:line="282" w:lineRule="auto"/>
        <w:tabs>
          <w:tab w:leader="none" w:pos="7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shall be governed by and construed and enforced in accordance with, and all questions concerning the construction, validity, interpretation and performance of this Note shall be governed by, the internal laws of the State of New York, without regard to conflict of law principles that would result in the application of any laws other than the laws of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Section 9(f) of the Securities Purchase Agreement and agrees that such service shall constitute good and sufficient service of process and notice thereof.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w:t>
      </w:r>
      <w:r>
        <w:rPr>
          <w:rFonts w:ascii="Arial" w:cs="Arial" w:eastAsia="Arial" w:hAnsi="Arial"/>
          <w:sz w:val="16"/>
          <w:szCs w:val="16"/>
          <w:b w:val="1"/>
          <w:bCs w:val="1"/>
          <w:color w:val="auto"/>
        </w:rPr>
        <w:t>EACH PARTY HEREBY IRREVOCABLY WAIVES ANY RIGHT IT MAY HAVE TO, AND AGREES NOT TO REQUEST, A JURY</w:t>
      </w:r>
    </w:p>
    <w:p>
      <w:pPr>
        <w:spacing w:after="0" w:line="5"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NOTE OR ANY TRANSACTION CONTEMPLATED HEREBY.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75" w:name="page76"/>
    <w:bookmarkEnd w:id="75"/>
    <w:p>
      <w:pPr>
        <w:ind w:left="-40" w:right="40" w:firstLine="464"/>
        <w:spacing w:after="0" w:line="256"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PAYMENTS</w:t>
      </w:r>
      <w:r>
        <w:rPr>
          <w:rFonts w:ascii="Arial" w:cs="Arial" w:eastAsia="Arial" w:hAnsi="Arial"/>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law, any payments in excess of such maximum shall be credited against amounts owed by the Company to the Holder and thus refunded to the Company.</w:t>
      </w:r>
    </w:p>
    <w:p>
      <w:pPr>
        <w:spacing w:after="0" w:line="143" w:lineRule="exact"/>
        <w:rPr>
          <w:rFonts w:ascii="Arial" w:cs="Arial" w:eastAsia="Arial" w:hAnsi="Arial"/>
          <w:sz w:val="18"/>
          <w:szCs w:val="18"/>
          <w:color w:val="auto"/>
        </w:rPr>
      </w:pPr>
    </w:p>
    <w:p>
      <w:pPr>
        <w:ind w:left="680" w:hanging="256"/>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Holder of this Note, by accepting this Note, acknowledges and agrees as follows:</w:t>
      </w:r>
    </w:p>
    <w:p>
      <w:pPr>
        <w:spacing w:after="0" w:line="90" w:lineRule="exact"/>
        <w:rPr>
          <w:sz w:val="20"/>
          <w:szCs w:val="20"/>
          <w:color w:val="auto"/>
        </w:rPr>
      </w:pPr>
    </w:p>
    <w:p>
      <w:pPr>
        <w:ind w:left="420" w:right="220" w:firstLine="443"/>
        <w:spacing w:after="0" w:line="268" w:lineRule="auto"/>
        <w:tabs>
          <w:tab w:leader="none" w:pos="109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Company will treat this Note as equity for U.S. withholding tax purposes and reporting purposes. The Company agrees to provide Holders reasonable assistance in seeking a refund of any taxes withheld with respect to the Notes.</w:t>
      </w:r>
    </w:p>
    <w:p>
      <w:pPr>
        <w:spacing w:after="0" w:line="50" w:lineRule="exact"/>
        <w:rPr>
          <w:rFonts w:ascii="Arial" w:cs="Arial" w:eastAsia="Arial" w:hAnsi="Arial"/>
          <w:sz w:val="18"/>
          <w:szCs w:val="18"/>
          <w:color w:val="auto"/>
        </w:rPr>
      </w:pPr>
    </w:p>
    <w:p>
      <w:pPr>
        <w:ind w:left="420" w:right="120" w:firstLine="443"/>
        <w:spacing w:after="0" w:line="255" w:lineRule="auto"/>
        <w:tabs>
          <w:tab w:leader="none" w:pos="11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On or prior to the date it acquires the Notes, the Holder will timely furnish the Company or its agents any United States federal income tax form or certification (such as IRS Form W-8BEN, Form W-8IMY, IRS Form W-9, or IRS Form W-8ECI or any successors to such IRS forms), or other information, form or certificate (including any information or certifications specified under Sections 1471-1474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that the Company or its agents may reasonably request and will update or replace such form or certification in accordance with its terms or its subsequent amendments.</w:t>
      </w:r>
    </w:p>
    <w:p>
      <w:pPr>
        <w:spacing w:after="0" w:line="61" w:lineRule="exact"/>
        <w:rPr>
          <w:rFonts w:ascii="Arial" w:cs="Arial" w:eastAsia="Arial" w:hAnsi="Arial"/>
          <w:sz w:val="18"/>
          <w:szCs w:val="18"/>
          <w:color w:val="auto"/>
        </w:rPr>
      </w:pPr>
    </w:p>
    <w:p>
      <w:pPr>
        <w:ind w:left="420" w:firstLine="443"/>
        <w:spacing w:after="0" w:line="259" w:lineRule="auto"/>
        <w:tabs>
          <w:tab w:leader="none" w:pos="1097"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Company pays withholding taxes with respect to the Notes that it cannot immediately offset by reducing the amount of a related payment (such as withholding taxes imposed as a result of the application of Section 305(c) of the Code), the Holder shall, within 10 business days of written notice, reimburse the Company for the amounts specified in such notice.</w:t>
      </w:r>
    </w:p>
    <w:p>
      <w:pPr>
        <w:spacing w:after="0" w:line="59" w:lineRule="exact"/>
        <w:rPr>
          <w:rFonts w:ascii="Arial" w:cs="Arial" w:eastAsia="Arial" w:hAnsi="Arial"/>
          <w:sz w:val="18"/>
          <w:szCs w:val="18"/>
          <w:color w:val="auto"/>
        </w:rPr>
      </w:pPr>
    </w:p>
    <w:p>
      <w:pPr>
        <w:ind w:left="420" w:right="80" w:firstLine="443"/>
        <w:spacing w:after="0" w:line="268" w:lineRule="auto"/>
        <w:tabs>
          <w:tab w:leader="none" w:pos="11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Holder agrees to file all tax returns in a manner consistent with Section 1(c) of the Securities Purchase Agreement unless otherwise required to take a different position following a determination within the meaning of Section 1313 of the Code to the contrary.</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84" w:lineRule="exact"/>
        <w:rPr>
          <w:rFonts w:ascii="Arial" w:cs="Arial" w:eastAsia="Arial" w:hAnsi="Arial"/>
          <w:sz w:val="18"/>
          <w:szCs w:val="18"/>
          <w:color w:val="auto"/>
        </w:rPr>
      </w:pPr>
    </w:p>
    <w:p>
      <w:pPr>
        <w:ind w:left="420" w:right="120" w:firstLine="443"/>
        <w:spacing w:after="0" w:line="378" w:lineRule="auto"/>
        <w:tabs>
          <w:tab w:leader="none" w:pos="1097" w:val="left"/>
        </w:tabs>
        <w:numPr>
          <w:ilvl w:val="1"/>
          <w:numId w:val="8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Closing Date</w:t>
      </w:r>
      <w:r>
        <w:rPr>
          <w:rFonts w:ascii="Arial" w:cs="Arial" w:eastAsia="Arial" w:hAnsi="Arial"/>
          <w:sz w:val="15"/>
          <w:szCs w:val="15"/>
          <w:color w:val="auto"/>
        </w:rPr>
        <w:t>” shall have the meaning ascribed to such term in the Securities Purchase Agreement, which date is the date the Company initially issued Additional Notes (as defined in the Securities Purchase Agreement) pursuant to the terms of the Securities Purchase Agreement.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80" w:top="280" w:right="259" w:bottom="1440" w:gutter="0" w:footer="0" w:header="0"/>
        </w:sectPr>
      </w:pPr>
    </w:p>
    <w:bookmarkStart w:id="76" w:name="page77"/>
    <w:bookmarkEnd w:id="76"/>
    <w:p>
      <w:pPr>
        <w:ind w:right="400" w:firstLine="443"/>
        <w:spacing w:after="0" w:line="275" w:lineRule="auto"/>
        <w:tabs>
          <w:tab w:leader="none" w:pos="687"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Additional Notes</w:t>
      </w:r>
      <w:r>
        <w:rPr>
          <w:rFonts w:ascii="Arial" w:cs="Arial" w:eastAsia="Arial" w:hAnsi="Arial"/>
          <w:sz w:val="18"/>
          <w:szCs w:val="18"/>
          <w:color w:val="auto"/>
        </w:rPr>
        <w:t>” shall have the meaning ascribed to such term in the Securities Purchase Agreement, and shall include all notes issued in exchange therefor or replacement thereof.</w:t>
      </w:r>
    </w:p>
    <w:p>
      <w:pPr>
        <w:spacing w:after="0" w:line="38" w:lineRule="exact"/>
        <w:rPr>
          <w:rFonts w:ascii="Arial" w:cs="Arial" w:eastAsia="Arial" w:hAnsi="Arial"/>
          <w:sz w:val="18"/>
          <w:szCs w:val="18"/>
          <w:color w:val="auto"/>
        </w:rPr>
      </w:pPr>
    </w:p>
    <w:p>
      <w:pPr>
        <w:ind w:right="80" w:firstLine="443"/>
        <w:spacing w:after="0" w:line="258" w:lineRule="auto"/>
        <w:tabs>
          <w:tab w:leader="none" w:pos="6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55" w:lineRule="exact"/>
        <w:rPr>
          <w:rFonts w:ascii="Arial" w:cs="Arial" w:eastAsia="Arial" w:hAnsi="Arial"/>
          <w:sz w:val="18"/>
          <w:szCs w:val="18"/>
          <w:color w:val="auto"/>
        </w:rPr>
      </w:pPr>
    </w:p>
    <w:p>
      <w:pPr>
        <w:ind w:right="20" w:firstLine="443"/>
        <w:spacing w:after="0" w:line="258" w:lineRule="auto"/>
        <w:tabs>
          <w:tab w:leader="none" w:pos="687"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or incentive plan which has been approved by the Board of Directors of the Company prior to or subsequent to the date hereof pursuant to which shares of Common Stock, options to purchase Common Stock, stock appreciation rights, restricted shares of Common Stock, restricted stock units and other stock-based awards may be issued to any employee, officer, director, or consultant for services provided to the Company in their capacity as such.</w:t>
      </w:r>
    </w:p>
    <w:p>
      <w:pPr>
        <w:spacing w:after="0" w:line="55" w:lineRule="exact"/>
        <w:rPr>
          <w:rFonts w:ascii="Arial" w:cs="Arial" w:eastAsia="Arial" w:hAnsi="Arial"/>
          <w:sz w:val="18"/>
          <w:szCs w:val="18"/>
          <w:color w:val="auto"/>
        </w:rPr>
      </w:pPr>
    </w:p>
    <w:p>
      <w:pPr>
        <w:ind w:firstLine="443"/>
        <w:spacing w:after="0" w:line="303" w:lineRule="auto"/>
        <w:tabs>
          <w:tab w:leader="none" w:pos="677" w:val="left"/>
        </w:tabs>
        <w:numPr>
          <w:ilvl w:val="1"/>
          <w:numId w:val="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Black Scholes Consideration Value</w:t>
      </w:r>
      <w:r>
        <w:rPr>
          <w:rFonts w:ascii="Arial" w:cs="Arial" w:eastAsia="Arial" w:hAnsi="Arial"/>
          <w:sz w:val="15"/>
          <w:szCs w:val="15"/>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zero cost of borrow and</w:t>
      </w:r>
    </w:p>
    <w:p>
      <w:pPr>
        <w:spacing w:after="0" w:line="2" w:lineRule="exact"/>
        <w:rPr>
          <w:rFonts w:ascii="Arial" w:cs="Arial" w:eastAsia="Arial" w:hAnsi="Arial"/>
          <w:sz w:val="15"/>
          <w:szCs w:val="15"/>
          <w:color w:val="auto"/>
        </w:rPr>
      </w:pPr>
    </w:p>
    <w:p>
      <w:pPr>
        <w:ind w:left="300" w:hanging="296"/>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expected volatility equal to the greater of 100% and the 100 day volatility obtained from the “HVT” function on Bloomberg (determined utilizing a</w:t>
      </w:r>
    </w:p>
    <w:p>
      <w:pPr>
        <w:spacing w:after="0" w:line="32"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260 day annualization factor) as of the Trading Day immediately following the date of issuance of such Option, Convertible Security or Adjustment Right (as the case may be).</w:t>
      </w:r>
    </w:p>
    <w:p>
      <w:pPr>
        <w:spacing w:after="0" w:line="50" w:lineRule="exact"/>
        <w:rPr>
          <w:rFonts w:ascii="Arial" w:cs="Arial" w:eastAsia="Arial" w:hAnsi="Arial"/>
          <w:sz w:val="16"/>
          <w:szCs w:val="16"/>
          <w:color w:val="auto"/>
        </w:rPr>
      </w:pPr>
    </w:p>
    <w:p>
      <w:pPr>
        <w:ind w:left="660" w:hanging="217"/>
        <w:spacing w:after="0"/>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90" w:lineRule="exact"/>
        <w:rPr>
          <w:rFonts w:ascii="Arial" w:cs="Arial" w:eastAsia="Arial" w:hAnsi="Arial"/>
          <w:sz w:val="18"/>
          <w:szCs w:val="18"/>
          <w:color w:val="auto"/>
        </w:rPr>
      </w:pPr>
    </w:p>
    <w:p>
      <w:pPr>
        <w:ind w:right="80" w:firstLine="443"/>
        <w:spacing w:after="0" w:line="275" w:lineRule="auto"/>
        <w:tabs>
          <w:tab w:leader="none" w:pos="687"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38" w:lineRule="exact"/>
        <w:rPr>
          <w:rFonts w:ascii="Arial" w:cs="Arial" w:eastAsia="Arial" w:hAnsi="Arial"/>
          <w:sz w:val="18"/>
          <w:szCs w:val="18"/>
          <w:color w:val="auto"/>
        </w:rPr>
      </w:pPr>
    </w:p>
    <w:p>
      <w:pPr>
        <w:ind w:right="100" w:firstLine="443"/>
        <w:spacing w:after="0" w:line="258" w:lineRule="auto"/>
        <w:tabs>
          <w:tab w:leader="none" w:pos="687"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74" w:right="239" w:bottom="1440" w:gutter="0" w:footer="0" w:header="0"/>
        </w:sectPr>
      </w:pPr>
    </w:p>
    <w:bookmarkStart w:id="77" w:name="page78"/>
    <w:bookmarkEnd w:id="7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 merger in connection with a bona fide acquisition by the Company of any Person (x) in which the shareholders of the Company prior to such merger own at least 51% of the Voting Stock of the Company after such merger and (y) such merger does not contemplate a change in a majority of the identity of the Board of Directors of the Company.</w:t>
      </w:r>
    </w:p>
    <w:p>
      <w:pPr>
        <w:spacing w:after="0" w:line="33" w:lineRule="exact"/>
        <w:rPr>
          <w:sz w:val="20"/>
          <w:szCs w:val="20"/>
          <w:color w:val="auto"/>
        </w:rPr>
      </w:pPr>
    </w:p>
    <w:p>
      <w:pPr>
        <w:ind w:left="660" w:hanging="217"/>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Redemption Premium</w:t>
      </w:r>
      <w:r>
        <w:rPr>
          <w:rFonts w:ascii="Arial" w:cs="Arial" w:eastAsia="Arial" w:hAnsi="Arial"/>
          <w:sz w:val="18"/>
          <w:szCs w:val="18"/>
          <w:color w:val="auto"/>
        </w:rPr>
        <w:t>” means 125%.</w:t>
      </w:r>
    </w:p>
    <w:p>
      <w:pPr>
        <w:spacing w:after="0" w:line="90" w:lineRule="exact"/>
        <w:rPr>
          <w:rFonts w:ascii="Arial" w:cs="Arial" w:eastAsia="Arial" w:hAnsi="Arial"/>
          <w:sz w:val="18"/>
          <w:szCs w:val="18"/>
          <w:color w:val="auto"/>
        </w:rPr>
      </w:pPr>
    </w:p>
    <w:p>
      <w:pPr>
        <w:ind w:firstLine="443"/>
        <w:spacing w:after="0" w:line="286" w:lineRule="auto"/>
        <w:tabs>
          <w:tab w:leader="none" w:pos="648"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City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stock splits, stock dividends, stock combinations, recapitalizations or other similar transactions during such period.</w:t>
      </w:r>
    </w:p>
    <w:p>
      <w:pPr>
        <w:spacing w:after="0" w:line="36" w:lineRule="exact"/>
        <w:rPr>
          <w:rFonts w:ascii="Arial" w:cs="Arial" w:eastAsia="Arial" w:hAnsi="Arial"/>
          <w:sz w:val="16"/>
          <w:szCs w:val="16"/>
          <w:color w:val="auto"/>
        </w:rPr>
      </w:pPr>
    </w:p>
    <w:p>
      <w:pPr>
        <w:ind w:right="580" w:firstLine="443"/>
        <w:spacing w:after="0" w:line="334" w:lineRule="auto"/>
        <w:tabs>
          <w:tab w:leader="none" w:pos="6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 w:lineRule="exact"/>
        <w:rPr>
          <w:rFonts w:ascii="Arial" w:cs="Arial" w:eastAsia="Arial" w:hAnsi="Arial"/>
          <w:sz w:val="16"/>
          <w:szCs w:val="16"/>
          <w:color w:val="auto"/>
        </w:rPr>
      </w:pPr>
    </w:p>
    <w:p>
      <w:pPr>
        <w:jc w:val="both"/>
        <w:ind w:firstLine="443"/>
        <w:spacing w:after="0" w:line="262" w:lineRule="auto"/>
        <w:tabs>
          <w:tab w:leader="none" w:pos="6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Deemed Outstanding</w:t>
      </w:r>
      <w:r>
        <w:rPr>
          <w:rFonts w:ascii="Arial" w:cs="Arial" w:eastAsia="Arial" w:hAnsi="Arial"/>
          <w:sz w:val="18"/>
          <w:szCs w:val="18"/>
          <w:color w:val="auto"/>
        </w:rPr>
        <w:t>” means, at any given time, the number of shares of Common Stock actually outstanding at such time, but excluding any shares of Common Stock owned or held by or for the account of the Company or issuable upon conversion and exercise, as applicable, of the Notes and the Warrants.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78" w:name="page79"/>
    <w:bookmarkEnd w:id="78"/>
    <w:p>
      <w:pPr>
        <w:ind w:left="740" w:hanging="297"/>
        <w:spacing w:after="0"/>
        <w:tabs>
          <w:tab w:leader="none" w:pos="740" w:val="left"/>
        </w:tabs>
        <w:numPr>
          <w:ilvl w:val="1"/>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Company Conversion Price</w:t>
      </w:r>
      <w:r>
        <w:rPr>
          <w:rFonts w:ascii="Arial" w:cs="Arial" w:eastAsia="Arial" w:hAnsi="Arial"/>
          <w:sz w:val="16"/>
          <w:szCs w:val="16"/>
          <w:color w:val="auto"/>
        </w:rPr>
        <w:t>” means, with respect to a particular date of determination, the lower of (i) the Conversion Price then in effect and</w:t>
      </w:r>
    </w:p>
    <w:p>
      <w:pPr>
        <w:spacing w:after="0" w:line="44" w:lineRule="exact"/>
        <w:rPr>
          <w:rFonts w:ascii="Arial" w:cs="Arial" w:eastAsia="Arial" w:hAnsi="Arial"/>
          <w:sz w:val="16"/>
          <w:szCs w:val="16"/>
          <w:color w:val="auto"/>
        </w:rPr>
      </w:pPr>
    </w:p>
    <w:p>
      <w:pPr>
        <w:ind w:right="140" w:firstLine="4"/>
        <w:spacing w:after="0" w:line="255" w:lineRule="auto"/>
        <w:tabs>
          <w:tab w:leader="none" w:pos="2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price which shall be computed as 85% of Market Price as of the Trading Day immediately prior to the applicable Installment Date. All such determinations to be appropriately adjusted for any stock split, stock dividend, stock combination, recapitalization or other similar transaction during any such measuring period.</w:t>
      </w:r>
    </w:p>
    <w:p>
      <w:pPr>
        <w:spacing w:after="0" w:line="57" w:lineRule="exact"/>
        <w:rPr>
          <w:rFonts w:ascii="Arial" w:cs="Arial" w:eastAsia="Arial" w:hAnsi="Arial"/>
          <w:sz w:val="18"/>
          <w:szCs w:val="18"/>
          <w:color w:val="auto"/>
        </w:rPr>
      </w:pPr>
    </w:p>
    <w:p>
      <w:pPr>
        <w:ind w:right="280" w:firstLine="443"/>
        <w:spacing w:after="0" w:line="357" w:lineRule="auto"/>
        <w:tabs>
          <w:tab w:leader="none" w:pos="687" w:val="left"/>
        </w:tabs>
        <w:numPr>
          <w:ilvl w:val="1"/>
          <w:numId w:val="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Conversion Share Ratio</w:t>
      </w:r>
      <w:r>
        <w:rPr>
          <w:rFonts w:ascii="Arial" w:cs="Arial" w:eastAsia="Arial" w:hAnsi="Arial"/>
          <w:sz w:val="15"/>
          <w:szCs w:val="15"/>
          <w:color w:val="auto"/>
        </w:rPr>
        <w:t>” means as to any applicable Installment Date, the quotient of (i) the number of Pre-Installment Conversion Shares delivered in connection with such Installment Date divided by (ii) the number of Installment Conversion Shares applicable to such Installment Date.</w:t>
      </w:r>
    </w:p>
    <w:p>
      <w:pPr>
        <w:ind w:right="340" w:firstLine="443"/>
        <w:spacing w:after="0" w:line="357" w:lineRule="auto"/>
        <w:tabs>
          <w:tab w:leader="none" w:pos="687" w:val="left"/>
        </w:tabs>
        <w:numPr>
          <w:ilvl w:val="1"/>
          <w:numId w:val="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Convertible Securities</w:t>
      </w:r>
      <w:r>
        <w:rPr>
          <w:rFonts w:ascii="Arial" w:cs="Arial" w:eastAsia="Arial" w:hAnsi="Arial"/>
          <w:sz w:val="15"/>
          <w:szCs w:val="15"/>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jc w:val="both"/>
        <w:ind w:right="20" w:firstLine="443"/>
        <w:spacing w:after="0" w:line="262" w:lineRule="auto"/>
        <w:tabs>
          <w:tab w:leader="none" w:pos="687"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Subsidiary</w:t>
      </w:r>
      <w:r>
        <w:rPr>
          <w:rFonts w:ascii="Arial" w:cs="Arial" w:eastAsia="Arial" w:hAnsi="Arial"/>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Arial" w:cs="Arial" w:eastAsia="Arial" w:hAnsi="Arial"/>
          <w:sz w:val="18"/>
          <w:szCs w:val="18"/>
          <w:b w:val="1"/>
          <w:bCs w:val="1"/>
          <w:color w:val="auto"/>
        </w:rPr>
        <w:t>Current Subsidiaries</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right="480" w:firstLine="443"/>
        <w:spacing w:after="0" w:line="275" w:lineRule="auto"/>
        <w:tabs>
          <w:tab w:leader="none" w:pos="687"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Capital Market, the Nasdaq Global Market or the Principal Market.</w:t>
      </w:r>
    </w:p>
    <w:p>
      <w:pPr>
        <w:spacing w:after="0" w:line="38" w:lineRule="exact"/>
        <w:rPr>
          <w:rFonts w:ascii="Arial" w:cs="Arial" w:eastAsia="Arial" w:hAnsi="Arial"/>
          <w:sz w:val="18"/>
          <w:szCs w:val="18"/>
          <w:color w:val="auto"/>
        </w:rPr>
      </w:pPr>
    </w:p>
    <w:p>
      <w:pPr>
        <w:ind w:firstLine="443"/>
        <w:spacing w:after="0" w:line="287" w:lineRule="auto"/>
        <w:tabs>
          <w:tab w:leader="none" w:pos="657" w:val="left"/>
        </w:tabs>
        <w:numPr>
          <w:ilvl w:val="1"/>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(i) on each day during the period beginning one month prior to the applicable date of determination and ending on and including the applicable date of determination either (x) one or more Registration Statements filed pursuant to the Registration Rights Agreement shall be effective and the prospectus contained therein shall be available for the resale by the Holder of all of the Initial Registrable Securities (as defined in the Registration Rights Agreement) (which, solely for clarification purposes, includes all shares of Common Stock issuable upon conversion of this Note or otherwise pursuant to the terms of this Note and upon exercise of the Warrants) in accordance with the terms of the Registration Rights Agreement and there shall not have been during such period any Grace Periods (as defined in the Registration Rights Agreement) or (y) all Initial Registrable Securities shall be eligible for sale pursuant to Rule 144 without the need for registration under any applicable federal or state securities laws (in each case, disregarding any limitation on conversion of the Notes, other issuance of securities with respect to the Notes and exercise of the Warrants) and no Current Information Failure (as defined in the Registration Rights Agreement) exists or is continuing; (ii) on each day during the period beginning one month prior to the applicable date of determination and ending on and including the applicable date of determination (the “</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the Common Stock (including all Registrable Securities) is listed or designated for quotation (as applicable) on an Eligible</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700" w:top="274" w:right="299" w:bottom="1440" w:gutter="0" w:footer="0" w:header="0"/>
        </w:sectPr>
      </w:pPr>
    </w:p>
    <w:bookmarkStart w:id="79" w:name="page80"/>
    <w:bookmarkEnd w:id="79"/>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or pending either (A) in writing by such Eligible Market or (B) by falling below the minimum listing maintenance requirements of the Eligible Market on which the Common Stock is then listed or designated for quotation (as applicable);</w:t>
      </w:r>
    </w:p>
    <w:p>
      <w:pPr>
        <w:spacing w:after="0" w:line="3" w:lineRule="exact"/>
        <w:rPr>
          <w:sz w:val="20"/>
          <w:szCs w:val="20"/>
          <w:color w:val="auto"/>
        </w:rPr>
      </w:pPr>
    </w:p>
    <w:p>
      <w:pPr>
        <w:ind w:firstLine="4"/>
        <w:spacing w:after="0" w:line="283" w:lineRule="auto"/>
        <w:tabs>
          <w:tab w:leader="none" w:pos="307" w:val="left"/>
        </w:tabs>
        <w:numPr>
          <w:ilvl w:val="0"/>
          <w:numId w:val="87"/>
        </w:numPr>
        <w:rPr>
          <w:rFonts w:ascii="Arial" w:cs="Arial" w:eastAsia="Arial" w:hAnsi="Arial"/>
          <w:sz w:val="16"/>
          <w:szCs w:val="16"/>
          <w:color w:val="auto"/>
        </w:rPr>
      </w:pPr>
      <w:r>
        <w:rPr>
          <w:rFonts w:ascii="Arial" w:cs="Arial" w:eastAsia="Arial" w:hAnsi="Arial"/>
          <w:sz w:val="16"/>
          <w:szCs w:val="16"/>
          <w:color w:val="auto"/>
        </w:rPr>
        <w:t>on each day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may be issued in full without violating Section 3(d) hereof (other than a violation of Section 3(d)(i) solely in connection with a Company Optional Redemption or after giving effect to any Designated Specified Amount adjustment in accordance with Section 8(a)); (v) any shares of Common Stock to be issued in connection with the event requiring determination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all of the Initial Registrable Securities in accordance with the terms of the Registration Rights Agreement or (2) any Initial Registrable Securities to not be eligible for sale pursuant to Rule 144 without the need for registration under any applicable federal or state securities laws (in each case, disregarding any limitation on conversion of the Notes, other issuance of securities with respect to the Notes and exercise of the Warrants) and no Current Information Failure exists or is continuing; (viii) the Holder shall not be in (and no other Buyer shall be in) possession of any material, non-public information provided to any of them by the Company, any of its affiliates or any of their respective employees, officers, representatives, agents or the like; (ix) on each day during the Equity Conditions Measuring Period, the Company otherwise shall have been in compliance with each, and shall not have breached any material provision, covenant, representation or warranty of any Transaction Document (except to the extent such breach has been cured); (x) (A) with respect to Section 8 of this Note, on each day during the period commencing on the Trading Day immediately prior to the applicable Installment Notice Due Date and ending on, and including, the immediately subsequent Installment Date, or (B) with respect to Section 14 of this Note, on each day during the period commencing on the first Trading Day of the applicable Company Optional Redemption Measuring Period and ending on and including the applicable Company Optional Redemption Date, there shall not have occurred any Volume Failure or Price Failure with respect to any such day; and (xi) on each day during the Equity Conditions Measuring Period, there shall not have occurred an Event of Default or an event that with the passage of time or giving of notice would constitute an Event of Default.</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80" w:name="page81"/>
    <w:bookmarkEnd w:id="80"/>
    <w:p>
      <w:pPr>
        <w:ind w:right="360" w:firstLine="443"/>
        <w:spacing w:after="0" w:line="310" w:lineRule="auto"/>
        <w:tabs>
          <w:tab w:leader="none" w:pos="667"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Equity Conditions Failure</w:t>
      </w:r>
      <w:r>
        <w:rPr>
          <w:rFonts w:ascii="Arial" w:cs="Arial" w:eastAsia="Arial" w:hAnsi="Arial"/>
          <w:sz w:val="16"/>
          <w:szCs w:val="16"/>
          <w:color w:val="auto"/>
        </w:rPr>
        <w:t>” means that on any day during the period commencing ten (10) Trading Days prior to the applicable Company Installment Notice Date through the later of the applicable Installment Date and the date on which the applicable shares of Common Stock are actually delivered to the Holder, the Equity Conditions have not been satisfied (or waived in writing by the Holder).</w:t>
      </w:r>
    </w:p>
    <w:p>
      <w:pPr>
        <w:spacing w:after="0" w:line="16" w:lineRule="exact"/>
        <w:rPr>
          <w:rFonts w:ascii="Arial" w:cs="Arial" w:eastAsia="Arial" w:hAnsi="Arial"/>
          <w:sz w:val="16"/>
          <w:szCs w:val="16"/>
          <w:color w:val="auto"/>
        </w:rPr>
      </w:pPr>
    </w:p>
    <w:p>
      <w:pPr>
        <w:ind w:firstLine="443"/>
        <w:spacing w:after="0" w:line="283" w:lineRule="auto"/>
        <w:tabs>
          <w:tab w:leader="none" w:pos="648" w:val="left"/>
        </w:tabs>
        <w:numPr>
          <w:ilvl w:val="1"/>
          <w:numId w:val="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(i) shares of Common Stock, Options, stock appreciation rights, restricted shares of Common Stock, restricted stock units and other stock-based awards to directors, officers, employees or consultants of the Company in their capacity as such pursuant to an Approved Stock Plan (as defined below); (ii) Convertible Securities or Options and shares of Common Stock issued upon the conversion or exercise of such Convertible Securities or Options, in each case, issued pursuant to a Rights Plan (as defined in the Securities Purchase Agreement) approved by the Board of Directors of the Company, (iii) shares of Common Stock issued upon the conversion or exercise of Convertible Securities (other than options to purchase Common Stock issued pursuant to an Approved Stock Plan that are covered by clause (i) above) issued prior to the date hereof; provided that the conversion price of any such Convertible Securities (other than options to purchase Common Stock issued pursuant to an Approved Stock Plan that are covered by clause (i) above) is not lowered, none of such Convertible Securities (other than options to purchase Common Stock issued pursuant to an Approved Stock Plan that are covered by clause (i) above) are amended to increase the number of shares issuable thereunder and none of the terms or conditions of any such Convertible Securities (other than options to purchase Common Stock issued pursuant to an Approved Stock Plan that are covered by clause (i) above) are otherwise materially changed in any manner that adversely affects any of the Buyers; (iv) the shares of Common Stock issuable upon conversion of the Notes or otherwise pursuant to the terms of the Notes, (v) the shares of Common Stock issuable upon exercise of the Warrants,</w:t>
      </w:r>
    </w:p>
    <w:p>
      <w:pPr>
        <w:spacing w:after="0" w:line="1" w:lineRule="exact"/>
        <w:rPr>
          <w:rFonts w:ascii="Arial" w:cs="Arial" w:eastAsia="Arial" w:hAnsi="Arial"/>
          <w:sz w:val="16"/>
          <w:szCs w:val="16"/>
          <w:color w:val="auto"/>
        </w:rPr>
      </w:pPr>
    </w:p>
    <w:p>
      <w:pPr>
        <w:ind w:right="20" w:firstLine="4"/>
        <w:spacing w:after="0" w:line="286" w:lineRule="auto"/>
        <w:tabs>
          <w:tab w:leader="none" w:pos="29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of Common Stock or Options issued to financial institutions or lessors in connection with commercial credit arrangements, equipment financings or similar transactions (excluding any shares of Common Stock issuable upon conversion or exercise of any Convertible Securities); (vii) the shares of Common Stock or Options issued in connection with strategic alliances, acquisitions, mergers, and strategic partnerships, provided, that (A) the primary purpose of such issuance is not to raise capital as determined in good faith by the Board of Directors of the Company, (B) the purchaser or acquirer of the securities in such issuance solely consists of either (x) the actual participants in such strategic alliance or strategic partnership, (y) the actual owners of such assets or securities acquired in such acquisition or merger or (z) the stockholders, partners or members of the foregoing Persons and (C) number or amount of securities issued to such Person by the Company shall not be disproportionate (as determined in good faith by the Board of Directors of the Company) to either (x) the fair market value of such Person’s actual contribution to such strategic alliance or strategic partnership or (y) the proportional ownership of such assets or securities to be acquired by the Company, as applicable; and (viii) shares of Common Stock or Options issued to vendors to settle bona fide trade liabilities.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74" w:right="239" w:bottom="1440" w:gutter="0" w:footer="0" w:header="0"/>
        </w:sectPr>
      </w:pPr>
    </w:p>
    <w:bookmarkStart w:id="81" w:name="page82"/>
    <w:bookmarkEnd w:id="81"/>
    <w:p>
      <w:pPr>
        <w:ind w:right="20" w:firstLine="443"/>
        <w:spacing w:after="0" w:line="286" w:lineRule="auto"/>
        <w:tabs>
          <w:tab w:leader="none" w:pos="687"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directly or indirectly, in one or more related transactions, (1) the Company or any of its Subsidiaries shall consolidate or merge with or into (whether or not the Company or any of its Subsidiaries is the surviving corporation) any other Person, or (2) the Company and its Subsidiaries shall, as determined on a consolidated basis, sell, lease, license, assign, transfer, convey or otherwise dispose of all or substantially all of their properties or assets to any other Person, or (3) the Company or any of its Subsidiaries shall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or any of its Subsidiaries shall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36" w:lineRule="exact"/>
        <w:rPr>
          <w:rFonts w:ascii="Arial" w:cs="Arial" w:eastAsia="Arial" w:hAnsi="Arial"/>
          <w:sz w:val="16"/>
          <w:szCs w:val="16"/>
          <w:color w:val="auto"/>
        </w:rPr>
      </w:pPr>
    </w:p>
    <w:p>
      <w:pPr>
        <w:ind w:left="700" w:hanging="257"/>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90" w:lineRule="exact"/>
        <w:rPr>
          <w:rFonts w:ascii="Arial" w:cs="Arial" w:eastAsia="Arial" w:hAnsi="Arial"/>
          <w:sz w:val="18"/>
          <w:szCs w:val="18"/>
          <w:color w:val="auto"/>
        </w:rPr>
      </w:pPr>
    </w:p>
    <w:p>
      <w:pPr>
        <w:ind w:right="180" w:firstLine="443"/>
        <w:spacing w:after="0" w:line="262" w:lineRule="auto"/>
        <w:tabs>
          <w:tab w:leader="none" w:pos="72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Pro Rata Amount</w:t>
      </w:r>
      <w:r>
        <w:rPr>
          <w:rFonts w:ascii="Arial" w:cs="Arial" w:eastAsia="Arial" w:hAnsi="Arial"/>
          <w:sz w:val="18"/>
          <w:szCs w:val="18"/>
          <w:color w:val="auto"/>
        </w:rPr>
        <w:t>” means a fraction (i) the numerator of which is the original Principal amount of this Note on such Closing Date at which this Note was originally issued and (ii) the denominator of which is the aggregate original principal amount of all Notes issued to the Buyers pursuant to the Securities Purchase Agreement.</w:t>
      </w:r>
    </w:p>
    <w:p>
      <w:pPr>
        <w:spacing w:after="0" w:line="51" w:lineRule="exact"/>
        <w:rPr>
          <w:rFonts w:ascii="Arial" w:cs="Arial" w:eastAsia="Arial" w:hAnsi="Arial"/>
          <w:sz w:val="18"/>
          <w:szCs w:val="18"/>
          <w:color w:val="auto"/>
        </w:rPr>
      </w:pPr>
    </w:p>
    <w:p>
      <w:pPr>
        <w:ind w:right="140" w:firstLine="443"/>
        <w:spacing w:after="0" w:line="334" w:lineRule="auto"/>
        <w:tabs>
          <w:tab w:leader="none" w:pos="687"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Closing Date</w:t>
      </w:r>
      <w:r>
        <w:rPr>
          <w:rFonts w:ascii="Arial" w:cs="Arial" w:eastAsia="Arial" w:hAnsi="Arial"/>
          <w:sz w:val="16"/>
          <w:szCs w:val="16"/>
          <w:color w:val="auto"/>
        </w:rPr>
        <w:t>” shall have the meaning ascribed to such term in the Securities Purchase Agreement, which date is the date the Company initially issued Initial Notes (as defined in the Securities Purchase Agreement) pursuant to the terms of the Securities Purchase Agreement.</w:t>
      </w:r>
    </w:p>
    <w:p>
      <w:pPr>
        <w:spacing w:after="0" w:line="1" w:lineRule="exact"/>
        <w:rPr>
          <w:rFonts w:ascii="Arial" w:cs="Arial" w:eastAsia="Arial" w:hAnsi="Arial"/>
          <w:sz w:val="16"/>
          <w:szCs w:val="16"/>
          <w:color w:val="auto"/>
        </w:rPr>
      </w:pPr>
    </w:p>
    <w:p>
      <w:pPr>
        <w:ind w:firstLine="443"/>
        <w:spacing w:after="0" w:line="275" w:lineRule="auto"/>
        <w:tabs>
          <w:tab w:leader="none" w:pos="6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 shall have the meaning ascribed to such term in the Securities Purchase Agreement, and shall include all notes issued in exchange therefor or replacement thereof.</w:t>
      </w:r>
    </w:p>
    <w:p>
      <w:pPr>
        <w:spacing w:after="0" w:line="38" w:lineRule="exact"/>
        <w:rPr>
          <w:rFonts w:ascii="Arial" w:cs="Arial" w:eastAsia="Arial" w:hAnsi="Arial"/>
          <w:sz w:val="18"/>
          <w:szCs w:val="18"/>
          <w:color w:val="auto"/>
        </w:rPr>
      </w:pPr>
    </w:p>
    <w:p>
      <w:pPr>
        <w:jc w:val="both"/>
        <w:ind w:right="80" w:firstLine="443"/>
        <w:spacing w:after="0" w:line="258" w:lineRule="auto"/>
        <w:tabs>
          <w:tab w:leader="none" w:pos="6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Installment Amount</w:t>
      </w:r>
      <w:r>
        <w:rPr>
          <w:rFonts w:ascii="Arial" w:cs="Arial" w:eastAsia="Arial" w:hAnsi="Arial"/>
          <w:sz w:val="18"/>
          <w:szCs w:val="18"/>
          <w:color w:val="auto"/>
        </w:rPr>
        <w:t>” means (i) with respect to any Installment Date other than the Maturity Date, the lesser of (A) $925,925.93 and (B)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or increased pursuant to the terms of this Note, whether upon conversion,</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700" w:top="274" w:right="279" w:bottom="1440" w:gutter="0" w:footer="0" w:header="0"/>
        </w:sectPr>
      </w:pPr>
    </w:p>
    <w:bookmarkStart w:id="82" w:name="page83"/>
    <w:bookmarkEnd w:id="8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or otherwise, together with, in each case of clauses (i) and (ii), the sum of any accrued and unpaid Interest as of such Installment Date under this Note. In the event the Holder shall sell or otherwise transfer any portion of this Note, the transferee shall be allocated a pro rata portion of each unpaid Installment Amount hereunder.</w:t>
      </w:r>
    </w:p>
    <w:p>
      <w:pPr>
        <w:spacing w:after="0" w:line="53" w:lineRule="exact"/>
        <w:rPr>
          <w:sz w:val="20"/>
          <w:szCs w:val="20"/>
          <w:color w:val="auto"/>
        </w:rPr>
      </w:pPr>
    </w:p>
    <w:p>
      <w:pPr>
        <w:ind w:right="100" w:firstLine="443"/>
        <w:spacing w:after="0" w:line="334" w:lineRule="auto"/>
        <w:tabs>
          <w:tab w:leader="none" w:pos="7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Installment Conversion Shares</w:t>
      </w:r>
      <w:r>
        <w:rPr>
          <w:rFonts w:ascii="Arial" w:cs="Arial" w:eastAsia="Arial" w:hAnsi="Arial"/>
          <w:sz w:val="16"/>
          <w:szCs w:val="16"/>
          <w:color w:val="auto"/>
        </w:rPr>
        <w:t>” means that number of shares of Common Stock that would be required to be delivered pursuant to Section 8 on an applicable Installment Date without taking into account the delivery of any Pre-Installment Conversion Shares.</w:t>
      </w:r>
    </w:p>
    <w:p>
      <w:pPr>
        <w:spacing w:after="0" w:line="1" w:lineRule="exact"/>
        <w:rPr>
          <w:rFonts w:ascii="Arial" w:cs="Arial" w:eastAsia="Arial" w:hAnsi="Arial"/>
          <w:sz w:val="16"/>
          <w:szCs w:val="16"/>
          <w:color w:val="auto"/>
        </w:rPr>
      </w:pPr>
    </w:p>
    <w:p>
      <w:pPr>
        <w:ind w:right="100" w:firstLine="443"/>
        <w:spacing w:after="0" w:line="334" w:lineRule="auto"/>
        <w:tabs>
          <w:tab w:leader="none" w:pos="77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Installment Date</w:t>
      </w:r>
      <w:r>
        <w:rPr>
          <w:rFonts w:ascii="Arial" w:cs="Arial" w:eastAsia="Arial" w:hAnsi="Arial"/>
          <w:sz w:val="16"/>
          <w:szCs w:val="16"/>
          <w:color w:val="auto"/>
        </w:rPr>
        <w:t>” means (i) initially, the date that is four months after the Initial Closing Date, (ii) then, on each subsequent first (1</w:t>
      </w:r>
      <w:r>
        <w:rPr>
          <w:rFonts w:ascii="Arial" w:cs="Arial" w:eastAsia="Arial" w:hAnsi="Arial"/>
          <w:sz w:val="10"/>
          <w:szCs w:val="10"/>
          <w:color w:val="auto"/>
        </w:rPr>
        <w:t>st</w:t>
      </w:r>
      <w:r>
        <w:rPr>
          <w:rFonts w:ascii="Arial" w:cs="Arial" w:eastAsia="Arial" w:hAnsi="Arial"/>
          <w:sz w:val="16"/>
          <w:szCs w:val="16"/>
          <w:color w:val="auto"/>
        </w:rPr>
        <w:t>) Trading Day of each calendar month thereafter, but prior to the calendar month in which the Maturity Date occurs and (iii) the Maturity Date.</w:t>
      </w:r>
    </w:p>
    <w:p>
      <w:pPr>
        <w:spacing w:after="0" w:line="1" w:lineRule="exact"/>
        <w:rPr>
          <w:rFonts w:ascii="Arial" w:cs="Arial" w:eastAsia="Arial" w:hAnsi="Arial"/>
          <w:sz w:val="16"/>
          <w:szCs w:val="16"/>
          <w:color w:val="auto"/>
        </w:rPr>
      </w:pPr>
    </w:p>
    <w:p>
      <w:pPr>
        <w:ind w:left="760" w:hanging="317"/>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seven percent (7%) per annum, as may be adjusted from time to time in accordance with Section 2.</w:t>
      </w:r>
    </w:p>
    <w:p>
      <w:pPr>
        <w:spacing w:after="0" w:line="90" w:lineRule="exact"/>
        <w:rPr>
          <w:rFonts w:ascii="Arial" w:cs="Arial" w:eastAsia="Arial" w:hAnsi="Arial"/>
          <w:sz w:val="18"/>
          <w:szCs w:val="18"/>
          <w:color w:val="auto"/>
        </w:rPr>
      </w:pPr>
    </w:p>
    <w:p>
      <w:pPr>
        <w:ind w:right="160" w:firstLine="443"/>
        <w:spacing w:after="0" w:line="256" w:lineRule="auto"/>
        <w:tabs>
          <w:tab w:leader="none" w:pos="7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Price</w:t>
      </w:r>
      <w:r>
        <w:rPr>
          <w:rFonts w:ascii="Arial" w:cs="Arial" w:eastAsia="Arial" w:hAnsi="Arial"/>
          <w:sz w:val="18"/>
          <w:szCs w:val="18"/>
          <w:color w:val="auto"/>
        </w:rPr>
        <w:t>” means, for any given date, the lesser of (x) the VWAP of the Common Stock on the Trading Day immediately preceding such given date and (y) quotient of (I) the sum of the VWAP of the Common Stock for each of the Trading Days during the ten (10) consecutive Trading Day period ending and including the Trading Day immediately prior to such given date, divided by (II) ten (10) (such period, the “</w:t>
      </w:r>
      <w:r>
        <w:rPr>
          <w:rFonts w:ascii="Arial" w:cs="Arial" w:eastAsia="Arial" w:hAnsi="Arial"/>
          <w:sz w:val="18"/>
          <w:szCs w:val="18"/>
          <w:b w:val="1"/>
          <w:bCs w:val="1"/>
          <w:color w:val="auto"/>
        </w:rPr>
        <w:t>Market Price Measuring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All such determinations to be appropriately adjusted for any stock splits, stock dividends, stock combinations, recapitalizations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during such Market Price Measuring Period.</w:t>
      </w:r>
    </w:p>
    <w:p>
      <w:pPr>
        <w:spacing w:after="0" w:line="57" w:lineRule="exact"/>
        <w:rPr>
          <w:rFonts w:ascii="Arial" w:cs="Arial" w:eastAsia="Arial" w:hAnsi="Arial"/>
          <w:sz w:val="18"/>
          <w:szCs w:val="18"/>
          <w:color w:val="auto"/>
        </w:rPr>
      </w:pPr>
    </w:p>
    <w:p>
      <w:pPr>
        <w:ind w:right="40" w:firstLine="443"/>
        <w:spacing w:after="0" w:line="291" w:lineRule="auto"/>
        <w:tabs>
          <w:tab w:leader="none" w:pos="7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October 4, 2014;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Fundamental Transaction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32" w:lineRule="exact"/>
        <w:rPr>
          <w:rFonts w:ascii="Arial" w:cs="Arial" w:eastAsia="Arial" w:hAnsi="Arial"/>
          <w:sz w:val="16"/>
          <w:szCs w:val="16"/>
          <w:color w:val="auto"/>
        </w:rPr>
      </w:pPr>
    </w:p>
    <w:p>
      <w:pPr>
        <w:ind w:firstLine="443"/>
        <w:spacing w:after="0" w:line="301" w:lineRule="auto"/>
        <w:tabs>
          <w:tab w:leader="none" w:pos="713"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 Proceeds”</w:t>
      </w:r>
      <w:r>
        <w:rPr>
          <w:rFonts w:ascii="Arial" w:cs="Arial" w:eastAsia="Arial" w:hAnsi="Arial"/>
          <w:sz w:val="16"/>
          <w:szCs w:val="16"/>
          <w:color w:val="auto"/>
        </w:rPr>
        <w:t xml:space="preserve"> means, with respect to any Sale, the absolute value of (i) $25,000,000 minus (ii) an amount equal to: (A) the sum of cash payments and cash equivalents received by the Company or any of its Subsidiaries, from such Sale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any reasonable direct out-of-pocket actual and estimated professional fees and other costs or expenses incurred in connection with such Sale.</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80" w:right="239" w:bottom="1440" w:gutter="0" w:footer="0" w:header="0"/>
        </w:sectPr>
      </w:pPr>
    </w:p>
    <w:bookmarkStart w:id="83" w:name="page84"/>
    <w:bookmarkEnd w:id="83"/>
    <w:p>
      <w:pPr>
        <w:ind w:left="780" w:hanging="337"/>
        <w:spacing w:after="0"/>
        <w:tabs>
          <w:tab w:leader="none" w:pos="780" w:val="left"/>
        </w:tabs>
        <w:numPr>
          <w:ilvl w:val="1"/>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New Subsidiary</w:t>
      </w:r>
      <w:r>
        <w:rPr>
          <w:rFonts w:ascii="Arial" w:cs="Arial" w:eastAsia="Arial" w:hAnsi="Arial"/>
          <w:sz w:val="16"/>
          <w:szCs w:val="16"/>
          <w:color w:val="auto"/>
        </w:rPr>
        <w:t>” means, as of any date of determination, any Person in which the Company after the Subscription Date, directly or indirectly,</w:t>
      </w:r>
    </w:p>
    <w:p>
      <w:pPr>
        <w:spacing w:after="0" w:line="44" w:lineRule="exact"/>
        <w:rPr>
          <w:rFonts w:ascii="Arial" w:cs="Arial" w:eastAsia="Arial" w:hAnsi="Arial"/>
          <w:sz w:val="16"/>
          <w:szCs w:val="16"/>
          <w:color w:val="auto"/>
        </w:rPr>
      </w:pPr>
    </w:p>
    <w:p>
      <w:pPr>
        <w:ind w:right="120" w:firstLine="4"/>
        <w:spacing w:after="0" w:line="261" w:lineRule="auto"/>
        <w:tabs>
          <w:tab w:leader="none" w:pos="2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owns or acquires any of the outstanding capital stock or holds any equity or similar interest of such Person or (ii) controls or operates all or any part of the business, operations or administration of such Person, and all of the foregoing, collectively, “</w:t>
      </w:r>
      <w:r>
        <w:rPr>
          <w:rFonts w:ascii="Arial" w:cs="Arial" w:eastAsia="Arial" w:hAnsi="Arial"/>
          <w:sz w:val="18"/>
          <w:szCs w:val="18"/>
          <w:b w:val="1"/>
          <w:bCs w:val="1"/>
          <w:color w:val="auto"/>
        </w:rPr>
        <w:t>New Subsidiaries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113" w:lineRule="exact"/>
        <w:rPr>
          <w:rFonts w:ascii="Arial" w:cs="Arial" w:eastAsia="Arial" w:hAnsi="Arial"/>
          <w:sz w:val="16"/>
          <w:szCs w:val="16"/>
          <w:color w:val="auto"/>
        </w:rPr>
      </w:pPr>
    </w:p>
    <w:p>
      <w:pPr>
        <w:ind w:right="200" w:firstLine="443"/>
        <w:spacing w:after="0" w:line="310" w:lineRule="auto"/>
        <w:tabs>
          <w:tab w:leader="none" w:pos="697"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Entity</w:t>
      </w:r>
      <w:r>
        <w:rPr>
          <w:rFonts w:ascii="Arial" w:cs="Arial" w:eastAsia="Arial" w:hAnsi="Arial"/>
          <w:sz w:val="16"/>
          <w:szCs w:val="16"/>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6" w:lineRule="exact"/>
        <w:rPr>
          <w:rFonts w:ascii="Arial" w:cs="Arial" w:eastAsia="Arial" w:hAnsi="Arial"/>
          <w:sz w:val="16"/>
          <w:szCs w:val="16"/>
          <w:color w:val="auto"/>
        </w:rPr>
      </w:pPr>
    </w:p>
    <w:p>
      <w:pPr>
        <w:ind w:left="700" w:hanging="257"/>
        <w:spacing w:after="0"/>
        <w:tabs>
          <w:tab w:leader="none" w:pos="7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(i) Indebtedness evidenced by this Note and the Other Notes; (ii) Permitted Senior Indebtedness,</w:t>
      </w:r>
    </w:p>
    <w:p>
      <w:pPr>
        <w:spacing w:after="0" w:line="44" w:lineRule="exact"/>
        <w:rPr>
          <w:sz w:val="20"/>
          <w:szCs w:val="20"/>
          <w:color w:val="auto"/>
        </w:rPr>
      </w:pPr>
    </w:p>
    <w:p>
      <w:pPr>
        <w:ind w:right="40" w:firstLine="4"/>
        <w:spacing w:after="0" w:line="300" w:lineRule="auto"/>
        <w:tabs>
          <w:tab w:leader="none" w:pos="307"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Indebtedness incurred by the Company that is made expressly subordinate in right of payment to the Indebtedness evidenced by this Note, as reflected in a written agreement acceptable to the Required Holders, and which Indebtedness does not provide at any time for (1) the payment, prepayment, repayment, repurchase or defeasance, directly or indirectly, of any principal or premium, if any, thereon until ninety-one (91) days after the Maturity Date or later and (2) total interest and fees at a rate in excess of seven percent (7%) per annum (collectively, the “</w:t>
      </w:r>
      <w:r>
        <w:rPr>
          <w:rFonts w:ascii="Arial" w:cs="Arial" w:eastAsia="Arial" w:hAnsi="Arial"/>
          <w:sz w:val="15"/>
          <w:szCs w:val="15"/>
          <w:b w:val="1"/>
          <w:bCs w:val="1"/>
          <w:color w:val="auto"/>
        </w:rPr>
        <w:t>Subordinated Indebtedness</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right="40" w:firstLine="4"/>
        <w:spacing w:after="0" w:line="300" w:lineRule="auto"/>
        <w:tabs>
          <w:tab w:leader="none" w:pos="297"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Indebtedness described in Schedule 3(s) of the Securities Purchase Agreement as in effect as of the Subscription Date; provided, that the principal amount of such Indebtedness is not increased, the terms of such Indebtedness are not modified to impose more burdensome terms upon the Company or any of its Subsidiaries and the terms of such Indebtedness are not materially changed in any manner that adversely affects the Holder or any of the Buyers,</w:t>
      </w:r>
    </w:p>
    <w:p>
      <w:pPr>
        <w:spacing w:after="0" w:line="1" w:lineRule="exact"/>
        <w:rPr>
          <w:rFonts w:ascii="Arial" w:cs="Arial" w:eastAsia="Arial" w:hAnsi="Arial"/>
          <w:sz w:val="15"/>
          <w:szCs w:val="15"/>
          <w:color w:val="auto"/>
        </w:rPr>
      </w:pPr>
    </w:p>
    <w:p>
      <w:pPr>
        <w:ind w:firstLine="4"/>
        <w:spacing w:after="0" w:line="281" w:lineRule="auto"/>
        <w:tabs>
          <w:tab w:leader="none" w:pos="249"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Indebtedness constituting reimbursement obligations with respect to letters of credit issued in the ordinary course of business, including letters of credit in respect of workers’ compensation claims, or other Indebtedness with respect to reimbursement of the types of obligations regarding workers’ compensation claims, (vi) Indebtedness arising from agreements providing for indemnification, adjustment of purchase price, earnouts or similar obligations, in each case, incurred or assumed in connection with the disposition of any business, assets or a subsidiary, (vii) intercompany Indebtedness,</w:t>
      </w:r>
    </w:p>
    <w:p>
      <w:pPr>
        <w:spacing w:after="0" w:line="2" w:lineRule="exact"/>
        <w:rPr>
          <w:rFonts w:ascii="Arial" w:cs="Arial" w:eastAsia="Arial" w:hAnsi="Arial"/>
          <w:sz w:val="16"/>
          <w:szCs w:val="16"/>
          <w:color w:val="auto"/>
        </w:rPr>
      </w:pPr>
    </w:p>
    <w:p>
      <w:pPr>
        <w:ind w:right="20" w:firstLine="4"/>
        <w:spacing w:after="0" w:line="288" w:lineRule="auto"/>
        <w:tabs>
          <w:tab w:leader="none" w:pos="3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hedging obligations (excluding hedging obligations entered into for speculative purposes) for the purposes of limiting (a) interest rate risk with respect to any Indebtedness that is permitted by the terms of this Note, (b) exchange rate risk with respect to any currency exchange or (c) commodity pricing risk with respect to any commodity, (ix) obligations in respect of performance, bid, appeal and surety bonds and completion guarantees and similar obligations provided in the ordinary course of business, (x) Indebtedness arising from the honoring by a bank or other financial institution of a check, draft or similar instrument drawn against insufficient funds in the ordinary course of business, (xi) Indebtedness supported by a letter of credit excess of the amount of the Indebtedness, (xii) Indebtedness consisting of the financing of insurance premiums or take-or-pay obligations contained in supply arrangements in each case, incurred in the ordinary</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700" w:top="274" w:right="299" w:bottom="1440" w:gutter="0" w:footer="0" w:header="0"/>
        </w:sectPr>
      </w:pPr>
    </w:p>
    <w:bookmarkStart w:id="84" w:name="page85"/>
    <w:bookmarkEnd w:id="8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course of business, (xiii) customer deposits and advance payments received in the ordinary course of business from customers for goods purchased in the ordinary course of business (xiv) Indebtedness incurred in connection with bankers’ acceptances, discounted bills of exchange or the discounting or factoring of receivables for credit management purposes, in each case incurred or undertaken in the ordinary course of business on arm’s length commercial terms on a recourse basis, (xv) capital leases entered into in the ordinary course of business and (xvi) any item described in clauses (A) through (H) of the definition of Indebtedness that was not Indebtedness on the date of the Securities Purchase Agreement that becomes Indebtedness after the date of the Securities Purchase Agreement as a result of a change in GAAP.</w:t>
      </w:r>
    </w:p>
    <w:p>
      <w:pPr>
        <w:spacing w:after="0" w:line="33" w:lineRule="exact"/>
        <w:rPr>
          <w:sz w:val="20"/>
          <w:szCs w:val="20"/>
          <w:color w:val="auto"/>
        </w:rPr>
      </w:pPr>
    </w:p>
    <w:p>
      <w:pPr>
        <w:ind w:right="60" w:firstLine="443"/>
        <w:spacing w:after="0" w:line="293" w:lineRule="auto"/>
        <w:tabs>
          <w:tab w:leader="none" w:pos="775" w:val="left"/>
        </w:tabs>
        <w:numPr>
          <w:ilvl w:val="1"/>
          <w:numId w:val="96"/>
        </w:numPr>
        <w:rPr>
          <w:rFonts w:ascii="Arial" w:cs="Arial" w:eastAsia="Arial" w:hAnsi="Arial"/>
          <w:sz w:val="16"/>
          <w:szCs w:val="16"/>
          <w:color w:val="auto"/>
        </w:rPr>
      </w:pPr>
      <w:r>
        <w:rPr>
          <w:rFonts w:ascii="Arial" w:cs="Arial" w:eastAsia="Arial" w:hAnsi="Arial"/>
          <w:sz w:val="16"/>
          <w:szCs w:val="16"/>
          <w:b w:val="1"/>
          <w:bCs w:val="1"/>
          <w:color w:val="auto"/>
        </w:rPr>
        <w:t>“Permitted Senior Indebtedness</w:t>
      </w:r>
      <w:r>
        <w:rPr>
          <w:rFonts w:ascii="Arial" w:cs="Arial" w:eastAsia="Arial" w:hAnsi="Arial"/>
          <w:sz w:val="16"/>
          <w:szCs w:val="16"/>
          <w:color w:val="auto"/>
        </w:rPr>
        <w:t>” means the principal of (and premium, if any), interest on, and all fees and other amounts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limitation, any reasonable out-of-pocket costs, enforcement expenses (including reasonable out-of-pocket legal fees and disbursements), collateral protection expenses and other reimbursement or indemnity obligations relating thereto) payable by Company and/or its Subsidiaries under or in connection with any credit facility to be entered into by the Company and/or its Subsidiaries with one or more financial institutions (and on terms and conditions), in form and substance reasonably satisfactory to the Required Holders (subject, for the avoidance of doubt, to Section 25(b));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outstanding principal amount of such Indebtedness does not at any time exceed $10,000,000.</w:t>
      </w:r>
    </w:p>
    <w:p>
      <w:pPr>
        <w:spacing w:after="0" w:line="29" w:lineRule="exact"/>
        <w:rPr>
          <w:rFonts w:ascii="Arial" w:cs="Arial" w:eastAsia="Arial" w:hAnsi="Arial"/>
          <w:sz w:val="16"/>
          <w:szCs w:val="16"/>
          <w:color w:val="auto"/>
        </w:rPr>
      </w:pPr>
    </w:p>
    <w:p>
      <w:pPr>
        <w:ind w:right="20" w:firstLine="443"/>
        <w:spacing w:after="0" w:line="283" w:lineRule="auto"/>
        <w:tabs>
          <w:tab w:leader="none" w:pos="6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$10,000,000, (v) Liens on property or shares of stock or other assets of a Person at the time such Person becomes a Subsidiary, provided that such Liens are not created or incurred in connection with, or in contemplation of, such other Person becoming a Subsidiary, (vi) Liens on property or other assets at the time the Company or a Subsidiary acquired the property or such other assets, including any acquisition by means of a merger or consolidation with or into the Company or any Subsidiary, provided that such Liens are not created or incurred in connection with, or in contemplation of, such acquisition, (vii) Liens existing on the Subscription Date,</w:t>
      </w:r>
    </w:p>
    <w:p>
      <w:pPr>
        <w:spacing w:after="0" w:line="1" w:lineRule="exact"/>
        <w:rPr>
          <w:rFonts w:ascii="Arial" w:cs="Arial" w:eastAsia="Arial" w:hAnsi="Arial"/>
          <w:sz w:val="16"/>
          <w:szCs w:val="16"/>
          <w:color w:val="auto"/>
        </w:rPr>
      </w:pPr>
    </w:p>
    <w:p>
      <w:pPr>
        <w:ind w:left="400" w:hanging="396"/>
        <w:spacing w:after="0"/>
        <w:tabs>
          <w:tab w:leader="none" w:pos="4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Liens incurred in connection with the extension, renewal or refinancing of the indebtedness secured by Liens of the type described in clause (iv), (v),</w:t>
      </w:r>
    </w:p>
    <w:p>
      <w:pPr>
        <w:spacing w:after="0" w:line="32" w:lineRule="exact"/>
        <w:rPr>
          <w:rFonts w:ascii="Arial" w:cs="Arial" w:eastAsia="Arial" w:hAnsi="Arial"/>
          <w:sz w:val="16"/>
          <w:szCs w:val="16"/>
          <w:color w:val="auto"/>
        </w:rPr>
      </w:pPr>
    </w:p>
    <w:p>
      <w:pPr>
        <w:ind w:left="300" w:hanging="296"/>
        <w:spacing w:after="0"/>
        <w:tabs>
          <w:tab w:leader="none" w:pos="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 (vii) above, provided that any extension, renewal or replacement Lien shall be limited to the property</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80" w:right="239" w:bottom="1440" w:gutter="0" w:footer="0" w:header="0"/>
        </w:sectPr>
      </w:pPr>
    </w:p>
    <w:bookmarkStart w:id="85" w:name="page86"/>
    <w:bookmarkEnd w:id="8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encumbered by the existing Lien and the principal amount of the Indebtedness being extended, renewed or refinanced does not increase, (ix) leases or subleases and licenses and sublicenses granted to others in the ordinary course of the Company’s business, not interfering in any material respect with the business of the Company and its Subsidiaries taken as a whole, (x) Liens in favor of customs and revenue authorities arising as a matter of law to secure payments of custom duties in connection with the importation of goods, (xi) Liens arising from judgments, decrees or attachments in circumstances not constituting an Event of Default under Section 4(a)(x), (xii) pledges or deposits under workmen’s compensation laws, unemployment insurance laws or similar legislation, (xiii) good faith deposits, prepayments or cash pledges to secure bids, tenders, contracts (other than for the payment of Indebtedness) or leases to which the Company is a party, (xiv) deposits to secure public or statutory obligations of the Company or deposits of cash or U.S. Government bonds to secure surety or appeal bonds to which the Company is a party, in each case incurred in the ordinary course of business. (xv) letters of credit issued pursuant to the request of and for the account of the Company in the ordinary course of its business, (xvi) 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business of the Company or the ownership of its properties, in each case, which were not incurred in connection with Indebtedness and which do not in the aggregate materially adversely affect the value of said properties and materially impair their use in the operation of the business of the Company; (xvii) liens on specific items of inventory or other goods and proceeds of the Company securing the Company’s obligations in respect of bankers’ acceptances issued or created for the account of the Company to facilitate the purchase, shipment or storage of such inventory or other goods, (xviii) Liens arising from financing statement filings under the Uniform Commercial Code or similar state laws regarding operating leases entered into by the Company in the ordinary course of business, (xix) Liens on inventory or equipment of the Company granted in the ordinary course of business to the Company’s client at which such inventory or equipment is located, (xx) deposits in the ordinary course of business to secure liability to insurance carriers, (xxi) 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institutions arising as a matter of law encumbering deposits (including the right of set-off) and which are within the general parameters customary in the banking industry, (xxii) Liens that are contractual rights of set-off (a) relating to the establishment of depository relations with banks not given in connection with the issuance of Indebtedness, (b) relating to pooled deposit or sweep accounts of the Company to permit satisfaction of overdraft or similar obligations incurred in the ordinary course of business of the Company or (c) relating to purchase orders and other agreements entered into with customers of the Company in its ordinary course of business, (xxiii) Liens encumbering reasonably customary initial deposits and margin deposits and similar Liens attaching to commodity trading accounts or other brokerage accounts incurred in the ordinary course of business and not for speculative purposes, (xxiv) Liens securing hedging obligations of the Company, provided that to the</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86" w:name="page87"/>
    <w:bookmarkEnd w:id="8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any such hedging obligation is related to Indebtedness, such related Indebtedness is, and is permitted to be under this Note, secured by a Lien on the same property securing such hedging obligations, (xxv) Liens securing the Company’s obligations under the Notes; and (xxvi) any Lien securing Permitted Senior Indebtedness.</w:t>
      </w:r>
    </w:p>
    <w:p>
      <w:pPr>
        <w:spacing w:after="0" w:line="53" w:lineRule="exact"/>
        <w:rPr>
          <w:sz w:val="20"/>
          <w:szCs w:val="20"/>
          <w:color w:val="auto"/>
        </w:rPr>
      </w:pPr>
    </w:p>
    <w:p>
      <w:pPr>
        <w:ind w:firstLine="443"/>
        <w:spacing w:after="0" w:line="275" w:lineRule="auto"/>
        <w:tabs>
          <w:tab w:leader="none" w:pos="8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38" w:lineRule="exact"/>
        <w:rPr>
          <w:rFonts w:ascii="Arial" w:cs="Arial" w:eastAsia="Arial" w:hAnsi="Arial"/>
          <w:sz w:val="18"/>
          <w:szCs w:val="18"/>
          <w:color w:val="auto"/>
        </w:rPr>
      </w:pPr>
    </w:p>
    <w:p>
      <w:pPr>
        <w:jc w:val="both"/>
        <w:ind w:right="120" w:firstLine="443"/>
        <w:spacing w:after="0" w:line="258" w:lineRule="auto"/>
        <w:tabs>
          <w:tab w:leader="none" w:pos="7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Pre-Installment Period Conversion Price</w:t>
      </w:r>
      <w:r>
        <w:rPr>
          <w:rFonts w:ascii="Arial" w:cs="Arial" w:eastAsia="Arial" w:hAnsi="Arial"/>
          <w:sz w:val="18"/>
          <w:szCs w:val="18"/>
          <w:color w:val="auto"/>
        </w:rPr>
        <w:t>” means, with respect to a particular date of determination, the lower of (i) the Conversion Price then in effect and (ii) 85% of the Market Price as of the Trading Day immediately preceding the delivery or deemed delivery of the applicable Company Installment Notice. All such determinations to be appropriately adjusted for any stock split, stock dividend, stock combination or other similar transaction during any such measuring period.</w:t>
      </w:r>
    </w:p>
    <w:p>
      <w:pPr>
        <w:spacing w:after="0" w:line="55" w:lineRule="exact"/>
        <w:rPr>
          <w:rFonts w:ascii="Arial" w:cs="Arial" w:eastAsia="Arial" w:hAnsi="Arial"/>
          <w:sz w:val="18"/>
          <w:szCs w:val="18"/>
          <w:color w:val="auto"/>
        </w:rPr>
      </w:pPr>
    </w:p>
    <w:p>
      <w:pPr>
        <w:ind w:right="220" w:firstLine="443"/>
        <w:spacing w:after="0" w:line="258" w:lineRule="auto"/>
        <w:tabs>
          <w:tab w:leader="none" w:pos="7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 Failure</w:t>
      </w:r>
      <w:r>
        <w:rPr>
          <w:rFonts w:ascii="Arial" w:cs="Arial" w:eastAsia="Arial" w:hAnsi="Arial"/>
          <w:sz w:val="18"/>
          <w:szCs w:val="18"/>
          <w:color w:val="auto"/>
        </w:rPr>
        <w:t>” means, with respect to a particular date of determination, that the quotient of (I) the sum of the VWAP of the Common Stock for each Trading Day in the thirty (30) consecutive Trading Day period ending and including the Trading Day immediately preceding such date of determination, divided by (II) thirty (30) is less than $2.50 (as adjusted for stock splits, stock dividends, stock combinations, recapitalizations or other similar transactions).</w:t>
      </w:r>
    </w:p>
    <w:p>
      <w:pPr>
        <w:spacing w:after="0" w:line="55" w:lineRule="exact"/>
        <w:rPr>
          <w:rFonts w:ascii="Arial" w:cs="Arial" w:eastAsia="Arial" w:hAnsi="Arial"/>
          <w:sz w:val="18"/>
          <w:szCs w:val="18"/>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w:t>
      </w:r>
    </w:p>
    <w:p>
      <w:pPr>
        <w:spacing w:after="0" w:line="90" w:lineRule="exact"/>
        <w:rPr>
          <w:rFonts w:ascii="Arial" w:cs="Arial" w:eastAsia="Arial" w:hAnsi="Arial"/>
          <w:sz w:val="18"/>
          <w:szCs w:val="18"/>
          <w:color w:val="auto"/>
        </w:rPr>
      </w:pPr>
    </w:p>
    <w:p>
      <w:pPr>
        <w:ind w:right="100" w:firstLine="443"/>
        <w:spacing w:after="0" w:line="262" w:lineRule="auto"/>
        <w:tabs>
          <w:tab w:leader="none" w:pos="7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Notices</w:t>
      </w:r>
      <w:r>
        <w:rPr>
          <w:rFonts w:ascii="Arial" w:cs="Arial" w:eastAsia="Arial" w:hAnsi="Arial"/>
          <w:sz w:val="18"/>
          <w:szCs w:val="18"/>
          <w:color w:val="auto"/>
        </w:rPr>
        <w:t>” means, collectively, the Event of Default Redemption Notices, the Company Installment Notices with respect to any Company Redemption, the Company Optional Redemption Notice, the Sale Redemption Notice and the Change of Control Redemption Notices, and each of the foregoing, individually,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firstLine="443"/>
        <w:spacing w:after="0" w:line="275" w:lineRule="auto"/>
        <w:tabs>
          <w:tab w:leader="none" w:pos="716"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Premium</w:t>
      </w:r>
      <w:r>
        <w:rPr>
          <w:rFonts w:ascii="Arial" w:cs="Arial" w:eastAsia="Arial" w:hAnsi="Arial"/>
          <w:sz w:val="18"/>
          <w:szCs w:val="18"/>
          <w:color w:val="auto"/>
        </w:rPr>
        <w:t>” means (i) in the case of the Events of Default described in Section 4(a) (other than Sections 4(a)(vi) through 4(a)(viii)), 125% or (ii) in the case of the Events of Default described in Sections 4(a)(vi) through 4(a)(viii), 100%.</w:t>
      </w:r>
    </w:p>
    <w:p>
      <w:pPr>
        <w:spacing w:after="0" w:line="38" w:lineRule="exact"/>
        <w:rPr>
          <w:rFonts w:ascii="Arial" w:cs="Arial" w:eastAsia="Arial" w:hAnsi="Arial"/>
          <w:sz w:val="18"/>
          <w:szCs w:val="18"/>
          <w:color w:val="auto"/>
        </w:rPr>
      </w:pPr>
    </w:p>
    <w:p>
      <w:pPr>
        <w:jc w:val="both"/>
        <w:ind w:right="540" w:firstLine="443"/>
        <w:spacing w:after="0" w:line="310" w:lineRule="auto"/>
        <w:tabs>
          <w:tab w:leader="none" w:pos="7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Prices</w:t>
      </w:r>
      <w:r>
        <w:rPr>
          <w:rFonts w:ascii="Arial" w:cs="Arial" w:eastAsia="Arial" w:hAnsi="Arial"/>
          <w:sz w:val="16"/>
          <w:szCs w:val="16"/>
          <w:color w:val="auto"/>
        </w:rPr>
        <w:t>” means, collectively, Event of Default Redemption Prices, the Change of Control Redemption Prices, the Company Optional Redemption Price, the Sale Redemption Price and the Company Installment Redemption Prices, and each of the foregoing, individually, a “</w:t>
      </w:r>
      <w:r>
        <w:rPr>
          <w:rFonts w:ascii="Arial" w:cs="Arial" w:eastAsia="Arial" w:hAnsi="Arial"/>
          <w:sz w:val="16"/>
          <w:szCs w:val="16"/>
          <w:b w:val="1"/>
          <w:bCs w:val="1"/>
          <w:color w:val="auto"/>
        </w:rPr>
        <w:t>Redemption Price</w:t>
      </w:r>
      <w:r>
        <w:rPr>
          <w:rFonts w:ascii="Arial" w:cs="Arial" w:eastAsia="Arial" w:hAnsi="Arial"/>
          <w:sz w:val="16"/>
          <w:szCs w:val="16"/>
          <w:color w:val="auto"/>
        </w:rPr>
        <w:t>.”</w:t>
      </w:r>
    </w:p>
    <w:p>
      <w:pPr>
        <w:spacing w:after="0" w:line="16" w:lineRule="exact"/>
        <w:rPr>
          <w:rFonts w:ascii="Arial" w:cs="Arial" w:eastAsia="Arial" w:hAnsi="Arial"/>
          <w:sz w:val="16"/>
          <w:szCs w:val="16"/>
          <w:color w:val="auto"/>
        </w:rPr>
      </w:pPr>
    </w:p>
    <w:p>
      <w:pPr>
        <w:ind w:right="120" w:firstLine="443"/>
        <w:spacing w:after="0" w:line="310" w:lineRule="auto"/>
        <w:tabs>
          <w:tab w:leader="none" w:pos="6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and exercise of the Warrants, as may be amended from time to time.</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700" w:top="280" w:right="259" w:bottom="1440" w:gutter="0" w:footer="0" w:header="0"/>
        </w:sectPr>
      </w:pPr>
    </w:p>
    <w:bookmarkStart w:id="87" w:name="page88"/>
    <w:bookmarkEnd w:id="87"/>
    <w:p>
      <w:pPr>
        <w:ind w:right="160" w:firstLine="443"/>
        <w:spacing w:after="0" w:line="320" w:lineRule="auto"/>
        <w:tabs>
          <w:tab w:leader="none" w:pos="775" w:val="left"/>
        </w:tabs>
        <w:numPr>
          <w:ilvl w:val="1"/>
          <w:numId w:val="1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Sale”</w:t>
      </w:r>
      <w:r>
        <w:rPr>
          <w:rFonts w:ascii="Arial" w:cs="Arial" w:eastAsia="Arial" w:hAnsi="Arial"/>
          <w:sz w:val="15"/>
          <w:szCs w:val="15"/>
          <w:color w:val="auto"/>
        </w:rPr>
        <w:t xml:space="preserve"> means any sale, lease or sub-lease (as lessor or sublessor), sale and leaseback, assignment, conveyance, transfer or other disposition to, or any exchange of property with, any Person, in an arm’s length transaction or a series of such transactions, of all or any part of the Company’s or any of its Subsidiaries’ businesses, assets or properties of any kind, whether real, personal, or mixed and whether tangible or intangible, whether now owned or hereafter acquired, including the sale or issuance of capital stock of any of the Company’s Subsidiaries, other than inventory or other assets sold, licensed or leased in the ordinary course of business of the Company or any of its Subsidiaries or the sale or disposition of obsolete, worn out or surplus property.</w:t>
      </w:r>
    </w:p>
    <w:p>
      <w:pPr>
        <w:spacing w:after="0" w:line="11" w:lineRule="exact"/>
        <w:rPr>
          <w:rFonts w:ascii="Arial" w:cs="Arial" w:eastAsia="Arial" w:hAnsi="Arial"/>
          <w:sz w:val="15"/>
          <w:szCs w:val="15"/>
          <w:color w:val="auto"/>
        </w:rPr>
      </w:pPr>
    </w:p>
    <w:p>
      <w:pPr>
        <w:ind w:firstLine="443"/>
        <w:spacing w:after="0" w:line="275" w:lineRule="auto"/>
        <w:tabs>
          <w:tab w:leader="none" w:pos="77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Redemption Eligibility Amount”</w:t>
      </w:r>
      <w:r>
        <w:rPr>
          <w:rFonts w:ascii="Arial" w:cs="Arial" w:eastAsia="Arial" w:hAnsi="Arial"/>
          <w:sz w:val="18"/>
          <w:szCs w:val="18"/>
          <w:color w:val="auto"/>
        </w:rPr>
        <w:t xml:space="preserve"> means, with respect to any Sale, the product of (i) the Holder Pro Rata Amount and (ii) 50% of the Net Sale Proceeds for such Sale.</w:t>
      </w:r>
    </w:p>
    <w:p>
      <w:pPr>
        <w:spacing w:after="0" w:line="38" w:lineRule="exact"/>
        <w:rPr>
          <w:rFonts w:ascii="Arial" w:cs="Arial" w:eastAsia="Arial" w:hAnsi="Arial"/>
          <w:sz w:val="18"/>
          <w:szCs w:val="18"/>
          <w:color w:val="auto"/>
        </w:rPr>
      </w:pPr>
    </w:p>
    <w:p>
      <w:pPr>
        <w:ind w:left="860" w:hanging="417"/>
        <w:spacing w:after="0"/>
        <w:tabs>
          <w:tab w:leader="none" w:pos="8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90" w:lineRule="exact"/>
        <w:rPr>
          <w:rFonts w:ascii="Arial" w:cs="Arial" w:eastAsia="Arial" w:hAnsi="Arial"/>
          <w:sz w:val="18"/>
          <w:szCs w:val="18"/>
          <w:color w:val="auto"/>
        </w:rPr>
      </w:pPr>
    </w:p>
    <w:p>
      <w:pPr>
        <w:ind w:right="440" w:firstLine="443"/>
        <w:spacing w:after="0" w:line="357" w:lineRule="auto"/>
        <w:tabs>
          <w:tab w:leader="none" w:pos="775"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Purchase Agreement</w:t>
      </w:r>
      <w:r>
        <w:rPr>
          <w:rFonts w:ascii="Arial" w:cs="Arial" w:eastAsia="Arial" w:hAnsi="Arial"/>
          <w:sz w:val="15"/>
          <w:szCs w:val="15"/>
          <w:color w:val="auto"/>
        </w:rPr>
        <w:t>” means that certain securities purchase agreement, dated as of the Subscription Date, by and among the Company and the initial holders of the Notes pursuant to which the Company issued the Notes and Warrants, as may be amended from time to time.</w:t>
      </w:r>
    </w:p>
    <w:p>
      <w:pPr>
        <w:ind w:left="780" w:hanging="337"/>
        <w:spacing w:after="0"/>
        <w:tabs>
          <w:tab w:leader="none" w:pos="7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Date</w:t>
      </w:r>
      <w:r>
        <w:rPr>
          <w:rFonts w:ascii="Arial" w:cs="Arial" w:eastAsia="Arial" w:hAnsi="Arial"/>
          <w:sz w:val="18"/>
          <w:szCs w:val="18"/>
          <w:color w:val="auto"/>
        </w:rPr>
        <w:t>” means April 4, 2012</w:t>
      </w:r>
    </w:p>
    <w:p>
      <w:pPr>
        <w:spacing w:after="0" w:line="90" w:lineRule="exact"/>
        <w:rPr>
          <w:rFonts w:ascii="Arial" w:cs="Arial" w:eastAsia="Arial" w:hAnsi="Arial"/>
          <w:sz w:val="18"/>
          <w:szCs w:val="18"/>
          <w:color w:val="auto"/>
        </w:rPr>
      </w:pPr>
    </w:p>
    <w:p>
      <w:pPr>
        <w:jc w:val="both"/>
        <w:ind w:right="20" w:firstLine="443"/>
        <w:spacing w:after="0" w:line="309" w:lineRule="auto"/>
        <w:tabs>
          <w:tab w:leader="none" w:pos="755"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Significant Subsidiary</w:t>
      </w:r>
      <w:r>
        <w:rPr>
          <w:rFonts w:ascii="Arial" w:cs="Arial" w:eastAsia="Arial" w:hAnsi="Arial"/>
          <w:sz w:val="15"/>
          <w:szCs w:val="15"/>
          <w:color w:val="auto"/>
        </w:rPr>
        <w:t>” means a Subsidiary of the Company that meets the definition of “significant subsidiary” in Article 1, Rule 1-02(w) of Regulation S-X under the Exchange Act; provided that, in the case of a Subsidiary of the Company that meets the criteria of clause (3) but not clause (1) or</w:t>
      </w:r>
    </w:p>
    <w:p>
      <w:pPr>
        <w:jc w:val="both"/>
        <w:ind w:right="160" w:firstLine="4"/>
        <w:spacing w:after="0" w:line="302" w:lineRule="auto"/>
        <w:tabs>
          <w:tab w:leader="none" w:pos="249"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thereof, such Subsidiary shall not be deemed to be a Significant Subsidiary unless the Subsidiary’s income from continuing operations before income taxes, extraordinary items and cumulative effect of a change in accounting principle exclusive of amounts attributable to any non-controlling interests for the last completed fiscal year prior to the date of such determination exceeds $5,000,000 million.</w:t>
      </w:r>
    </w:p>
    <w:p>
      <w:pPr>
        <w:spacing w:after="0" w:line="22" w:lineRule="exact"/>
        <w:rPr>
          <w:rFonts w:ascii="Arial" w:cs="Arial" w:eastAsia="Arial" w:hAnsi="Arial"/>
          <w:sz w:val="16"/>
          <w:szCs w:val="16"/>
          <w:color w:val="auto"/>
        </w:rPr>
      </w:pPr>
    </w:p>
    <w:p>
      <w:pPr>
        <w:ind w:right="680" w:firstLine="443"/>
        <w:spacing w:after="0" w:line="334" w:lineRule="auto"/>
        <w:tabs>
          <w:tab w:leader="none" w:pos="83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means, as of any date of determination, collectively, all Current Subsidiaries and all New Subsidiaries, and each of the foregoing, individually, a “</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520" w:firstLine="443"/>
        <w:spacing w:after="0" w:line="310" w:lineRule="auto"/>
        <w:tabs>
          <w:tab w:leader="none" w:pos="86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6" w:lineRule="exact"/>
        <w:rPr>
          <w:rFonts w:ascii="Arial" w:cs="Arial" w:eastAsia="Arial" w:hAnsi="Arial"/>
          <w:sz w:val="16"/>
          <w:szCs w:val="16"/>
          <w:color w:val="auto"/>
        </w:rPr>
      </w:pPr>
    </w:p>
    <w:p>
      <w:pPr>
        <w:ind w:right="40" w:firstLine="443"/>
        <w:spacing w:after="0" w:line="296" w:lineRule="auto"/>
        <w:tabs>
          <w:tab w:leader="none" w:pos="83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City time).</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700" w:top="274" w:right="259" w:bottom="1440" w:gutter="0" w:footer="0" w:header="0"/>
        </w:sectPr>
      </w:pPr>
    </w:p>
    <w:bookmarkStart w:id="88" w:name="page89"/>
    <w:bookmarkEnd w:id="88"/>
    <w:p>
      <w:pPr>
        <w:ind w:left="360" w:right="300" w:firstLine="443"/>
        <w:spacing w:after="0" w:line="309" w:lineRule="auto"/>
        <w:tabs>
          <w:tab w:leader="none" w:pos="1222" w:val="left"/>
        </w:tabs>
        <w:numPr>
          <w:ilvl w:val="1"/>
          <w:numId w:val="10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Volume Failure</w:t>
      </w:r>
      <w:r>
        <w:rPr>
          <w:rFonts w:ascii="Arial" w:cs="Arial" w:eastAsia="Arial" w:hAnsi="Arial"/>
          <w:sz w:val="15"/>
          <w:szCs w:val="15"/>
          <w:color w:val="auto"/>
        </w:rPr>
        <w:t>” means, with respect to a particular date of determination, that the aggregate daily dollar trading volume (as reported on Bloomberg) of the Common Stock on the Eligible Market on which the Common Stock is listed or designated for quotation on any of the twenty-five</w:t>
      </w:r>
    </w:p>
    <w:p>
      <w:pPr>
        <w:ind w:left="360" w:right="60" w:firstLine="4"/>
        <w:spacing w:after="0" w:line="255" w:lineRule="auto"/>
        <w:tabs>
          <w:tab w:leader="none" w:pos="69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Trading Days with the highest such aggregate daily trading volume during the thirty (30) consecutive Trading Day period ending on the Trading Day immediately preceding such date of determination is less than $1,500,000 (as adjusted for any stock splits, stock dividends, stock combinations, recapitalizations or other similar transactions).</w:t>
      </w:r>
    </w:p>
    <w:p>
      <w:pPr>
        <w:spacing w:after="0" w:line="57" w:lineRule="exact"/>
        <w:rPr>
          <w:rFonts w:ascii="Arial" w:cs="Arial" w:eastAsia="Arial" w:hAnsi="Arial"/>
          <w:sz w:val="18"/>
          <w:szCs w:val="18"/>
          <w:color w:val="auto"/>
        </w:rPr>
      </w:pPr>
    </w:p>
    <w:p>
      <w:pPr>
        <w:jc w:val="both"/>
        <w:ind w:left="360" w:right="140" w:firstLine="443"/>
        <w:spacing w:after="0" w:line="301" w:lineRule="auto"/>
        <w:tabs>
          <w:tab w:leader="none" w:pos="119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trustees or other similar governing body of such Person (irrespective of whether or not at the time capital stock of any other class or classes shall have or might have voting power by reason of the happening of any contingency).</w:t>
      </w:r>
    </w:p>
    <w:p>
      <w:pPr>
        <w:spacing w:after="0" w:line="22" w:lineRule="exact"/>
        <w:rPr>
          <w:rFonts w:ascii="Arial" w:cs="Arial" w:eastAsia="Arial" w:hAnsi="Arial"/>
          <w:sz w:val="16"/>
          <w:szCs w:val="16"/>
          <w:color w:val="auto"/>
        </w:rPr>
      </w:pPr>
    </w:p>
    <w:p>
      <w:pPr>
        <w:ind w:left="360" w:firstLine="443"/>
        <w:spacing w:after="0" w:line="287" w:lineRule="auto"/>
        <w:tabs>
          <w:tab w:leader="none" w:pos="112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Sale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stock dividend, stock split, stock combination, recapitalization or other similar transaction during such period.</w:t>
      </w:r>
    </w:p>
    <w:p>
      <w:pPr>
        <w:spacing w:after="0" w:line="33" w:lineRule="exact"/>
        <w:rPr>
          <w:rFonts w:ascii="Arial" w:cs="Arial" w:eastAsia="Arial" w:hAnsi="Arial"/>
          <w:sz w:val="16"/>
          <w:szCs w:val="16"/>
          <w:color w:val="auto"/>
        </w:rPr>
      </w:pPr>
    </w:p>
    <w:p>
      <w:pPr>
        <w:ind w:left="360" w:right="440" w:firstLine="443"/>
        <w:spacing w:after="0" w:line="339" w:lineRule="auto"/>
        <w:tabs>
          <w:tab w:leader="none" w:pos="122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shall have the meaning ascribed to such term in the Securities Purchase Agreement, and shall include all warrants issued in exchange therefor or replacement thereof.</w:t>
      </w:r>
    </w:p>
    <w:p>
      <w:pPr>
        <w:spacing w:after="0" w:line="80" w:lineRule="exact"/>
        <w:rPr>
          <w:sz w:val="20"/>
          <w:szCs w:val="20"/>
          <w:color w:val="auto"/>
        </w:rPr>
      </w:pPr>
    </w:p>
    <w:p>
      <w:pPr>
        <w:ind w:left="-100" w:right="240" w:firstLine="464"/>
        <w:spacing w:after="0" w:line="332" w:lineRule="auto"/>
        <w:tabs>
          <w:tab w:leader="none" w:pos="6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Upon receipt or delivery by the Company of any notice in accordance with the terms of this Note, unless the Company has in good faith determined that the matters relating to such notice do not constitute material, non-public information relating to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40" w:top="274" w:right="339" w:bottom="1440" w:gutter="0" w:footer="0" w:header="0"/>
        </w:sectPr>
      </w:pPr>
    </w:p>
    <w:bookmarkStart w:id="89" w:name="page90"/>
    <w:bookmarkEnd w:id="8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of its Subsidiaries, the Company shall within two (2) Business Days after any such receipt or delivery publicly disclose such material, non-public information on a press release, Current Report on Form 8-K or otherwise. In the event that the Company believes that a notice contains material, non-public information relating to the Company or any of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Nothing contained in this Section 32 shall limit any obligations of the Company, or any rights of the Holder, under Section 4(i) of the Securities Purchase Agreement.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280" w:right="4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 as of the Issuance Date set forth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ORPORATION</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A. Henry</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Senior Vice President, Chief</w:t>
      </w:r>
    </w:p>
    <w:p>
      <w:pPr>
        <w:spacing w:after="0" w:line="32"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Financial Officer and Treasurer</w:t>
      </w:r>
    </w:p>
    <w:p>
      <w:pPr>
        <w:sectPr>
          <w:pgSz w:w="11900" w:h="16838" w:orient="portrait"/>
          <w:cols w:equalWidth="0" w:num="1">
            <w:col w:w="9759"/>
          </w:cols>
          <w:pgMar w:left="700" w:top="280" w:right="1440" w:bottom="1440" w:gutter="0" w:footer="0" w:header="0"/>
        </w:sectPr>
      </w:pPr>
    </w:p>
    <w:bookmarkStart w:id="91" w:name="page92"/>
    <w:bookmarkEnd w:id="91"/>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Sinovel Wind Group Co.,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 &amp; C Electric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Ghodawat Energy Pvt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John J. Kenney, Jr.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Controversies with respect to securities litigation disclosed in the SEC Documents (as defined in the Securities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Controversies arising out of or related to any adverse purchase commitment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Adverse purchase commitments in excess of the Company’s estimated future demand from certain of its customers in China.</w:t>
      </w:r>
    </w:p>
    <w:p>
      <w:pPr>
        <w:sectPr>
          <w:pgSz w:w="11900" w:h="16838" w:orient="portrait"/>
          <w:cols w:equalWidth="0" w:num="1">
            <w:col w:w="10219"/>
          </w:cols>
          <w:pgMar w:left="240" w:top="274" w:right="1440" w:bottom="1440" w:gutter="0" w:footer="0" w:header="0"/>
        </w:sectPr>
      </w:pPr>
    </w:p>
    <w:bookmarkStart w:id="92" w:name="page93"/>
    <w:bookmarkEnd w:id="9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4(a)(xi)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Sinovel Wind Group Co.,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 &amp; C Electric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Ghodawat Energy Pvt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John J. Kenney, Jr.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Controversies with respect to securities litigation disclosed in the SEC Documents (as defined in the Securities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Controversies arising out of or related to any adverse purchase commitment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Adverse purchase commitments in excess of the Company’s estimated future demand from certain of its customers in China.</w:t>
      </w:r>
    </w:p>
    <w:p>
      <w:pPr>
        <w:sectPr>
          <w:pgSz w:w="11900" w:h="16838" w:orient="portrait"/>
          <w:cols w:equalWidth="0" w:num="1">
            <w:col w:w="10219"/>
          </w:cols>
          <w:pgMar w:left="240" w:top="274"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NOTICE</w:t>
      </w:r>
    </w:p>
    <w:p>
      <w:pPr>
        <w:spacing w:after="0" w:line="159"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color w:val="auto"/>
        </w:rPr>
        <w:t>Reference is made to the Senior Convertible Note (the “</w:t>
      </w:r>
      <w:r>
        <w:rPr>
          <w:rFonts w:ascii="Arial" w:cs="Arial" w:eastAsia="Arial" w:hAnsi="Arial"/>
          <w:sz w:val="16"/>
          <w:szCs w:val="16"/>
          <w:b w:val="1"/>
          <w:bCs w:val="1"/>
          <w:color w:val="auto"/>
        </w:rPr>
        <w:t>Note</w:t>
      </w:r>
      <w:r>
        <w:rPr>
          <w:rFonts w:ascii="Arial" w:cs="Arial" w:eastAsia="Arial" w:hAnsi="Arial"/>
          <w:sz w:val="16"/>
          <w:szCs w:val="16"/>
          <w:color w:val="auto"/>
        </w:rPr>
        <w:t>”) issued to the undersigned by American Superconductor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accordance with and pursuant to the Note, the undersigned hereby elects to convert the Conversion Amount (as defined in the Note) of the Note indicated below into shares of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as of the date specified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-13970</wp:posOffset>
            </wp:positionV>
            <wp:extent cx="5546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46725" cy="8890"/>
                    </a:xfrm>
                    <a:prstGeom prst="rect">
                      <a:avLst/>
                    </a:prstGeom>
                    <a:noFill/>
                  </pic:spPr>
                </pic:pic>
              </a:graphicData>
            </a:graphic>
          </wp:anchor>
        </w:drawing>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10795</wp:posOffset>
            </wp:positionV>
            <wp:extent cx="42621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Aggregate accrued and unpaid Interest with</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respect to such portion of the Aggregate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Principal and such Aggregate Interest to be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converted: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CONVERSION AMOUNT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15875</wp:posOffset>
            </wp:positionV>
            <wp:extent cx="42621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10795</wp:posOffset>
            </wp:positionV>
            <wp:extent cx="42621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of Common Stock to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15875</wp:posOffset>
            </wp:positionV>
            <wp:extent cx="42621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4" w:lineRule="exact"/>
        <w:rPr>
          <w:sz w:val="20"/>
          <w:szCs w:val="20"/>
          <w:color w:val="auto"/>
        </w:rPr>
      </w:pPr>
    </w:p>
    <w:p>
      <w:pPr>
        <w:ind w:left="460" w:right="520"/>
        <w:spacing w:after="0" w:line="259" w:lineRule="auto"/>
        <w:rPr>
          <w:sz w:val="20"/>
          <w:szCs w:val="20"/>
          <w:color w:val="auto"/>
        </w:rPr>
      </w:pPr>
      <w:r>
        <w:rPr>
          <w:rFonts w:ascii="Arial" w:cs="Arial" w:eastAsia="Arial" w:hAnsi="Arial"/>
          <w:sz w:val="18"/>
          <w:szCs w:val="18"/>
          <w:color w:val="auto"/>
        </w:rPr>
        <w:t>By delivering this Conversion Notice, the Holder hereby represents that, after giving effect to the conversion provided for in this Conversion Notice, the Holder will not have direct or indirect beneficial ownership of a number of shares of Common Stock which exceeds the Maximum Percentage (as defined in the Note) as of the date of this Conversion Notice.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3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337185</wp:posOffset>
            </wp:positionV>
            <wp:extent cx="55225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173990</wp:posOffset>
            </wp:positionV>
            <wp:extent cx="55225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10795</wp:posOffset>
            </wp:positionV>
            <wp:extent cx="55225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10795</wp:posOffset>
            </wp:positionV>
            <wp:extent cx="55225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10795</wp:posOffset>
            </wp:positionV>
            <wp:extent cx="55225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4" w:name="page95"/>
    <w:bookmarkEnd w:id="9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10795</wp:posOffset>
            </wp:positionV>
            <wp:extent cx="58146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10795</wp:posOffset>
            </wp:positionV>
            <wp:extent cx="58146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64662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122555</wp:posOffset>
            </wp:positionV>
            <wp:extent cx="4457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-13970</wp:posOffset>
            </wp:positionV>
            <wp:extent cx="60483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48375"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(if electronic book entry transfer)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-13970</wp:posOffset>
            </wp:positionV>
            <wp:extent cx="5546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46725"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(if electronic book entry transfer)</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Installment Amount(s) to be reduced (and corresponding Installment 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amount of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6985</wp:posOffset>
            </wp:positionV>
            <wp:extent cx="36188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Exhibit II</w:t>
            </w:r>
          </w:p>
        </w:tc>
      </w:tr>
      <w:tr>
        <w:trPr>
          <w:trHeight w:val="378"/>
        </w:trPr>
        <w:tc>
          <w:tcPr>
            <w:tcW w:w="448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ACKNOWLEDGMENT</w:t>
            </w: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0"/>
        </w:trPr>
        <w:tc>
          <w:tcPr>
            <w:tcW w:w="6060" w:type="dxa"/>
            <w:vAlign w:val="bottom"/>
            <w:gridSpan w:val="5"/>
          </w:tcPr>
          <w:p>
            <w:pPr>
              <w:ind w:left="460"/>
              <w:spacing w:after="0"/>
              <w:rPr>
                <w:sz w:val="20"/>
                <w:szCs w:val="20"/>
                <w:color w:val="auto"/>
              </w:rPr>
            </w:pPr>
            <w:r>
              <w:rPr>
                <w:rFonts w:ascii="Arial" w:cs="Arial" w:eastAsia="Arial" w:hAnsi="Arial"/>
                <w:sz w:val="18"/>
                <w:szCs w:val="18"/>
                <w:color w:val="auto"/>
                <w:w w:val="88"/>
              </w:rPr>
              <w:t>The Company hereby acknowledges this Conversion Notice and hereby directs</w:t>
            </w:r>
          </w:p>
        </w:tc>
        <w:tc>
          <w:tcPr>
            <w:tcW w:w="880" w:type="dxa"/>
            <w:vAlign w:val="bottom"/>
            <w:tcBorders>
              <w:bottom w:val="single" w:sz="8" w:color="auto"/>
            </w:tcBorders>
          </w:tcPr>
          <w:p>
            <w:pPr>
              <w:spacing w:after="0"/>
              <w:rPr>
                <w:sz w:val="24"/>
                <w:szCs w:val="24"/>
                <w:color w:val="auto"/>
              </w:rPr>
            </w:pPr>
          </w:p>
        </w:tc>
        <w:tc>
          <w:tcPr>
            <w:tcW w:w="4480" w:type="dxa"/>
            <w:vAlign w:val="bottom"/>
            <w:gridSpan w:val="3"/>
          </w:tcPr>
          <w:p>
            <w:pPr>
              <w:jc w:val="right"/>
              <w:ind w:right="272"/>
              <w:spacing w:after="0"/>
              <w:rPr>
                <w:sz w:val="20"/>
                <w:szCs w:val="20"/>
                <w:color w:val="auto"/>
              </w:rPr>
            </w:pPr>
            <w:r>
              <w:rPr>
                <w:rFonts w:ascii="Arial" w:cs="Arial" w:eastAsia="Arial" w:hAnsi="Arial"/>
                <w:sz w:val="18"/>
                <w:szCs w:val="18"/>
                <w:color w:val="auto"/>
                <w:w w:val="87"/>
              </w:rPr>
              <w:t>to issue the above indicated number of shares of Common</w:t>
            </w: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w w:val="89"/>
              </w:rPr>
              <w:t>Stock in accordance with the Transfer Agent Instructions dated</w:t>
            </w:r>
          </w:p>
        </w:tc>
        <w:tc>
          <w:tcPr>
            <w:tcW w:w="5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 20</w:t>
            </w:r>
          </w:p>
        </w:tc>
        <w:tc>
          <w:tcPr>
            <w:tcW w:w="340" w:type="dxa"/>
            <w:vAlign w:val="bottom"/>
          </w:tcPr>
          <w:p>
            <w:pPr>
              <w:spacing w:after="0"/>
              <w:rPr>
                <w:sz w:val="17"/>
                <w:szCs w:val="17"/>
                <w:color w:val="auto"/>
              </w:rPr>
            </w:pPr>
          </w:p>
        </w:tc>
        <w:tc>
          <w:tcPr>
            <w:tcW w:w="39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88"/>
              </w:rPr>
              <w:t>from the Company and acknowledged and agreed to by</w:t>
            </w:r>
          </w:p>
        </w:tc>
        <w:tc>
          <w:tcPr>
            <w:tcW w:w="1820" w:type="dxa"/>
            <w:vAlign w:val="bottom"/>
            <w:gridSpan w:val="2"/>
          </w:tcPr>
          <w:p>
            <w:pPr>
              <w:jc w:val="right"/>
              <w:ind w:right="812"/>
              <w:spacing w:after="0" w:line="196" w:lineRule="exact"/>
              <w:rPr>
                <w:sz w:val="20"/>
                <w:szCs w:val="20"/>
                <w:color w:val="auto"/>
              </w:rPr>
            </w:pPr>
            <w:r>
              <w:rPr>
                <w:rFonts w:ascii="Arial" w:cs="Arial" w:eastAsia="Arial" w:hAnsi="Arial"/>
                <w:sz w:val="18"/>
                <w:szCs w:val="18"/>
                <w:color w:val="auto"/>
              </w:rPr>
              <w:t>.</w:t>
            </w:r>
          </w:p>
        </w:tc>
      </w:tr>
      <w:tr>
        <w:trPr>
          <w:trHeight w:val="20"/>
        </w:trPr>
        <w:tc>
          <w:tcPr>
            <w:tcW w:w="4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96" w:name="page97"/>
    <w:bookmarkEnd w:id="96"/>
    <w:p>
      <w:pPr>
        <w:ind w:left="10600"/>
        <w:spacing w:after="0"/>
        <w:rPr>
          <w:sz w:val="20"/>
          <w:szCs w:val="20"/>
          <w:color w:val="auto"/>
        </w:rPr>
      </w:pPr>
      <w:r>
        <w:rPr>
          <w:rFonts w:ascii="Arial" w:cs="Arial" w:eastAsia="Arial" w:hAnsi="Arial"/>
          <w:sz w:val="16"/>
          <w:szCs w:val="16"/>
          <w:b w:val="1"/>
          <w:bCs w:val="1"/>
          <w:color w:val="auto"/>
        </w:rPr>
        <w:t>Exhibit 4.2</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TRANSFERRED IN THE ABSENCE OF AN EFFECTIVE REGISTRATION STATEMENT FOR THE SECURITIES UNDER THE SECURITIES ACT OF 1933, AS AMENDED, OR AN EXEMPTION THEREFROM. PRIOR TO THE REGISTRATION OF ANY TRANSFER IN ACCORDANCE WITH THE FOREGOING, THE COMPANY RESERVES THE RIGHT TO REQUIRE THE DELIVERY OF SUCH LEGAL OPINIONS (UNLESS SUCH SECURITIES ARE ELIGIBLE TO BE SOLD WITHOUT RESTRICTION OR HAVE BEEN SOLD PURSUANT TO RULE 144 OR RULE 144A UNDER SAID ACT), CERTIFICATIONS OR OTHER EVIDENCE AS MAY REASONABLY BE REQUIRED IN ORDER TO DETERMINE THAT THE PROPOSED TRANSFER IS BEING MADE IN COMPLIANCE WITH THE SECURITIES ACT AND APPLICABLE STATE SECURITIES LAWS. “TRANSFER” MEANS ANY SALE, ASSIGNMENT OR OTHER TRANSFER. NOTWITHSTANDING THE FOREGOING, THE SECURITIES MAY BE PLEDGED IN CONNECTION WITH A BONA FIDE MARGIN ACCOUNT OR OTHER LOAN OR FINANCING ARRANGEMENT SECURED BY THE SECURITIES.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ERIES</w:t>
      </w:r>
      <w:r>
        <w:rPr>
          <w:rFonts w:ascii="Arial" w:cs="Arial" w:eastAsia="Arial" w:hAnsi="Arial"/>
          <w:sz w:val="18"/>
          <w:szCs w:val="18"/>
          <w:b w:val="1"/>
          <w:bCs w:val="1"/>
          <w:color w:val="auto"/>
        </w:rPr>
        <w:t xml:space="preserve"> A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Warrant No.: A-1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April 4, 2012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159"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American Superconductor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Capital Ventures International, the initial registered holder hereof and/or its permitted assigns who become subsequent registered holders hereof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date that is six months after the Issuance Date (the “</w:t>
      </w:r>
      <w:r>
        <w:rPr>
          <w:rFonts w:ascii="Arial" w:cs="Arial" w:eastAsia="Arial" w:hAnsi="Arial"/>
          <w:sz w:val="16"/>
          <w:szCs w:val="16"/>
          <w:b w:val="1"/>
          <w:bCs w:val="1"/>
          <w:color w:val="auto"/>
        </w:rPr>
        <w:t>Initial Exercisability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but not after 5:00 p.m., New York City time, on the Expiration Date (as defined below), 3,094,060 (subject to adjustment as provided herein) fully paid</w:t>
      </w:r>
      <w:r>
        <w:rPr>
          <w:rFonts w:ascii="Arial" w:cs="Arial" w:eastAsia="Arial" w:hAnsi="Arial"/>
          <w:sz w:val="16"/>
          <w:szCs w:val="16"/>
          <w:b w:val="1"/>
          <w:bCs w:val="1"/>
          <w:color w:val="auto"/>
        </w:rPr>
        <w:t xml:space="preserve"> </w:t>
      </w:r>
      <w:r>
        <w:rPr>
          <w:rFonts w:ascii="Arial" w:cs="Arial" w:eastAsia="Arial" w:hAnsi="Arial"/>
          <w:sz w:val="16"/>
          <w:szCs w:val="16"/>
          <w:color w:val="auto"/>
        </w:rPr>
        <w:t>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Section 1 of that certain Securities Purchase Agreement, dated as of April 4, 2012, by and among the Company and the investors (the “</w:t>
      </w:r>
      <w:r>
        <w:rPr>
          <w:rFonts w:ascii="Arial" w:cs="Arial" w:eastAsia="Arial" w:hAnsi="Arial"/>
          <w:sz w:val="16"/>
          <w:szCs w:val="16"/>
          <w:b w:val="1"/>
          <w:bCs w:val="1"/>
          <w:color w:val="auto"/>
        </w:rPr>
        <w:t>Buyers</w:t>
      </w:r>
      <w:r>
        <w:rPr>
          <w:rFonts w:ascii="Arial" w:cs="Arial" w:eastAsia="Arial" w:hAnsi="Arial"/>
          <w:sz w:val="16"/>
          <w:szCs w:val="16"/>
          <w:color w:val="auto"/>
        </w:rPr>
        <w:t>”)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97" w:name="page98"/>
    <w:bookmarkEnd w:id="97"/>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WARRANT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283" w:lineRule="auto"/>
        <w:tabs>
          <w:tab w:leader="none" w:pos="695"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Initial Exercisability Date, in whole or in part, by delivery (whether via facsimile or otherwise) of a written notice,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(as defined in Section 1(b)) in effect on the date of such exercise multiplied by the number of Warrant Shares as to which this Warrant was so exercised (the “</w:t>
      </w:r>
      <w:r>
        <w:rPr>
          <w:rFonts w:ascii="Arial" w:cs="Arial" w:eastAsia="Arial" w:hAnsi="Arial"/>
          <w:sz w:val="16"/>
          <w:szCs w:val="16"/>
          <w:b w:val="1"/>
          <w:bCs w:val="1"/>
          <w:color w:val="auto"/>
        </w:rPr>
        <w:t>Aggregate</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Price</w:t>
      </w:r>
      <w:r>
        <w:rPr>
          <w:rFonts w:ascii="Arial" w:cs="Arial" w:eastAsia="Arial" w:hAnsi="Arial"/>
          <w:sz w:val="16"/>
          <w:szCs w:val="16"/>
          <w:color w:val="auto"/>
        </w:rPr>
        <w:t>”) in cash or via wire transfer of immediately available funds if the Holder did not notify the Company in such Exercise Notice that such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w:t>
      </w:r>
      <w:r>
        <w:rPr>
          <w:rFonts w:ascii="Arial" w:cs="Arial" w:eastAsia="Arial" w:hAnsi="Arial"/>
          <w:sz w:val="10"/>
          <w:szCs w:val="10"/>
          <w:color w:val="auto"/>
        </w:rPr>
        <w:t>st</w:t>
      </w:r>
      <w:r>
        <w:rPr>
          <w:rFonts w:ascii="Arial" w:cs="Arial" w:eastAsia="Arial" w:hAnsi="Arial"/>
          <w:sz w:val="16"/>
          <w:szCs w:val="16"/>
          <w:color w:val="auto"/>
        </w:rPr>
        <w:t xml:space="preserve">)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w:t>
      </w:r>
      <w:r>
        <w:rPr>
          <w:rFonts w:ascii="Arial" w:cs="Arial" w:eastAsia="Arial" w:hAnsi="Arial"/>
          <w:sz w:val="10"/>
          <w:szCs w:val="10"/>
          <w:color w:val="auto"/>
        </w:rPr>
        <w:t>rd</w:t>
      </w:r>
      <w:r>
        <w:rPr>
          <w:rFonts w:ascii="Arial" w:cs="Arial" w:eastAsia="Arial" w:hAnsi="Arial"/>
          <w:sz w:val="16"/>
          <w:szCs w:val="16"/>
          <w:color w:val="auto"/>
        </w:rPr>
        <w:t>) Trading Day following the date on which the Company has received such Exercise Notice,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Withdrawal at Custodian system, or (Y) otherwise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The Company shall not issue any fractional shares of Common Stock upon the exercise of this Warrant. If 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8" w:name="page99"/>
    <w:bookmarkEnd w:id="98"/>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fractional share of Common Stock would be issuable upon any exercise of the this Warrant, the Company shall round such fractional share of Common Stock to the nearest whole share. The Company shall pay any and all taxes and fees which may be payable with respect to the issuance and delivery of Warrant Shares upon exercise of this Warrant. The Company shall not, however, be required to pay any such tax which may be payable in respect of any transfer involved in the issuance and delivery of Common Stock in any name other than that of the Holder of this Warrant. Notwithstanding the foregoing, except in the case where an exercise of this Warrant is validly made pursuant to a Cashless Exercise (as defined in Section 1(d)), the Company’s failure to deliver Warrant Shares to the Holder on or prior to the second (2nd) Trading Day after the Company’s receipt of the Aggregate Exercise Price shall not be deemed to be a breach of this Warrant.</w:t>
      </w:r>
    </w:p>
    <w:p>
      <w:pPr>
        <w:spacing w:after="0" w:line="141" w:lineRule="exact"/>
        <w:rPr>
          <w:sz w:val="20"/>
          <w:szCs w:val="20"/>
          <w:color w:val="auto"/>
        </w:rPr>
      </w:pPr>
    </w:p>
    <w:p>
      <w:pPr>
        <w:ind w:left="720" w:hanging="256"/>
        <w:spacing w:after="0"/>
        <w:tabs>
          <w:tab w:leader="none" w:pos="72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$5.45, subject to adjustment as provided herein.</w:t>
      </w:r>
    </w:p>
    <w:p>
      <w:pPr>
        <w:spacing w:after="0" w:line="177" w:lineRule="exact"/>
        <w:rPr>
          <w:rFonts w:ascii="Arial" w:cs="Arial" w:eastAsia="Arial" w:hAnsi="Arial"/>
          <w:sz w:val="18"/>
          <w:szCs w:val="18"/>
          <w:color w:val="auto"/>
        </w:rPr>
      </w:pPr>
    </w:p>
    <w:p>
      <w:pPr>
        <w:ind w:left="700" w:hanging="236"/>
        <w:spacing w:after="0"/>
        <w:tabs>
          <w:tab w:leader="none" w:pos="70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to the Holder within the later of</w:t>
      </w:r>
    </w:p>
    <w:p>
      <w:pPr>
        <w:spacing w:after="0" w:line="38" w:lineRule="exact"/>
        <w:rPr>
          <w:rFonts w:ascii="Arial" w:cs="Arial" w:eastAsia="Arial" w:hAnsi="Arial"/>
          <w:sz w:val="16"/>
          <w:szCs w:val="16"/>
          <w:color w:val="auto"/>
        </w:rPr>
      </w:pPr>
    </w:p>
    <w:p>
      <w:pPr>
        <w:ind w:firstLine="8"/>
        <w:spacing w:after="0" w:line="284" w:lineRule="auto"/>
        <w:tabs>
          <w:tab w:leader="none" w:pos="21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three (3) Trading Days after receipt of the applicable Exercise Notice and (ii) two (2) Trading Days after the Company’s receipt of the Aggregate Exercise Price (or valid notice of a Cashless Exercise) (such later date, the “</w:t>
      </w:r>
      <w:r>
        <w:rPr>
          <w:rFonts w:ascii="Arial" w:cs="Arial" w:eastAsia="Arial" w:hAnsi="Arial"/>
          <w:sz w:val="16"/>
          <w:szCs w:val="16"/>
          <w:b w:val="1"/>
          <w:bCs w:val="1"/>
          <w:color w:val="auto"/>
        </w:rPr>
        <w:t>Share Delivery Deadline</w:t>
      </w:r>
      <w:r>
        <w:rPr>
          <w:rFonts w:ascii="Arial" w:cs="Arial" w:eastAsia="Arial" w:hAnsi="Arial"/>
          <w:sz w:val="16"/>
          <w:szCs w:val="16"/>
          <w:color w:val="auto"/>
        </w:rPr>
        <w:t>”),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 and if on or after such Share Delivery Deadline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Exercise Notice and ending on the date of such issuance and payment under this clause (ii).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9" w:name="page100"/>
    <w:bookmarkEnd w:id="99"/>
    <w:p>
      <w:pPr>
        <w:ind w:left="-40" w:right="100" w:firstLine="464"/>
        <w:spacing w:after="0" w:line="291" w:lineRule="auto"/>
        <w:tabs>
          <w:tab w:leader="none" w:pos="66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Exercise</w:t>
      </w:r>
      <w:r>
        <w:rPr>
          <w:rFonts w:ascii="Arial" w:cs="Arial" w:eastAsia="Arial" w:hAnsi="Arial"/>
          <w:sz w:val="16"/>
          <w:szCs w:val="16"/>
          <w:color w:val="auto"/>
        </w:rPr>
        <w:t>. Notwithstanding anything contained herein to the contrary (other than Section 1(f) below), if at the time of exercise hereof a Registration Statement (as defined in the Registration Rights Agreement (as defined in the Securities Purchase Agreement)) is not effective (or the prospectus contained therein is not available for use) for use on a continuous basis for the resale by the Holder of all of the Warrant Shares at market prices from time to time,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6"/>
          <w:szCs w:val="16"/>
          <w:b w:val="1"/>
          <w:bCs w:val="1"/>
          <w:color w:val="auto"/>
        </w:rPr>
        <w:t>Cashless Exercise</w:t>
      </w:r>
      <w:r>
        <w:rPr>
          <w:rFonts w:ascii="Arial" w:cs="Arial" w:eastAsia="Arial" w:hAnsi="Arial"/>
          <w:sz w:val="16"/>
          <w:szCs w:val="16"/>
          <w:color w:val="auto"/>
        </w:rPr>
        <w:t>”):</w:t>
      </w:r>
    </w:p>
    <w:p>
      <w:pPr>
        <w:spacing w:after="0" w:line="1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the foregoing formula:</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90" w:lineRule="exact"/>
        <w:rPr>
          <w:sz w:val="20"/>
          <w:szCs w:val="20"/>
          <w:color w:val="auto"/>
        </w:rPr>
      </w:pPr>
    </w:p>
    <w:p>
      <w:pPr>
        <w:ind w:left="420" w:right="360"/>
        <w:spacing w:after="0" w:line="268" w:lineRule="auto"/>
        <w:rPr>
          <w:sz w:val="20"/>
          <w:szCs w:val="20"/>
          <w:color w:val="auto"/>
        </w:rPr>
      </w:pPr>
      <w:r>
        <w:rPr>
          <w:rFonts w:ascii="Arial" w:cs="Arial" w:eastAsia="Arial" w:hAnsi="Arial"/>
          <w:sz w:val="18"/>
          <w:szCs w:val="18"/>
          <w:color w:val="auto"/>
        </w:rPr>
        <w:t>B=the quotient of (x) the sum of the VWAP of the Common Stock of each of the five (5) Trading Days ending at the close of business on the Principal Market immediately prior to the time of exercise as set forth in the applicable Exercise Notice, divided by (y) five (5).</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 the VWAP of the Common Stock at the close of business on the Principal Market on the date of the delivery of the applicable Exercise Notice.</w:t>
      </w:r>
    </w:p>
    <w:p>
      <w:pPr>
        <w:spacing w:after="0" w:line="194" w:lineRule="exact"/>
        <w:rPr>
          <w:sz w:val="20"/>
          <w:szCs w:val="20"/>
          <w:color w:val="auto"/>
        </w:rPr>
      </w:pPr>
    </w:p>
    <w:p>
      <w:pPr>
        <w:ind w:left="-40" w:firstLine="464"/>
        <w:spacing w:after="0" w:line="259"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140" w:lineRule="exact"/>
        <w:rPr>
          <w:rFonts w:ascii="Arial" w:cs="Arial" w:eastAsia="Arial" w:hAnsi="Arial"/>
          <w:sz w:val="18"/>
          <w:szCs w:val="18"/>
          <w:color w:val="auto"/>
        </w:rPr>
      </w:pPr>
    </w:p>
    <w:p>
      <w:pPr>
        <w:ind w:left="-40" w:right="40" w:firstLine="464"/>
        <w:spacing w:after="0" w:line="312" w:lineRule="auto"/>
        <w:tabs>
          <w:tab w:leader="none" w:pos="636"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Limitations on Exercises</w:t>
      </w:r>
      <w:r>
        <w:rPr>
          <w:rFonts w:ascii="Arial" w:cs="Arial" w:eastAsia="Arial" w:hAnsi="Arial"/>
          <w:sz w:val="15"/>
          <w:szCs w:val="15"/>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5"/>
          <w:szCs w:val="15"/>
          <w:b w:val="1"/>
          <w:bCs w:val="1"/>
          <w:color w:val="auto"/>
        </w:rPr>
        <w:t>Maximum Percentage</w:t>
      </w:r>
      <w:r>
        <w:rPr>
          <w:rFonts w:ascii="Arial" w:cs="Arial" w:eastAsia="Arial" w:hAnsi="Arial"/>
          <w:sz w:val="15"/>
          <w:szCs w:val="15"/>
          <w:color w:val="auto"/>
        </w:rPr>
        <w:t>”) of the Common Stock.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80" w:right="259" w:bottom="1440" w:gutter="0" w:footer="0" w:header="0"/>
        </w:sectPr>
      </w:pPr>
    </w:p>
    <w:bookmarkStart w:id="100" w:name="page101"/>
    <w:bookmarkEnd w:id="100"/>
    <w:p>
      <w:pPr>
        <w:ind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By written notice to the Company, any Holder may increase or decrease the Maximum Percentage to any other percentage not in excess of 9.99% specified in such notice; provided that (i) any such increase will not be effective until the 61st day after such notice is delivered to the Company, and</w:t>
      </w:r>
    </w:p>
    <w:p>
      <w:pPr>
        <w:spacing w:after="0" w:line="4" w:lineRule="exact"/>
        <w:rPr>
          <w:sz w:val="20"/>
          <w:szCs w:val="20"/>
          <w:color w:val="auto"/>
        </w:rPr>
      </w:pPr>
    </w:p>
    <w:p>
      <w:pPr>
        <w:ind w:left="260" w:hanging="252"/>
        <w:spacing w:after="0"/>
        <w:tabs>
          <w:tab w:leader="none" w:pos="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such increase or decrease will apply only to the Holder sending such notice and not to any other holder of SPA Warrants.</w:t>
      </w:r>
    </w:p>
    <w:p>
      <w:pPr>
        <w:spacing w:after="0" w:line="164" w:lineRule="exact"/>
        <w:rPr>
          <w:rFonts w:ascii="Arial" w:cs="Arial" w:eastAsia="Arial" w:hAnsi="Arial"/>
          <w:sz w:val="18"/>
          <w:szCs w:val="18"/>
          <w:color w:val="auto"/>
        </w:rPr>
      </w:pPr>
    </w:p>
    <w:p>
      <w:pPr>
        <w:ind w:firstLine="464"/>
        <w:spacing w:after="0" w:line="287" w:lineRule="auto"/>
        <w:tabs>
          <w:tab w:leader="none" w:pos="70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So long as any of the SPA Warrants are outstanding, the Company shall maintain duly and validly reserved for issuance, authorized and unissued shares of Common Stock issuable upon exercise of the SPA Warrants (including, without limitation, increasing such reserve, as necessary, prior to the consummation of any Subsequent Placement (as defined in the Securities Purchase Agreement). If, notwithstanding the foregoing, and not in limitation thereof, at any time while any of the SPA Warrants remain outstanding the Company does not have sufficient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to satisfy its obligation to reserve for issuance upon exercise of the SPA Warrants, then the Company shall use reasonable best efforts to take all action necessary to increase the Company’s authorized shares of Common Stock sufficient to satisfy this Section 1(g).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w:t>
      </w:r>
    </w:p>
    <w:p>
      <w:pPr>
        <w:spacing w:after="0" w:line="116" w:lineRule="exact"/>
        <w:rPr>
          <w:rFonts w:ascii="Arial" w:cs="Arial" w:eastAsia="Arial" w:hAnsi="Arial"/>
          <w:sz w:val="16"/>
          <w:szCs w:val="16"/>
          <w:color w:val="auto"/>
        </w:rPr>
      </w:pPr>
    </w:p>
    <w:p>
      <w:pPr>
        <w:jc w:val="both"/>
        <w:ind w:right="20" w:firstLine="464"/>
        <w:spacing w:after="0" w:line="326" w:lineRule="auto"/>
        <w:tabs>
          <w:tab w:leader="none" w:pos="705" w:val="left"/>
        </w:tabs>
        <w:numPr>
          <w:ilvl w:val="1"/>
          <w:numId w:val="110"/>
        </w:numPr>
        <w:rPr>
          <w:rFonts w:ascii="Arial" w:cs="Arial" w:eastAsia="Arial" w:hAnsi="Arial"/>
          <w:sz w:val="15"/>
          <w:szCs w:val="15"/>
          <w:color w:val="auto"/>
        </w:rPr>
      </w:pPr>
      <w:r>
        <w:rPr>
          <w:rFonts w:ascii="Arial" w:cs="Arial" w:eastAsia="Arial" w:hAnsi="Arial"/>
          <w:sz w:val="15"/>
          <w:szCs w:val="15"/>
          <w:u w:val="single" w:color="auto"/>
          <w:color w:val="auto"/>
        </w:rPr>
        <w:t>Registration; Book-Entry</w:t>
      </w:r>
      <w:r>
        <w:rPr>
          <w:rFonts w:ascii="Arial" w:cs="Arial" w:eastAsia="Arial" w:hAnsi="Arial"/>
          <w:sz w:val="15"/>
          <w:szCs w:val="15"/>
          <w:color w:val="auto"/>
        </w:rPr>
        <w:t>. The Company shall maintain a register (the “</w:t>
      </w:r>
      <w:r>
        <w:rPr>
          <w:rFonts w:ascii="Arial" w:cs="Arial" w:eastAsia="Arial" w:hAnsi="Arial"/>
          <w:sz w:val="15"/>
          <w:szCs w:val="15"/>
          <w:b w:val="1"/>
          <w:bCs w:val="1"/>
          <w:color w:val="auto"/>
        </w:rPr>
        <w:t>Register</w:t>
      </w:r>
      <w:r>
        <w:rPr>
          <w:rFonts w:ascii="Arial" w:cs="Arial" w:eastAsia="Arial" w:hAnsi="Arial"/>
          <w:sz w:val="15"/>
          <w:szCs w:val="15"/>
          <w:color w:val="auto"/>
        </w:rPr>
        <w:t>”) for the recordation of the names and addresses of the holders of the SPA Warrants and the aggregate number of Warrant Shares of such SPA Warrants held by such holders (the “</w:t>
      </w:r>
      <w:r>
        <w:rPr>
          <w:rFonts w:ascii="Arial" w:cs="Arial" w:eastAsia="Arial" w:hAnsi="Arial"/>
          <w:sz w:val="15"/>
          <w:szCs w:val="15"/>
          <w:b w:val="1"/>
          <w:bCs w:val="1"/>
          <w:color w:val="auto"/>
        </w:rPr>
        <w:t>Registered Warrants</w:t>
      </w:r>
      <w:r>
        <w:rPr>
          <w:rFonts w:ascii="Arial" w:cs="Arial" w:eastAsia="Arial" w:hAnsi="Arial"/>
          <w:sz w:val="15"/>
          <w:szCs w:val="15"/>
          <w:color w:val="auto"/>
        </w:rPr>
        <w:t>”). The entries in the Register shall be conclusive and binding for all purposes absent manifest error. The Company and the Holder of this Warrant shall treat the Person recorded in the Register as the owner of this Warrant for all purposes notwithstanding notice to the contrary. A Registered Warrant may be assigned, transferred or sold in whole or in</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1" w:name="page102"/>
    <w:bookmarkEnd w:id="10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only by registration of such assignment or sale on the Register. Upon its receipt of a written request to assign, transfer or sell all or part of any Registered Warrant by the holder thereof, together with any required documentation under the Transaction Documents (as defined in the Securities Purchase Agreement) including any legal opinions, the Company shall record the information contained therein in the Register and issue one or more new Registered Warrants in the same notional amount as the notional amount of the surrendered Registered Warrant to the designated assignee or transferee pursuant to Section 7, provided that if the Company does not so record an assignment, transfer or sale (as the case may be) of all or part of any Registered Warrant within two (2) Business Days of its receipt of (I) such a request and (II) the required documentation under the Transaction Documents including any legal opinions with respect to such transfer, then the Register shall be automatically updated to reflect such assignment, transfer or sale (as the case may be). Notwithstanding anything to the contrary set forth in this Section 1(h), following the exercise of any portion of this Warrant in accordance with the terms hereof, the Holder shall not be required to physically surrender this Warrant to the Company unless (A) the full number of Warrant Shares represented by this Warrant is being exercised (in which event this Warrant shall be delivered to the Company following exercise thereof as contemplated by Section 1(a)) or (B) the Holder has provided the Company with prior written notice (which notice may be included in an Exercise Notice) requesting reissuance of this Warrant upon physical surrender of this Warrant. The Holder and the Company shall maintain records showing the Warrant Shares delivered and the dates of such exercise and/or payments (as the case may be) or shall use such other method, reasonably satisfactory to the Holder and the Company, so as not to require physical surrender of this Warrant upon exercise.</w:t>
      </w:r>
    </w:p>
    <w:p>
      <w:pPr>
        <w:spacing w:after="0" w:line="121" w:lineRule="exact"/>
        <w:rPr>
          <w:sz w:val="20"/>
          <w:szCs w:val="20"/>
          <w:color w:val="auto"/>
        </w:rPr>
      </w:pPr>
    </w:p>
    <w:p>
      <w:pPr>
        <w:ind w:right="60" w:firstLine="8"/>
        <w:spacing w:after="0" w:line="268" w:lineRule="auto"/>
        <w:tabs>
          <w:tab w:leader="none" w:pos="17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31" w:lineRule="exact"/>
        <w:rPr>
          <w:rFonts w:ascii="Arial" w:cs="Arial" w:eastAsia="Arial" w:hAnsi="Arial"/>
          <w:sz w:val="18"/>
          <w:szCs w:val="18"/>
          <w:color w:val="auto"/>
        </w:rPr>
      </w:pPr>
    </w:p>
    <w:p>
      <w:pPr>
        <w:ind w:right="40" w:firstLine="464"/>
        <w:spacing w:after="0" w:line="286" w:lineRule="auto"/>
        <w:tabs>
          <w:tab w:leader="none" w:pos="69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Without limiting any provision of Section 2(b) or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2" w:name="page103"/>
    <w:bookmarkEnd w:id="102"/>
    <w:p>
      <w:pPr>
        <w:ind w:left="-20" w:firstLine="464"/>
        <w:spacing w:after="0" w:line="286"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Upon Issuance of Shares of Common Stock</w:t>
      </w:r>
      <w:r>
        <w:rPr>
          <w:rFonts w:ascii="Arial" w:cs="Arial" w:eastAsia="Arial" w:hAnsi="Arial"/>
          <w:sz w:val="16"/>
          <w:szCs w:val="16"/>
          <w:color w:val="auto"/>
        </w:rPr>
        <w:t>. If and whenever on or after the date of the Securities Purchase Agreement, the Company issues or sells, or in accordance with this Section 2 is deemed to have issued or sold, any shares of Common Stock (including the issuance or sale of shares of Common Stock owned or held by or for the account of the Company, but excluding any Excluded Securities issued or sold or deemed to have been issued or sold) for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the Exercise Price in effect immediately prior to such issue or sale or deemed issuance or sale (such Exercise Price then in effect is referred to as the “</w:t>
      </w:r>
      <w:r>
        <w:rPr>
          <w:rFonts w:ascii="Arial" w:cs="Arial" w:eastAsia="Arial" w:hAnsi="Arial"/>
          <w:sz w:val="16"/>
          <w:szCs w:val="16"/>
          <w:b w:val="1"/>
          <w:bCs w:val="1"/>
          <w:color w:val="auto"/>
        </w:rPr>
        <w:t>Applicable Price</w:t>
      </w:r>
      <w:r>
        <w:rPr>
          <w:rFonts w:ascii="Arial" w:cs="Arial" w:eastAsia="Arial" w:hAnsi="Arial"/>
          <w:sz w:val="16"/>
          <w:szCs w:val="16"/>
          <w:color w:val="auto"/>
        </w:rPr>
        <w:t>”, and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(such number being appropriately adjusted to reflect the occurrence of any event described in Section 2(a)), then, immediately after such Dilutive Issuance, the Exercise Price then in effect shall be reduced to an amount equal to the product of (A) the Applicable Price and (B) the quotient determined by dividing (1) the sum of (I) the product derived by multiplying the Applicable Price and the number of shares of Common Stock Deemed Outstanding immediately prior to such Dilutive Issuance plus (II) the consideration, if any, received by the Company upon such Dilutive Issuance, by (2) the product derived by multiplying (I) the Applicable Price by (II) the number of shares of Common Stock Deemed Outstanding immediately after such Dilutive Issuance. For all purposes of the foregoing (including, without limitation, determining the adjusted Exercise Price, the consideration per share and the New Issuance Price under this Section 2(b)), the following shall be applicable:</w:t>
      </w:r>
    </w:p>
    <w:p>
      <w:pPr>
        <w:spacing w:after="0" w:line="46" w:lineRule="exact"/>
        <w:rPr>
          <w:rFonts w:ascii="Arial" w:cs="Arial" w:eastAsia="Arial" w:hAnsi="Arial"/>
          <w:sz w:val="16"/>
          <w:szCs w:val="16"/>
          <w:color w:val="auto"/>
        </w:rPr>
      </w:pPr>
    </w:p>
    <w:p>
      <w:pPr>
        <w:ind w:left="440" w:firstLine="443"/>
        <w:spacing w:after="0" w:line="285" w:lineRule="auto"/>
        <w:tabs>
          <w:tab w:leader="none" w:pos="1088"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For purposes of this Section 2(b)(i), the “lowest price per share for which one share of Common Stock is issuable upon the exercise of any such Options or upon conversion,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03" w:name="page104"/>
    <w:bookmarkEnd w:id="103"/>
    <w:p>
      <w:pPr>
        <w:ind w:firstLine="443"/>
        <w:spacing w:after="0" w:line="285" w:lineRule="auto"/>
        <w:tabs>
          <w:tab w:leader="none" w:pos="69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2(b)(ii),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issue or sale.</w:t>
      </w:r>
    </w:p>
    <w:p>
      <w:pPr>
        <w:spacing w:after="0" w:line="47" w:lineRule="exact"/>
        <w:rPr>
          <w:rFonts w:ascii="Arial" w:cs="Arial" w:eastAsia="Arial" w:hAnsi="Arial"/>
          <w:sz w:val="16"/>
          <w:szCs w:val="16"/>
          <w:color w:val="auto"/>
        </w:rPr>
      </w:pPr>
    </w:p>
    <w:p>
      <w:pPr>
        <w:ind w:firstLine="443"/>
        <w:spacing w:after="0" w:line="287" w:lineRule="auto"/>
        <w:tabs>
          <w:tab w:leader="none" w:pos="74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referred to in Section 2(b)(i), the additional consideration, if any, payable upon the issue, conversion, exercise or exchange of any Convertible Securities referred to in Section 2(b)(i) or 2(b) (ii), or the rate at which any Convertible Securities referred to in Section 2(b)(i) or 2(b)(ii)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41" w:lineRule="exact"/>
        <w:rPr>
          <w:rFonts w:ascii="Arial" w:cs="Arial" w:eastAsia="Arial" w:hAnsi="Arial"/>
          <w:sz w:val="16"/>
          <w:szCs w:val="16"/>
          <w:color w:val="auto"/>
        </w:rPr>
      </w:pPr>
    </w:p>
    <w:p>
      <w:pPr>
        <w:ind w:right="180" w:firstLine="443"/>
        <w:spacing w:after="0" w:line="259" w:lineRule="auto"/>
        <w:tabs>
          <w:tab w:leader="none" w:pos="73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Calculation of Consideration Received</w:t>
      </w:r>
      <w:r>
        <w:rPr>
          <w:rFonts w:ascii="Arial" w:cs="Arial" w:eastAsia="Arial" w:hAnsi="Arial"/>
          <w:sz w:val="18"/>
          <w:szCs w:val="18"/>
          <w:color w:val="auto"/>
        </w:rPr>
        <w:t>. If any Option or Convertible Security or Adjustment Right is issued in connection with the issuance or sale or deemed issuance or sale of any other securities of the Company, together comprising one integrated transaction, (x) such Option or Convertible Security (as applicable) or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04" w:name="page105"/>
    <w:bookmarkEnd w:id="104"/>
    <w:p>
      <w:pPr>
        <w:ind w:left="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Right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or receivable by the Company minus (II) the Black Scholes Consideration Value of each such Option or Convertible Security (as applicable) or Adjustment Right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 such consideration will be determined within five (5) Trading Days after the tenth (10</w:t>
      </w:r>
      <w:r>
        <w:rPr>
          <w:rFonts w:ascii="Arial" w:cs="Arial" w:eastAsia="Arial" w:hAnsi="Arial"/>
          <w:sz w:val="10"/>
          <w:szCs w:val="10"/>
          <w:color w:val="auto"/>
        </w:rPr>
        <w:t>th</w:t>
      </w:r>
      <w:r>
        <w:rPr>
          <w:rFonts w:ascii="Arial" w:cs="Arial" w:eastAsia="Arial" w:hAnsi="Arial"/>
          <w:sz w:val="16"/>
          <w:szCs w:val="16"/>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40" w:lineRule="exact"/>
        <w:rPr>
          <w:sz w:val="20"/>
          <w:szCs w:val="20"/>
          <w:color w:val="auto"/>
        </w:rPr>
      </w:pPr>
    </w:p>
    <w:p>
      <w:pPr>
        <w:ind w:left="440" w:right="20" w:firstLine="443"/>
        <w:spacing w:after="0" w:line="255" w:lineRule="auto"/>
        <w:tabs>
          <w:tab w:leader="none" w:pos="1127"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42" w:lineRule="exact"/>
        <w:rPr>
          <w:rFonts w:ascii="Arial" w:cs="Arial" w:eastAsia="Arial" w:hAnsi="Arial"/>
          <w:sz w:val="18"/>
          <w:szCs w:val="18"/>
          <w:color w:val="auto"/>
        </w:rPr>
      </w:pPr>
    </w:p>
    <w:p>
      <w:pPr>
        <w:ind w:left="-20" w:right="20" w:firstLine="464"/>
        <w:spacing w:after="0" w:line="256" w:lineRule="auto"/>
        <w:tabs>
          <w:tab w:leader="none" w:pos="67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Number of Warrant Shares</w:t>
      </w:r>
      <w:r>
        <w:rPr>
          <w:rFonts w:ascii="Arial" w:cs="Arial" w:eastAsia="Arial" w:hAnsi="Arial"/>
          <w:sz w:val="18"/>
          <w:szCs w:val="18"/>
          <w:color w:val="auto"/>
        </w:rPr>
        <w:t>. Simultaneously with any adjustment to the Exercise Price pursuant to paragraph (a)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05" w:name="page106"/>
    <w:bookmarkEnd w:id="105"/>
    <w:p>
      <w:pPr>
        <w:ind w:left="-8" w:right="20" w:firstLine="464"/>
        <w:spacing w:after="0" w:line="286" w:lineRule="auto"/>
        <w:tabs>
          <w:tab w:leader="none" w:pos="697"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Right of Alternative Exercise Price Following Issuance of Certain Options or Convertible Securities</w:t>
      </w:r>
      <w:r>
        <w:rPr>
          <w:rFonts w:ascii="Arial" w:cs="Arial" w:eastAsia="Arial" w:hAnsi="Arial"/>
          <w:sz w:val="16"/>
          <w:szCs w:val="16"/>
          <w:color w:val="auto"/>
        </w:rPr>
        <w:t>. In addition to and not in limitation of the other provisions of this Section 2, if the Company in any manner issues or sells any Options or Convertible Securities after the Subscription Date that are convertible into or exchangeable or exercisable for shares of Common Stock at a price which varies or may vary with the market price of the Common Shares,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6"/>
          <w:szCs w:val="16"/>
          <w:b w:val="1"/>
          <w:bCs w:val="1"/>
          <w:color w:val="auto"/>
        </w:rPr>
        <w:t>Variable Price</w:t>
      </w:r>
      <w:r>
        <w:rPr>
          <w:rFonts w:ascii="Arial" w:cs="Arial" w:eastAsia="Arial" w:hAnsi="Arial"/>
          <w:sz w:val="16"/>
          <w:szCs w:val="16"/>
          <w:color w:val="auto"/>
        </w:rPr>
        <w:t>”), the Company shall provide written notice thereof via facsimile and overnight courier to the Holder on the date of issuance of such Convertible Securities or Options. From and after the date the Company issues any such Convertible Securities or Options with a Variable Price, the Holder shall have the right, but not the obligation, in its sole discretion to substitute the Variable Price for the Exercise Price upon exercise of this Warrant by designating in the Exercise Notice delivered upon any exercise of this Warrant that solely for purposes of such exercise the Holder is relying on the Variable Price rather than the Exercise Price then in effect. The Holder’s election to rely on a Variable Price for a particular exercise of this Warrant shall not obligate the Holder to rely on a Variable Price for any future exercises of this Warrant.</w:t>
      </w:r>
    </w:p>
    <w:p>
      <w:pPr>
        <w:spacing w:after="0" w:line="127" w:lineRule="exact"/>
        <w:rPr>
          <w:rFonts w:ascii="Arial" w:cs="Arial" w:eastAsia="Arial" w:hAnsi="Arial"/>
          <w:sz w:val="16"/>
          <w:szCs w:val="16"/>
          <w:color w:val="auto"/>
        </w:rPr>
      </w:pPr>
    </w:p>
    <w:p>
      <w:pPr>
        <w:ind w:left="-8" w:right="160" w:firstLine="464"/>
        <w:spacing w:after="0" w:line="283" w:lineRule="auto"/>
        <w:tabs>
          <w:tab w:leader="none" w:pos="687"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Stock Combination Event Adjustment</w:t>
      </w:r>
      <w:r>
        <w:rPr>
          <w:rFonts w:ascii="Arial" w:cs="Arial" w:eastAsia="Arial" w:hAnsi="Arial"/>
          <w:sz w:val="16"/>
          <w:szCs w:val="16"/>
          <w:color w:val="auto"/>
        </w:rPr>
        <w:t>. If at any time and from time to time on or after the Issuance Date there occurs any stock split, stock dividend, stock combination recapitalization or other similar transaction involving the Common Stock (each, a “</w:t>
      </w:r>
      <w:r>
        <w:rPr>
          <w:rFonts w:ascii="Arial" w:cs="Arial" w:eastAsia="Arial" w:hAnsi="Arial"/>
          <w:sz w:val="16"/>
          <w:szCs w:val="16"/>
          <w:b w:val="1"/>
          <w:bCs w:val="1"/>
          <w:color w:val="auto"/>
        </w:rPr>
        <w:t>Stock Combination Event</w:t>
      </w:r>
      <w:r>
        <w:rPr>
          <w:rFonts w:ascii="Arial" w:cs="Arial" w:eastAsia="Arial" w:hAnsi="Arial"/>
          <w:sz w:val="16"/>
          <w:szCs w:val="16"/>
          <w:color w:val="auto"/>
        </w:rPr>
        <w:t>”) and the product of (i) the quotient determined by dividing (A) the Exercise Price in effect immediately prior to the Stock Combination Event by (B) the arithmetic average of the VWAPs during the fifteen (15) Trading Days immediately prior to the Stock Combination Event; and (ii) the arithmetic average of the VWAPs during the fifteen</w:t>
      </w:r>
    </w:p>
    <w:p>
      <w:pPr>
        <w:spacing w:after="0" w:line="2" w:lineRule="exact"/>
        <w:rPr>
          <w:rFonts w:ascii="Arial" w:cs="Arial" w:eastAsia="Arial" w:hAnsi="Arial"/>
          <w:sz w:val="16"/>
          <w:szCs w:val="16"/>
          <w:color w:val="auto"/>
        </w:rPr>
      </w:pPr>
    </w:p>
    <w:p>
      <w:pPr>
        <w:ind w:left="-8" w:firstLine="8"/>
        <w:spacing w:after="0" w:line="253" w:lineRule="auto"/>
        <w:tabs>
          <w:tab w:leader="none" w:pos="3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Trading Days immediately following the date of such Stock Combination Event (each, an “</w:t>
      </w:r>
      <w:r>
        <w:rPr>
          <w:rFonts w:ascii="Arial" w:cs="Arial" w:eastAsia="Arial" w:hAnsi="Arial"/>
          <w:sz w:val="18"/>
          <w:szCs w:val="18"/>
          <w:b w:val="1"/>
          <w:bCs w:val="1"/>
          <w:color w:val="auto"/>
        </w:rPr>
        <w:t>Event Market Price</w:t>
      </w:r>
      <w:r>
        <w:rPr>
          <w:rFonts w:ascii="Arial" w:cs="Arial" w:eastAsia="Arial" w:hAnsi="Arial"/>
          <w:sz w:val="18"/>
          <w:szCs w:val="18"/>
          <w:color w:val="auto"/>
        </w:rPr>
        <w:t>”) is less than the Exercise Price then in effect (after giving effect to the adjustment in clause (b) above), then on the sixteenth (16th) Trading Day immediately following such Stock Combination Event, the Exercise Price then in effect on such sixteenth (16th) Trading Day (after giving effect to the adjustment in clause (b) above) shall be reduced (but in no event increased) to the Event Market Price. For the avoidance of doubt, if the adjustment in the immediately preceding sentence would otherwise result in an increase in the Exercise Price hereunder, no adjustment shall be made.</w:t>
      </w:r>
    </w:p>
    <w:p>
      <w:pPr>
        <w:spacing w:after="0" w:line="145" w:lineRule="exact"/>
        <w:rPr>
          <w:rFonts w:ascii="Arial" w:cs="Arial" w:eastAsia="Arial" w:hAnsi="Arial"/>
          <w:sz w:val="18"/>
          <w:szCs w:val="18"/>
          <w:color w:val="auto"/>
        </w:rPr>
      </w:pPr>
    </w:p>
    <w:p>
      <w:pPr>
        <w:ind w:left="-8" w:firstLine="464"/>
        <w:spacing w:after="0" w:line="288" w:lineRule="auto"/>
        <w:tabs>
          <w:tab w:leader="none" w:pos="668"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2(f)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106" w:name="page107"/>
    <w:bookmarkEnd w:id="106"/>
    <w:p>
      <w:pPr>
        <w:ind w:left="-8" w:right="340" w:firstLine="464"/>
        <w:spacing w:after="0" w:line="259" w:lineRule="auto"/>
        <w:tabs>
          <w:tab w:leader="none" w:pos="697"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11"/>
          <w:szCs w:val="11"/>
          <w:color w:val="auto"/>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40" w:lineRule="exact"/>
        <w:rPr>
          <w:rFonts w:ascii="Arial" w:cs="Arial" w:eastAsia="Arial" w:hAnsi="Arial"/>
          <w:sz w:val="18"/>
          <w:szCs w:val="18"/>
          <w:color w:val="auto"/>
        </w:rPr>
      </w:pPr>
    </w:p>
    <w:p>
      <w:pPr>
        <w:ind w:left="-8" w:right="100" w:firstLine="464"/>
        <w:spacing w:after="0" w:line="294" w:lineRule="auto"/>
        <w:tabs>
          <w:tab w:leader="none" w:pos="697"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Exercise Floor Price</w:t>
      </w:r>
      <w:r>
        <w:rPr>
          <w:rFonts w:ascii="Arial" w:cs="Arial" w:eastAsia="Arial" w:hAnsi="Arial"/>
          <w:sz w:val="16"/>
          <w:szCs w:val="16"/>
          <w:color w:val="auto"/>
        </w:rPr>
        <w:t>. Notwithstanding the foregoing, no adjustment pursuant to clauses (b), (d) or (e) of this Section 2 shall cause the Exercise Price to be less than $4.01 (as adjusted for any stock dividend, stock split, stock combination, reclassification or similar transaction occurring after the date of the Securities Purchase Agreement) (the “</w:t>
      </w:r>
      <w:r>
        <w:rPr>
          <w:rFonts w:ascii="Arial" w:cs="Arial" w:eastAsia="Arial" w:hAnsi="Arial"/>
          <w:sz w:val="16"/>
          <w:szCs w:val="16"/>
          <w:b w:val="1"/>
          <w:bCs w:val="1"/>
          <w:color w:val="auto"/>
        </w:rPr>
        <w:t>Exercise Floor Price</w:t>
      </w:r>
      <w:r>
        <w:rPr>
          <w:rFonts w:ascii="Arial" w:cs="Arial" w:eastAsia="Arial" w:hAnsi="Arial"/>
          <w:sz w:val="16"/>
          <w:szCs w:val="16"/>
          <w:color w:val="auto"/>
        </w:rPr>
        <w:t>”); provided, that nothing contained in this Section 2(h) shall apply after the Company has obtained the written approval of its stockholders providing for the Company’s issuance of all of the Securities (as defined in the Securities Purchase Agreement) in accordance with applicable law and the rules and regulations of the Principal Market prior to such date.</w:t>
      </w:r>
    </w:p>
    <w:p>
      <w:pPr>
        <w:spacing w:after="0" w:line="115" w:lineRule="exact"/>
        <w:rPr>
          <w:rFonts w:ascii="Arial" w:cs="Arial" w:eastAsia="Arial" w:hAnsi="Arial"/>
          <w:sz w:val="16"/>
          <w:szCs w:val="16"/>
          <w:color w:val="auto"/>
        </w:rPr>
      </w:pPr>
    </w:p>
    <w:p>
      <w:pPr>
        <w:ind w:left="-8" w:right="60" w:firstLine="8"/>
        <w:spacing w:after="0" w:line="286" w:lineRule="auto"/>
        <w:tabs>
          <w:tab w:leader="none" w:pos="168"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any distribution of cash, stock or other securities, property or options by way of a dividend, spin off, reclassification, corporate rearrangement, scheme of arrangement or other similar transaction (other than a stock dividend or other distribution of shares of Common Stock to the extent the Company complies with Section 2(a) hereof in connection therewith)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Date, then, in each such case, the Holder shall be entitled to participate in such Distribution to the same extent that the Holder would have participated therein if the Holder had held the number of shares of Common Stock acquirable upon complete exercise of this Warrant by Cashless Exercise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20" w:lineRule="exact"/>
        <w:rPr>
          <w:rFonts w:ascii="Arial" w:cs="Arial" w:eastAsia="Arial" w:hAnsi="Arial"/>
          <w:sz w:val="16"/>
          <w:szCs w:val="16"/>
          <w:color w:val="auto"/>
        </w:rPr>
      </w:pPr>
    </w:p>
    <w:p>
      <w:pPr>
        <w:ind w:left="172" w:hanging="172"/>
        <w:spacing w:after="0"/>
        <w:tabs>
          <w:tab w:leader="none" w:pos="17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8" w:firstLine="464"/>
        <w:spacing w:after="0" w:line="259" w:lineRule="auto"/>
        <w:tabs>
          <w:tab w:leader="none" w:pos="687"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 then the Holder will be entitled to acquire,</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107" w:name="page108"/>
    <w:bookmarkEnd w:id="107"/>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18" w:lineRule="exact"/>
        <w:rPr>
          <w:sz w:val="20"/>
          <w:szCs w:val="20"/>
          <w:color w:val="auto"/>
        </w:rPr>
      </w:pPr>
    </w:p>
    <w:p>
      <w:pPr>
        <w:ind w:firstLine="464"/>
        <w:spacing w:after="0" w:line="284" w:lineRule="auto"/>
        <w:tabs>
          <w:tab w:leader="none" w:pos="705"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(or, if prior to the consummation of such Fundamental Transaction, such applicable agreement requires the assumption of) all of the obligations of the Company under this Warrant and the other Transaction Documents (as defined in the Securities Purchase Agreement) in accordance with the provisions of this Section 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08" w:name="page109"/>
    <w:bookmarkEnd w:id="10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w:t>
      </w:r>
    </w:p>
    <w:p>
      <w:pPr>
        <w:spacing w:after="0" w:line="127" w:lineRule="exact"/>
        <w:rPr>
          <w:sz w:val="20"/>
          <w:szCs w:val="20"/>
          <w:color w:val="auto"/>
        </w:rPr>
      </w:pPr>
    </w:p>
    <w:p>
      <w:pPr>
        <w:ind w:right="380" w:firstLine="464"/>
        <w:spacing w:after="0" w:line="305" w:lineRule="auto"/>
        <w:tabs>
          <w:tab w:leader="none" w:pos="695" w:val="left"/>
        </w:tabs>
        <w:numPr>
          <w:ilvl w:val="1"/>
          <w:numId w:val="121"/>
        </w:numPr>
        <w:rPr>
          <w:rFonts w:ascii="Arial" w:cs="Arial" w:eastAsia="Arial" w:hAnsi="Arial"/>
          <w:sz w:val="15"/>
          <w:szCs w:val="15"/>
          <w:color w:val="auto"/>
        </w:rPr>
      </w:pPr>
      <w:r>
        <w:rPr>
          <w:rFonts w:ascii="Arial" w:cs="Arial" w:eastAsia="Arial" w:hAnsi="Arial"/>
          <w:sz w:val="15"/>
          <w:szCs w:val="15"/>
          <w:u w:val="single" w:color="auto"/>
          <w:color w:val="auto"/>
        </w:rPr>
        <w:t>Black Scholes Value</w:t>
      </w:r>
      <w:r>
        <w:rPr>
          <w:rFonts w:ascii="Arial" w:cs="Arial" w:eastAsia="Arial" w:hAnsi="Arial"/>
          <w:sz w:val="15"/>
          <w:szCs w:val="15"/>
          <w:color w:val="auto"/>
        </w:rPr>
        <w:t>. Notwithstanding the foregoing and the provisions of Section 4(a) above, at the request of the Holder delivered at any time commencing on the earliest to occur of (x) the public disclosure of any Fundamental Transaction, (y) the consummation of any Fundamental Transaction and</w:t>
      </w:r>
    </w:p>
    <w:p>
      <w:pPr>
        <w:ind w:right="80" w:firstLine="8"/>
        <w:spacing w:after="0" w:line="252" w:lineRule="auto"/>
        <w:tabs>
          <w:tab w:leader="none" w:pos="23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Holder first becoming aware of any Fundamental Transaction (including, without limitation, a Fundamental Transaction that is publicly disclosed, consummated or of which the Holder first becomes aware (as the case may be) prior to the Initial Exercisability Date) through the date that is ninety (90) days after the public disclosure of the consummation of such Fundamental Transaction by the Company pursuant to a Current Report on Form 8-K filed with the SEC, the Company or the Successor Entity (as the case may be) shall promptly purchase this Warrant from the Holder (but in no event prior to the later of (A) the third (3</w:t>
      </w:r>
      <w:r>
        <w:rPr>
          <w:rFonts w:ascii="Arial" w:cs="Arial" w:eastAsia="Arial" w:hAnsi="Arial"/>
          <w:sz w:val="11"/>
          <w:szCs w:val="11"/>
          <w:color w:val="auto"/>
        </w:rPr>
        <w:t>rd</w:t>
      </w:r>
      <w:r>
        <w:rPr>
          <w:rFonts w:ascii="Arial" w:cs="Arial" w:eastAsia="Arial" w:hAnsi="Arial"/>
          <w:sz w:val="18"/>
          <w:szCs w:val="18"/>
          <w:color w:val="auto"/>
        </w:rPr>
        <w:t>) Trading Day after the date of such request and (B) the date of the consummation of such Fundamental Transaction) by paying to the Holder cash in an amount equal to the Black Scholes Value.</w:t>
      </w:r>
    </w:p>
    <w:p>
      <w:pPr>
        <w:spacing w:after="0" w:line="148" w:lineRule="exact"/>
        <w:rPr>
          <w:rFonts w:ascii="Arial" w:cs="Arial" w:eastAsia="Arial" w:hAnsi="Arial"/>
          <w:sz w:val="18"/>
          <w:szCs w:val="18"/>
          <w:color w:val="auto"/>
        </w:rPr>
      </w:pPr>
    </w:p>
    <w:p>
      <w:pPr>
        <w:ind w:right="120" w:firstLine="464"/>
        <w:spacing w:after="0" w:line="298" w:lineRule="auto"/>
        <w:tabs>
          <w:tab w:leader="none" w:pos="70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Application.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13" w:lineRule="exact"/>
        <w:rPr>
          <w:sz w:val="20"/>
          <w:szCs w:val="20"/>
          <w:color w:val="auto"/>
        </w:rPr>
      </w:pPr>
    </w:p>
    <w:p>
      <w:pPr>
        <w:ind w:right="40" w:firstLine="8"/>
        <w:spacing w:after="0" w:line="256" w:lineRule="auto"/>
        <w:tabs>
          <w:tab w:leader="none" w:pos="17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09" w:name="page110"/>
    <w:bookmarkEnd w:id="109"/>
    <w:p>
      <w:pPr>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w:t>
      </w:r>
    </w:p>
    <w:p>
      <w:pPr>
        <w:ind w:firstLine="8"/>
        <w:spacing w:after="0" w:line="253" w:lineRule="auto"/>
        <w:tabs>
          <w:tab w:leader="none" w:pos="2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shall take all such actions as may be reasonably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45" w:lineRule="exact"/>
        <w:rPr>
          <w:sz w:val="20"/>
          <w:szCs w:val="20"/>
          <w:color w:val="auto"/>
        </w:rPr>
      </w:pPr>
    </w:p>
    <w:p>
      <w:pPr>
        <w:ind w:right="100" w:firstLine="8"/>
        <w:spacing w:after="0" w:line="287" w:lineRule="auto"/>
        <w:tabs>
          <w:tab w:leader="none" w:pos="17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(that are not filed with or furnished to the SEC) given to the stockholders of the Company generally, contemporaneously with the giving thereof to the stockholders.</w:t>
      </w:r>
    </w:p>
    <w:p>
      <w:pPr>
        <w:spacing w:after="0" w:line="122" w:lineRule="exact"/>
        <w:rPr>
          <w:rFonts w:ascii="Arial" w:cs="Arial" w:eastAsia="Arial" w:hAnsi="Arial"/>
          <w:sz w:val="16"/>
          <w:szCs w:val="16"/>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464"/>
        <w:spacing w:after="0" w:line="323" w:lineRule="auto"/>
        <w:tabs>
          <w:tab w:leader="none" w:pos="695" w:val="left"/>
        </w:tabs>
        <w:numPr>
          <w:ilvl w:val="1"/>
          <w:numId w:val="125"/>
        </w:numPr>
        <w:rPr>
          <w:rFonts w:ascii="Arial" w:cs="Arial" w:eastAsia="Arial" w:hAnsi="Arial"/>
          <w:sz w:val="15"/>
          <w:szCs w:val="15"/>
          <w:color w:val="auto"/>
        </w:rPr>
      </w:pPr>
      <w:r>
        <w:rPr>
          <w:rFonts w:ascii="Arial" w:cs="Arial" w:eastAsia="Arial" w:hAnsi="Arial"/>
          <w:sz w:val="15"/>
          <w:szCs w:val="15"/>
          <w:u w:val="single" w:color="auto"/>
          <w:color w:val="auto"/>
        </w:rPr>
        <w:t>Transfer of Warrant</w:t>
      </w:r>
      <w:r>
        <w:rPr>
          <w:rFonts w:ascii="Arial" w:cs="Arial" w:eastAsia="Arial" w:hAnsi="Arial"/>
          <w:sz w:val="15"/>
          <w:szCs w:val="15"/>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97" w:lineRule="exact"/>
        <w:rPr>
          <w:rFonts w:ascii="Arial" w:cs="Arial" w:eastAsia="Arial" w:hAnsi="Arial"/>
          <w:sz w:val="15"/>
          <w:szCs w:val="15"/>
          <w:color w:val="auto"/>
        </w:rPr>
      </w:pPr>
    </w:p>
    <w:p>
      <w:pPr>
        <w:ind w:right="60" w:firstLine="464"/>
        <w:spacing w:after="0" w:line="294" w:lineRule="auto"/>
        <w:tabs>
          <w:tab w:leader="none" w:pos="705"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10" w:name="page111"/>
    <w:bookmarkEnd w:id="110"/>
    <w:p>
      <w:pPr>
        <w:ind w:right="60" w:firstLine="464"/>
        <w:spacing w:after="0" w:line="298" w:lineRule="auto"/>
        <w:tabs>
          <w:tab w:leader="none" w:pos="695"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Exchangeable for Multiple Warrants</w:t>
      </w:r>
      <w:r>
        <w:rPr>
          <w:rFonts w:ascii="Arial" w:cs="Arial" w:eastAsia="Arial" w:hAnsi="Arial"/>
          <w:sz w:val="16"/>
          <w:szCs w:val="16"/>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12" w:lineRule="exact"/>
        <w:rPr>
          <w:rFonts w:ascii="Arial" w:cs="Arial" w:eastAsia="Arial" w:hAnsi="Arial"/>
          <w:sz w:val="16"/>
          <w:szCs w:val="16"/>
          <w:color w:val="auto"/>
        </w:rPr>
      </w:pPr>
    </w:p>
    <w:p>
      <w:pPr>
        <w:ind w:firstLine="464"/>
        <w:spacing w:after="0" w:line="302" w:lineRule="auto"/>
        <w:tabs>
          <w:tab w:leader="none" w:pos="705" w:val="left"/>
        </w:tabs>
        <w:numPr>
          <w:ilvl w:val="1"/>
          <w:numId w:val="126"/>
        </w:numPr>
        <w:rPr>
          <w:rFonts w:ascii="Arial" w:cs="Arial" w:eastAsia="Arial" w:hAnsi="Arial"/>
          <w:sz w:val="15"/>
          <w:szCs w:val="15"/>
          <w:color w:val="auto"/>
        </w:rPr>
      </w:pPr>
      <w:r>
        <w:rPr>
          <w:rFonts w:ascii="Arial" w:cs="Arial" w:eastAsia="Arial" w:hAnsi="Arial"/>
          <w:sz w:val="15"/>
          <w:szCs w:val="15"/>
          <w:u w:val="single" w:color="auto"/>
          <w:color w:val="auto"/>
        </w:rPr>
        <w:t>Issuance of New Warrants</w:t>
      </w:r>
      <w:r>
        <w:rPr>
          <w:rFonts w:ascii="Arial" w:cs="Arial" w:eastAsia="Arial" w:hAnsi="Arial"/>
          <w:sz w:val="15"/>
          <w:szCs w:val="15"/>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w:t>
      </w:r>
    </w:p>
    <w:p>
      <w:pPr>
        <w:spacing w:after="0" w:line="1" w:lineRule="exact"/>
        <w:rPr>
          <w:rFonts w:ascii="Arial" w:cs="Arial" w:eastAsia="Arial" w:hAnsi="Arial"/>
          <w:sz w:val="15"/>
          <w:szCs w:val="15"/>
          <w:color w:val="auto"/>
        </w:rPr>
      </w:pPr>
    </w:p>
    <w:p>
      <w:pPr>
        <w:ind w:left="300" w:hanging="292"/>
        <w:spacing w:after="0"/>
        <w:tabs>
          <w:tab w:leader="none" w:pos="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shall have the same rights and conditions as this Warrant.</w:t>
      </w:r>
    </w:p>
    <w:p>
      <w:pPr>
        <w:spacing w:after="0" w:line="165" w:lineRule="exact"/>
        <w:rPr>
          <w:sz w:val="20"/>
          <w:szCs w:val="20"/>
          <w:color w:val="auto"/>
        </w:rPr>
      </w:pPr>
    </w:p>
    <w:p>
      <w:pPr>
        <w:ind w:right="60" w:firstLine="8"/>
        <w:spacing w:after="0" w:line="302" w:lineRule="auto"/>
        <w:tabs>
          <w:tab w:leader="none" w:pos="176"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fifteen (15) days prior to the date on which the Company closes its books or takes a record</w:t>
      </w:r>
    </w:p>
    <w:p>
      <w:pPr>
        <w:spacing w:after="0" w:line="1" w:lineRule="exact"/>
        <w:rPr>
          <w:rFonts w:ascii="Arial" w:cs="Arial" w:eastAsia="Arial" w:hAnsi="Arial"/>
          <w:sz w:val="15"/>
          <w:szCs w:val="15"/>
          <w:color w:val="auto"/>
        </w:rPr>
      </w:pPr>
    </w:p>
    <w:p>
      <w:pPr>
        <w:ind w:right="80"/>
        <w:spacing w:after="0" w:line="287" w:lineRule="auto"/>
        <w:rPr>
          <w:rFonts w:ascii="Arial" w:cs="Arial" w:eastAsia="Arial" w:hAnsi="Arial"/>
          <w:sz w:val="15"/>
          <w:szCs w:val="15"/>
          <w:color w:val="auto"/>
        </w:rPr>
      </w:pPr>
      <w:r>
        <w:rPr>
          <w:rFonts w:ascii="Arial" w:cs="Arial" w:eastAsia="Arial" w:hAnsi="Arial"/>
          <w:sz w:val="16"/>
          <w:szCs w:val="16"/>
          <w:color w:val="auto"/>
        </w:rPr>
        <w:t>(A)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It is expressly understood and agreed that the time of execution specified by the Holder in each Exercise Notice shall be definitive and may not be disputed or challenged by the Company.</w:t>
      </w:r>
    </w:p>
    <w:p>
      <w:pPr>
        <w:spacing w:after="0" w:line="124" w:lineRule="exact"/>
        <w:rPr>
          <w:rFonts w:ascii="Arial" w:cs="Arial" w:eastAsia="Arial" w:hAnsi="Arial"/>
          <w:sz w:val="15"/>
          <w:szCs w:val="15"/>
          <w:color w:val="auto"/>
        </w:rPr>
      </w:pPr>
    </w:p>
    <w:p>
      <w:pPr>
        <w:ind w:right="180" w:firstLine="8"/>
        <w:spacing w:after="0" w:line="306" w:lineRule="auto"/>
        <w:tabs>
          <w:tab w:leader="none" w:pos="176"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11" w:name="page112"/>
    <w:bookmarkEnd w:id="111"/>
    <w:p>
      <w:pPr>
        <w:ind w:right="120" w:firstLine="8"/>
        <w:spacing w:after="0" w:line="289" w:lineRule="auto"/>
        <w:tabs>
          <w:tab w:leader="none" w:pos="263"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18" w:lineRule="exact"/>
        <w:rPr>
          <w:rFonts w:ascii="Arial" w:cs="Arial" w:eastAsia="Arial" w:hAnsi="Arial"/>
          <w:sz w:val="16"/>
          <w:szCs w:val="16"/>
          <w:color w:val="auto"/>
        </w:rPr>
      </w:pPr>
    </w:p>
    <w:p>
      <w:pPr>
        <w:ind w:firstLine="8"/>
        <w:spacing w:after="0" w:line="282" w:lineRule="auto"/>
        <w:tabs>
          <w:tab w:leader="none" w:pos="25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regard to conflict of law principles that would result in the application of any laws other than the laws of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Section 9(f) of the Securities Purchase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w:t>
      </w:r>
    </w:p>
    <w:p>
      <w:pPr>
        <w:spacing w:after="0" w:line="5" w:lineRule="exact"/>
        <w:rPr>
          <w:rFonts w:ascii="Arial" w:cs="Arial" w:eastAsia="Arial" w:hAnsi="Arial"/>
          <w:sz w:val="16"/>
          <w:szCs w:val="16"/>
          <w:color w:val="auto"/>
        </w:rPr>
      </w:pPr>
    </w:p>
    <w:p>
      <w:pPr>
        <w:ind w:right="5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MAY HAVE TO, AND AGREES NOT TO REQUEST, A JURY TRIAL FOR THE ADJUDICATION OF ANY DISPUTE HEREUNDER OR IN CONNECTION WITH OR ARISING OUT OF THIS WARRANT OR ANY TRANSACTION CONTEMPLATED HEREBY.</w:t>
      </w:r>
    </w:p>
    <w:p>
      <w:pPr>
        <w:spacing w:after="0" w:line="137" w:lineRule="exact"/>
        <w:rPr>
          <w:rFonts w:ascii="Arial" w:cs="Arial" w:eastAsia="Arial" w:hAnsi="Arial"/>
          <w:sz w:val="16"/>
          <w:szCs w:val="16"/>
          <w:color w:val="auto"/>
        </w:rPr>
      </w:pPr>
    </w:p>
    <w:p>
      <w:pPr>
        <w:ind w:right="20" w:firstLine="8"/>
        <w:spacing w:after="0" w:line="255" w:lineRule="auto"/>
        <w:tabs>
          <w:tab w:leader="none" w:pos="26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(as defined in the Securities Purchase Agreement) shall have the meanings ascribed to such terms on the Initial Closing Date (as defined in the Securities Purchase Agreement) in such other Transaction Documents unless otherwise consented to in writing by the Holder.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12" w:name="page113"/>
    <w:bookmarkEnd w:id="112"/>
    <w:p>
      <w:pPr>
        <w:ind w:right="20" w:firstLine="8"/>
        <w:spacing w:after="0" w:line="301" w:lineRule="auto"/>
        <w:tabs>
          <w:tab w:leader="none" w:pos="263"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RESOLUTION</w:t>
      </w:r>
      <w:r>
        <w:rPr>
          <w:rFonts w:ascii="Arial" w:cs="Arial" w:eastAsia="Arial" w:hAnsi="Arial"/>
          <w:sz w:val="15"/>
          <w:szCs w:val="15"/>
          <w:color w:val="auto"/>
        </w:rPr>
        <w:t>. In the case of a dispute as to the determination of the Exercise Price, the Closing Sale Price or fair market value or the arithmetic calculation of the Warrant Shares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issuance or sale or deemed issuance or sale was an issuance or sale or deemed issuance or sale of Excluded Securities). If the Holder and the Company are unable to agree upon such determination or calculation (as the case may be) of the Exercise Price, the Closing Sale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w:t>
      </w:r>
    </w:p>
    <w:p>
      <w:pPr>
        <w:spacing w:after="0" w:line="4" w:lineRule="exact"/>
        <w:rPr>
          <w:rFonts w:ascii="Arial" w:cs="Arial" w:eastAsia="Arial" w:hAnsi="Arial"/>
          <w:sz w:val="15"/>
          <w:szCs w:val="15"/>
          <w:color w:val="auto"/>
        </w:rPr>
      </w:pPr>
    </w:p>
    <w:p>
      <w:pPr>
        <w:ind w:right="20"/>
        <w:spacing w:after="0" w:line="290" w:lineRule="auto"/>
        <w:rPr>
          <w:rFonts w:ascii="Arial" w:cs="Arial" w:eastAsia="Arial" w:hAnsi="Arial"/>
          <w:sz w:val="15"/>
          <w:szCs w:val="15"/>
          <w:color w:val="auto"/>
        </w:rPr>
      </w:pPr>
      <w:r>
        <w:rPr>
          <w:rFonts w:ascii="Arial" w:cs="Arial" w:eastAsia="Arial" w:hAnsi="Arial"/>
          <w:sz w:val="16"/>
          <w:szCs w:val="16"/>
          <w:color w:val="auto"/>
        </w:rPr>
        <w:t>(a) the disputed determination of the Exercise Price, the Closing Sale Price or fair market value (as the case may be) to an independent, reputable investment bank selected by the Company and reasonably acceptable to the Holder or (b)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manifest error.</w:t>
      </w:r>
    </w:p>
    <w:p>
      <w:pPr>
        <w:spacing w:after="0" w:line="118" w:lineRule="exact"/>
        <w:rPr>
          <w:rFonts w:ascii="Arial" w:cs="Arial" w:eastAsia="Arial" w:hAnsi="Arial"/>
          <w:sz w:val="15"/>
          <w:szCs w:val="15"/>
          <w:color w:val="auto"/>
        </w:rPr>
      </w:pPr>
    </w:p>
    <w:p>
      <w:pPr>
        <w:ind w:firstLine="8"/>
        <w:spacing w:after="0" w:line="285" w:lineRule="auto"/>
        <w:tabs>
          <w:tab w:leader="none" w:pos="263"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provided, however, that the Holder waives any consequential damages it may suffer from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13" w:name="page114"/>
    <w:bookmarkEnd w:id="113"/>
    <w:p>
      <w:pPr>
        <w:ind w:left="-8" w:right="140" w:firstLine="8"/>
        <w:spacing w:after="0" w:line="268"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w:t>
      </w:r>
      <w:r>
        <w:rPr>
          <w:rFonts w:ascii="Arial" w:cs="Arial" w:eastAsia="Arial" w:hAnsi="Arial"/>
          <w:sz w:val="18"/>
          <w:szCs w:val="18"/>
          <w:color w:val="auto"/>
        </w:rPr>
        <w:t>. Subject to Section 1(h), this Warrant may be offered for sale, sold, transferred or assigned without the consent of the Company, except as may otherwise be required by Section 2(h) of the Securities Purchase Agreement.</w:t>
      </w:r>
    </w:p>
    <w:p>
      <w:pPr>
        <w:spacing w:after="0" w:line="131" w:lineRule="exact"/>
        <w:rPr>
          <w:rFonts w:ascii="Arial" w:cs="Arial" w:eastAsia="Arial" w:hAnsi="Arial"/>
          <w:sz w:val="18"/>
          <w:szCs w:val="18"/>
          <w:color w:val="auto"/>
        </w:rPr>
      </w:pPr>
    </w:p>
    <w:p>
      <w:pPr>
        <w:ind w:left="272" w:hanging="272"/>
        <w:spacing w:after="0"/>
        <w:tabs>
          <w:tab w:leader="none" w:pos="27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Holder of this Warrant, by accepting this Warrant, acknowledges and agrees as follows:</w:t>
      </w:r>
    </w:p>
    <w:p>
      <w:pPr>
        <w:spacing w:after="0" w:line="171" w:lineRule="exact"/>
        <w:rPr>
          <w:sz w:val="20"/>
          <w:szCs w:val="20"/>
          <w:color w:val="auto"/>
        </w:rPr>
      </w:pPr>
    </w:p>
    <w:p>
      <w:pPr>
        <w:ind w:left="-8" w:firstLine="464"/>
        <w:spacing w:after="0" w:line="255" w:lineRule="auto"/>
        <w:tabs>
          <w:tab w:leader="none" w:pos="68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On or prior to the date it acquires this Warrant, the Holder will timely furnish the Company or its agents any United States federal income tax form or certification (such as IRS Form W-8BEN, Form W-8IMY, IRS Form W-9, or IRS Form W-8ECI or any successors to such IRS forms), or other information, form or certificate (including any information or certifications specified under Sections 1471-1474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that the Company or its agents may reasonably request and will update or replace such form or certification in accordance with its terms or its subsequent amendments.</w:t>
      </w:r>
    </w:p>
    <w:p>
      <w:pPr>
        <w:spacing w:after="0" w:line="142" w:lineRule="exact"/>
        <w:rPr>
          <w:rFonts w:ascii="Arial" w:cs="Arial" w:eastAsia="Arial" w:hAnsi="Arial"/>
          <w:sz w:val="18"/>
          <w:szCs w:val="18"/>
          <w:color w:val="auto"/>
        </w:rPr>
      </w:pPr>
    </w:p>
    <w:p>
      <w:pPr>
        <w:ind w:left="-8" w:firstLine="464"/>
        <w:spacing w:after="0" w:line="259" w:lineRule="auto"/>
        <w:tabs>
          <w:tab w:leader="none" w:pos="69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the Company pays withholding taxes on behalf of the Holder with respect to this Warrant that it cannot immediately offset by reducing the amount of a related payment (such as withholding taxes imposed as a result of the application of Section 305(c) of the Code), the Holder will, within 10 business days of written notice. reimburse the Company for the amounts specified in such notice.</w:t>
      </w:r>
    </w:p>
    <w:p>
      <w:pPr>
        <w:spacing w:after="0" w:line="140" w:lineRule="exact"/>
        <w:rPr>
          <w:rFonts w:ascii="Arial" w:cs="Arial" w:eastAsia="Arial" w:hAnsi="Arial"/>
          <w:sz w:val="18"/>
          <w:szCs w:val="18"/>
          <w:color w:val="auto"/>
        </w:rPr>
      </w:pPr>
    </w:p>
    <w:p>
      <w:pPr>
        <w:ind w:left="-8" w:right="220" w:firstLine="464"/>
        <w:spacing w:after="0" w:line="268" w:lineRule="auto"/>
        <w:tabs>
          <w:tab w:leader="none" w:pos="68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Holder will file all tax returns in a manner consistent with Section 1(c) of the Securities Purchase Agreement unless otherwise required to take a different position following a determination within the meaning of Section 1313 of the Code to the contrary.</w:t>
      </w:r>
    </w:p>
    <w:p>
      <w:pPr>
        <w:spacing w:after="0" w:line="131" w:lineRule="exact"/>
        <w:rPr>
          <w:rFonts w:ascii="Arial" w:cs="Arial" w:eastAsia="Arial" w:hAnsi="Arial"/>
          <w:sz w:val="18"/>
          <w:szCs w:val="18"/>
          <w:color w:val="auto"/>
        </w:rPr>
      </w:pPr>
    </w:p>
    <w:p>
      <w:pPr>
        <w:ind w:left="272" w:hanging="272"/>
        <w:spacing w:after="0"/>
        <w:tabs>
          <w:tab w:leader="none" w:pos="27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165" w:lineRule="exact"/>
        <w:rPr>
          <w:rFonts w:ascii="Arial" w:cs="Arial" w:eastAsia="Arial" w:hAnsi="Arial"/>
          <w:sz w:val="18"/>
          <w:szCs w:val="18"/>
          <w:color w:val="auto"/>
        </w:rPr>
      </w:pPr>
    </w:p>
    <w:p>
      <w:pPr>
        <w:ind w:left="-8" w:right="80" w:firstLine="464"/>
        <w:spacing w:after="0" w:line="275" w:lineRule="auto"/>
        <w:tabs>
          <w:tab w:leader="none" w:pos="68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Notes</w:t>
      </w:r>
      <w:r>
        <w:rPr>
          <w:rFonts w:ascii="Arial" w:cs="Arial" w:eastAsia="Arial" w:hAnsi="Arial"/>
          <w:sz w:val="18"/>
          <w:szCs w:val="18"/>
          <w:color w:val="auto"/>
        </w:rPr>
        <w:t>” shall have the meaning ascribed to such term in the Securities Purchase Agreement, and shall include all notes issued in exchange therefor or replacement thereof.</w:t>
      </w:r>
    </w:p>
    <w:p>
      <w:pPr>
        <w:spacing w:after="0" w:line="119" w:lineRule="exact"/>
        <w:rPr>
          <w:rFonts w:ascii="Arial" w:cs="Arial" w:eastAsia="Arial" w:hAnsi="Arial"/>
          <w:sz w:val="18"/>
          <w:szCs w:val="18"/>
          <w:color w:val="auto"/>
        </w:rPr>
      </w:pPr>
    </w:p>
    <w:p>
      <w:pPr>
        <w:ind w:left="-8" w:right="80" w:firstLine="464"/>
        <w:spacing w:after="0" w:line="258" w:lineRule="auto"/>
        <w:tabs>
          <w:tab w:leader="none" w:pos="69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Sections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36" w:lineRule="exact"/>
        <w:rPr>
          <w:rFonts w:ascii="Arial" w:cs="Arial" w:eastAsia="Arial" w:hAnsi="Arial"/>
          <w:sz w:val="18"/>
          <w:szCs w:val="18"/>
          <w:color w:val="auto"/>
        </w:rPr>
      </w:pPr>
    </w:p>
    <w:p>
      <w:pPr>
        <w:ind w:left="-8" w:right="40" w:firstLine="464"/>
        <w:spacing w:after="0" w:line="258" w:lineRule="auto"/>
        <w:tabs>
          <w:tab w:leader="none" w:pos="68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or incentive plan which has been approved by the Board of Directors of the Company prior to or subsequent to the date hereof pursuant to which shares of Common Stock, options to purchase Common Stock, stock appreciation rights, restricted shares of Common Stock, restricted stock units and other stock-based awards may be issued to any employee, officer, director or consultant for services provided to the Company in their capacity as such.</w:t>
      </w:r>
    </w:p>
    <w:p>
      <w:pPr>
        <w:spacing w:after="0" w:line="1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52"/>
          </w:cols>
          <w:pgMar w:left="248" w:top="280" w:right="299" w:bottom="1440" w:gutter="0" w:footer="0" w:header="0"/>
        </w:sectPr>
      </w:pPr>
    </w:p>
    <w:bookmarkStart w:id="114" w:name="page115"/>
    <w:bookmarkEnd w:id="114"/>
    <w:p>
      <w:pPr>
        <w:ind w:right="20" w:firstLine="464"/>
        <w:spacing w:after="0" w:line="290" w:lineRule="auto"/>
        <w:tabs>
          <w:tab w:leader="none" w:pos="705"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Black Scholes Consideration Value</w:t>
      </w:r>
      <w:r>
        <w:rPr>
          <w:rFonts w:ascii="Arial" w:cs="Arial" w:eastAsia="Arial" w:hAnsi="Arial"/>
          <w:sz w:val="16"/>
          <w:szCs w:val="16"/>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260 day annualization factor) as of the Trading Day immediately following the date of issuance of such Option, Convertible Security or Adjustment Right (as the case may be).</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Black Scholes Value</w:t>
      </w:r>
      <w:r>
        <w:rPr>
          <w:rFonts w:ascii="Arial" w:cs="Arial" w:eastAsia="Arial" w:hAnsi="Arial"/>
          <w:sz w:val="16"/>
          <w:szCs w:val="16"/>
          <w:color w:val="auto"/>
        </w:rPr>
        <w:t>” means the value of the unexercised portion of this Warrant remaining on the date of the Holder’s request pursuant to</w:t>
      </w:r>
    </w:p>
    <w:p>
      <w:pPr>
        <w:spacing w:after="0" w:line="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Section 4(c),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earliest to occur of (x) the public disclosure of the applicable Fundamental Transaction, (y) the consummation of the applicable Fundamental Transaction and (z) the date on which the Holder first became aware of the applicable Fundamental Transaction and ending on the Trading Day of the Holder’s request pursuant to Section 4(c) and (2)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zero cost of borrow, (iv)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Fundamental Transaction or as of the date of the Holder’s request pursuant to Section 4(c) if such request is prior to the date of the consummation of the applicable Fundamental Transaction, and (v) an expected volatility equal to the greater of 100% and the 30 day volatility obtained from the HVT function on Bloomberg (determined utilizing a 260 day annualization factor) as of the Trading Day immediately following the public disclosure of the applicable Fundamental Transaction (or, solely to the extent such Fundamental Transaction is not disclosed to the public, the date of the consummation of the such Fundamental Transaction).</w:t>
      </w:r>
    </w:p>
    <w:p>
      <w:pPr>
        <w:spacing w:after="0" w:line="119" w:lineRule="exact"/>
        <w:rPr>
          <w:sz w:val="20"/>
          <w:szCs w:val="20"/>
          <w:color w:val="auto"/>
        </w:rPr>
      </w:pPr>
    </w:p>
    <w:p>
      <w:pPr>
        <w:ind w:left="680" w:hanging="216"/>
        <w:spacing w:after="0"/>
        <w:tabs>
          <w:tab w:leader="none" w:pos="6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171" w:lineRule="exact"/>
        <w:rPr>
          <w:rFonts w:ascii="Arial" w:cs="Arial" w:eastAsia="Arial" w:hAnsi="Arial"/>
          <w:sz w:val="18"/>
          <w:szCs w:val="18"/>
          <w:color w:val="auto"/>
        </w:rPr>
      </w:pPr>
    </w:p>
    <w:p>
      <w:pPr>
        <w:ind w:right="520" w:firstLine="464"/>
        <w:spacing w:after="0" w:line="275"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15" w:name="page116"/>
    <w:bookmarkEnd w:id="115"/>
    <w:p>
      <w:pPr>
        <w:ind w:firstLine="464"/>
        <w:spacing w:after="0" w:line="287"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recapitalization or other similar transaction during such period.</w:t>
      </w:r>
    </w:p>
    <w:p>
      <w:pPr>
        <w:spacing w:after="0" w:line="118" w:lineRule="exact"/>
        <w:rPr>
          <w:rFonts w:ascii="Arial" w:cs="Arial" w:eastAsia="Arial" w:hAnsi="Arial"/>
          <w:sz w:val="16"/>
          <w:szCs w:val="16"/>
          <w:color w:val="auto"/>
        </w:rPr>
      </w:pPr>
    </w:p>
    <w:p>
      <w:pPr>
        <w:ind w:right="360" w:firstLine="464"/>
        <w:spacing w:after="0" w:line="275" w:lineRule="auto"/>
        <w:tabs>
          <w:tab w:leader="none" w:pos="66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20" w:lineRule="exact"/>
        <w:rPr>
          <w:sz w:val="20"/>
          <w:szCs w:val="20"/>
          <w:color w:val="auto"/>
        </w:rPr>
      </w:pPr>
    </w:p>
    <w:p>
      <w:pPr>
        <w:ind w:right="40" w:firstLine="464"/>
        <w:spacing w:after="0" w:line="258" w:lineRule="auto"/>
        <w:tabs>
          <w:tab w:leader="none" w:pos="66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Deemed Outstanding</w:t>
      </w:r>
      <w:r>
        <w:rPr>
          <w:rFonts w:ascii="Arial" w:cs="Arial" w:eastAsia="Arial" w:hAnsi="Arial"/>
          <w:sz w:val="18"/>
          <w:szCs w:val="18"/>
          <w:color w:val="auto"/>
        </w:rPr>
        <w:t>” means, at any given time, the number of shares of Common Stock actually outstanding at such time, plus the number of shares of Common Stock deemed to be outstanding pursuant to Sections 2(b)(i) and 2(b)(ii) hereof regardless of whether the Options or Convertible Securities are actually exercisable at such time, but excluding any shares of Common Stock owned or held by or for the account of the Company or issuable upon conversion and exercise, as applicable, of the Notes and the Warrants.</w:t>
      </w:r>
    </w:p>
    <w:p>
      <w:pPr>
        <w:spacing w:after="0" w:line="136" w:lineRule="exact"/>
        <w:rPr>
          <w:rFonts w:ascii="Arial" w:cs="Arial" w:eastAsia="Arial" w:hAnsi="Arial"/>
          <w:sz w:val="18"/>
          <w:szCs w:val="18"/>
          <w:color w:val="auto"/>
        </w:rPr>
      </w:pPr>
    </w:p>
    <w:p>
      <w:pPr>
        <w:ind w:right="100" w:firstLine="464"/>
        <w:spacing w:after="0" w:line="339" w:lineRule="auto"/>
        <w:tabs>
          <w:tab w:leader="none" w:pos="666"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74" w:lineRule="exact"/>
        <w:rPr>
          <w:rFonts w:ascii="Arial" w:cs="Arial" w:eastAsia="Arial" w:hAnsi="Arial"/>
          <w:sz w:val="16"/>
          <w:szCs w:val="16"/>
          <w:color w:val="auto"/>
        </w:rPr>
      </w:pPr>
    </w:p>
    <w:p>
      <w:pPr>
        <w:ind w:left="720" w:hanging="256"/>
        <w:spacing w:after="0"/>
        <w:tabs>
          <w:tab w:leader="none" w:pos="7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New York Stock Exchange, the NYSE Amex, the Nasdaq Global Market, the Nasdaq Capital Market or the Principal</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58" w:lineRule="exact"/>
        <w:rPr>
          <w:rFonts w:ascii="Arial" w:cs="Arial" w:eastAsia="Arial" w:hAnsi="Arial"/>
          <w:sz w:val="16"/>
          <w:szCs w:val="16"/>
          <w:color w:val="auto"/>
        </w:rPr>
      </w:pPr>
    </w:p>
    <w:p>
      <w:pPr>
        <w:jc w:val="both"/>
        <w:ind w:right="120" w:firstLine="464"/>
        <w:spacing w:after="0" w:line="304" w:lineRule="auto"/>
        <w:tabs>
          <w:tab w:leader="none" w:pos="666" w:val="left"/>
        </w:tabs>
        <w:numPr>
          <w:ilvl w:val="1"/>
          <w:numId w:val="13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Securities</w:t>
      </w:r>
      <w:r>
        <w:rPr>
          <w:rFonts w:ascii="Arial" w:cs="Arial" w:eastAsia="Arial" w:hAnsi="Arial"/>
          <w:sz w:val="15"/>
          <w:szCs w:val="15"/>
          <w:color w:val="auto"/>
        </w:rPr>
        <w:t>” means any (i) shares of Common Stock, Options, stock appreciation rights, restricted shares of Common Stock, restricted stock units and other stock-based awards to directors, officers, employees or consultants of the Company in their capacity as such pursuant to an Approved Stock Plan (as defined below); (ii) Convertible Securities or Options and shares of Common Stock issued upon the conversion or exercise of such Convertible Securities or Options, in each case, issued pursuant to a Rights Plan (as defined in the Securities Purchase Agreement) approved by the Board of Directors of the Company,</w:t>
      </w:r>
    </w:p>
    <w:p>
      <w:pPr>
        <w:spacing w:after="0" w:line="2" w:lineRule="exact"/>
        <w:rPr>
          <w:rFonts w:ascii="Arial" w:cs="Arial" w:eastAsia="Arial" w:hAnsi="Arial"/>
          <w:sz w:val="15"/>
          <w:szCs w:val="15"/>
          <w:color w:val="auto"/>
        </w:rPr>
      </w:pPr>
    </w:p>
    <w:p>
      <w:pPr>
        <w:ind w:firstLine="8"/>
        <w:spacing w:after="0" w:line="255" w:lineRule="auto"/>
        <w:tabs>
          <w:tab w:leader="none" w:pos="3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shares of Common Stock issued upon the conversion or exercise of Convertible Securities (other than options to purchase Common Stock issued pursuant to an Approved Stock Plan that are covered by clause (i) above) issued prior to the date hereof; provided that the conversion price of any such Convertible Securities (other than options to purchase Common Stock issued pursuant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16" w:name="page117"/>
    <w:bookmarkEnd w:id="116"/>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 Approved Stock Plan that are covered by clause (i) above) is not lowered, none of such Convertible Securities (other than options to purchase Common Stock issued pursuant to an Approved Stock Plan that are covered by clause (i) above) are amended to increase the number of shares issuable thereunder and none of the terms or conditions of any such Convertible Securities (other than options to purchase Common Stock issued pursuant to an Approved Stock Plan that are covered by clause (i) above) are otherwise materially changed in any manner that adversely affects any of the Buyers; (iv) the shares of Common Stock issuable upon conversion of the Notes or otherwise pursuant to the terms of the Notes, (v) the shares of Common Stock issuable upon exercise of the SPA Warrants,</w:t>
      </w:r>
    </w:p>
    <w:p>
      <w:pPr>
        <w:spacing w:after="0" w:line="2" w:lineRule="exact"/>
        <w:rPr>
          <w:sz w:val="20"/>
          <w:szCs w:val="20"/>
          <w:color w:val="auto"/>
        </w:rPr>
      </w:pPr>
    </w:p>
    <w:p>
      <w:pPr>
        <w:ind w:right="120" w:firstLine="8"/>
        <w:spacing w:after="0" w:line="287" w:lineRule="auto"/>
        <w:tabs>
          <w:tab w:leader="none" w:pos="29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shares of Common Stock or Options issued to financial institutions or lessors in connection with commercial credit arrangements, equipment financings or similar transactions (excluding any shares of Common Stock issuable upon conversion or exercise of any Convertible Securities); (vii) the shares of Common Stock or Options issued in connection with strategic alliances, acquisitions, mergers, and strategic partnerships, provided, that (A) the primary purpose of such issuance is not to raise capital as determined in good faith by the Board of Directors of the Company, (B) the purchaser or acquirer of the securities in such issuance solely consists of either (x) the actual participants in such strategic alliance or strategic partnership, (y) the actual owners of such assets or securities acquired in such acquisition or merger or (z) the stockholders, partners or members of the foregoing Persons and (C) number or amount of securities issued to such Person by the Company shall not be disproportionate (as determined in good faith by the Board of Directors of the Company) to either (x) the fair market value of such Person’s actual contribution to such strategic alliance or strategic partnership or (y) the proportional ownership of such assets or securities to be acquired by the Company, as applicable; and (viii) shares of Common Stock or Options issued to vendors to settle bona fide trade liabilities.</w:t>
      </w:r>
    </w:p>
    <w:p>
      <w:pPr>
        <w:spacing w:after="0" w:line="114" w:lineRule="exact"/>
        <w:rPr>
          <w:rFonts w:ascii="Arial" w:cs="Arial" w:eastAsia="Arial" w:hAnsi="Arial"/>
          <w:sz w:val="16"/>
          <w:szCs w:val="16"/>
          <w:color w:val="auto"/>
        </w:rPr>
      </w:pPr>
    </w:p>
    <w:p>
      <w:pPr>
        <w:ind w:firstLine="464"/>
        <w:spacing w:after="0" w:line="275" w:lineRule="auto"/>
        <w:tabs>
          <w:tab w:leader="none" w:pos="75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w:t>
      </w:r>
      <w:r>
        <w:rPr>
          <w:rFonts w:ascii="Arial" w:cs="Arial" w:eastAsia="Arial" w:hAnsi="Arial"/>
          <w:sz w:val="11"/>
          <w:szCs w:val="11"/>
          <w:color w:val="auto"/>
        </w:rPr>
        <w:t>th</w:t>
      </w:r>
      <w:r>
        <w:rPr>
          <w:rFonts w:ascii="Arial" w:cs="Arial" w:eastAsia="Arial" w:hAnsi="Arial"/>
          <w:sz w:val="18"/>
          <w:szCs w:val="18"/>
          <w:color w:val="auto"/>
        </w:rPr>
        <w:t>) anniversary of the Initial Exercisability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119" w:lineRule="exact"/>
        <w:rPr>
          <w:rFonts w:ascii="Arial" w:cs="Arial" w:eastAsia="Arial" w:hAnsi="Arial"/>
          <w:sz w:val="18"/>
          <w:szCs w:val="18"/>
          <w:color w:val="auto"/>
        </w:rPr>
      </w:pPr>
    </w:p>
    <w:p>
      <w:pPr>
        <w:ind w:right="20" w:firstLine="464"/>
        <w:spacing w:after="0" w:line="287" w:lineRule="auto"/>
        <w:tabs>
          <w:tab w:leader="none" w:pos="70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directly or indirectly, in one or more related transactions, (1) the Company or any of its Subsidiaries shall consolidate or merge with or into (whether or not the Company or any of its Subsidiaries is the surviving corporation) any other Person, or (2) the Company and its Subsidiaries shall, as determined on a consolidated basis, sell, lease, license, assign, transfer, convey or otherwise dispose of all or substantially all of their properties or assets to any other Person, or (3) the Company or any of its Subsidiaries shall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or any of its Subsidiaries shall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reorganize, recapitalize or reclassify the Common Stock, or (ii) any “person”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17" w:name="page118"/>
    <w:bookmarkEnd w:id="11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34" w:lineRule="exact"/>
        <w:rPr>
          <w:sz w:val="20"/>
          <w:szCs w:val="20"/>
          <w:color w:val="auto"/>
        </w:rPr>
      </w:pPr>
    </w:p>
    <w:p>
      <w:pPr>
        <w:ind w:right="480" w:firstLine="464"/>
        <w:spacing w:after="0" w:line="275"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 shall have the meaning ascribed to such term in the Securities Purchase Agreement, and shall include all notes issued in exchange therefor or replacement thereof.</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collectively, the Initial Notes and the Additional Notes.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171" w:lineRule="exact"/>
        <w:rPr>
          <w:rFonts w:ascii="Arial" w:cs="Arial" w:eastAsia="Arial" w:hAnsi="Arial"/>
          <w:sz w:val="18"/>
          <w:szCs w:val="18"/>
          <w:color w:val="auto"/>
        </w:rPr>
      </w:pPr>
    </w:p>
    <w:p>
      <w:pPr>
        <w:ind w:right="240" w:firstLine="464"/>
        <w:spacing w:after="0" w:line="262" w:lineRule="auto"/>
        <w:tabs>
          <w:tab w:leader="none" w:pos="67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32" w:lineRule="exact"/>
        <w:rPr>
          <w:rFonts w:ascii="Arial" w:cs="Arial" w:eastAsia="Arial" w:hAnsi="Arial"/>
          <w:sz w:val="18"/>
          <w:szCs w:val="18"/>
          <w:color w:val="auto"/>
        </w:rPr>
      </w:pPr>
    </w:p>
    <w:p>
      <w:pPr>
        <w:ind w:right="360" w:firstLine="464"/>
        <w:spacing w:after="0" w:line="275" w:lineRule="auto"/>
        <w:tabs>
          <w:tab w:leader="none" w:pos="68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19" w:lineRule="exact"/>
        <w:rPr>
          <w:rFonts w:ascii="Arial" w:cs="Arial" w:eastAsia="Arial" w:hAnsi="Arial"/>
          <w:sz w:val="18"/>
          <w:szCs w:val="18"/>
          <w:color w:val="auto"/>
        </w:rPr>
      </w:pPr>
    </w:p>
    <w:p>
      <w:pPr>
        <w:ind w:left="680" w:hanging="216"/>
        <w:spacing w:after="0"/>
        <w:tabs>
          <w:tab w:leader="none" w:pos="6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w:t>
      </w:r>
    </w:p>
    <w:p>
      <w:pPr>
        <w:spacing w:after="0" w:line="171" w:lineRule="exact"/>
        <w:rPr>
          <w:rFonts w:ascii="Arial" w:cs="Arial" w:eastAsia="Arial" w:hAnsi="Arial"/>
          <w:sz w:val="18"/>
          <w:szCs w:val="18"/>
          <w:color w:val="auto"/>
        </w:rPr>
      </w:pPr>
    </w:p>
    <w:p>
      <w:pPr>
        <w:ind w:right="520" w:firstLine="464"/>
        <w:spacing w:after="0" w:line="378" w:lineRule="auto"/>
        <w:tabs>
          <w:tab w:leader="none" w:pos="705" w:val="left"/>
        </w:tabs>
        <w:numPr>
          <w:ilvl w:val="0"/>
          <w:numId w:val="1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50" w:lineRule="exact"/>
        <w:rPr>
          <w:rFonts w:ascii="Arial" w:cs="Arial" w:eastAsia="Arial" w:hAnsi="Arial"/>
          <w:sz w:val="15"/>
          <w:szCs w:val="15"/>
          <w:color w:val="auto"/>
        </w:rPr>
      </w:pPr>
    </w:p>
    <w:p>
      <w:pPr>
        <w:ind w:firstLine="464"/>
        <w:spacing w:after="0" w:line="296" w:lineRule="auto"/>
        <w:tabs>
          <w:tab w:leader="none" w:pos="70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City time).</w:t>
      </w:r>
    </w:p>
    <w:p>
      <w:pPr>
        <w:spacing w:after="0" w:line="107" w:lineRule="exact"/>
        <w:rPr>
          <w:rFonts w:ascii="Arial" w:cs="Arial" w:eastAsia="Arial" w:hAnsi="Arial"/>
          <w:sz w:val="16"/>
          <w:szCs w:val="16"/>
          <w:color w:val="auto"/>
        </w:rPr>
      </w:pPr>
    </w:p>
    <w:p>
      <w:pPr>
        <w:ind w:right="100" w:firstLine="464"/>
        <w:spacing w:after="0" w:line="310" w:lineRule="auto"/>
        <w:tabs>
          <w:tab w:leader="none" w:pos="74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18" w:name="page119"/>
    <w:bookmarkEnd w:id="118"/>
    <w:p>
      <w:pPr>
        <w:ind w:left="-40" w:firstLine="464"/>
        <w:spacing w:after="0" w:line="287" w:lineRule="auto"/>
        <w:tabs>
          <w:tab w:leader="none" w:pos="6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 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City time, and ending at 4:00:00 p.m., New York City time, as reported by Bloomberg through its “Volume at Price” function or, if the foregoing does not apply, the dollar volume weighted average price of such security in the over-the-counter market on the electronic bulletin board for such security during the period beginning at 9:30:01 a.m., New York City time, and ending at 4:00:00 p.m., New York City time, as reported by Bloomberg, or, if no dollar volume 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splits, stock dividends, stock combinations, recapitalizations or other similar transactions during such period.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74" w:right="27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5"/>
          <w:szCs w:val="15"/>
          <w:color w:val="auto"/>
        </w:rPr>
        <w:t>the Company has caused this Warrant to Purchase Common Stock to be duly executed as of the Issuance Date set out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AMERICAN SUPERCONDUCTOR</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CORPORATION</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10795</wp:posOffset>
            </wp:positionV>
            <wp:extent cx="2727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A. Henry</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Chief</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Financial Officer and Treasurer</w:t>
      </w:r>
    </w:p>
    <w:p>
      <w:pPr>
        <w:sectPr>
          <w:pgSz w:w="11900" w:h="16838" w:orient="portrait"/>
          <w:cols w:equalWidth="0" w:num="1">
            <w:col w:w="10800"/>
          </w:cols>
          <w:pgMar w:left="700" w:top="274" w:right="3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EXERCISE NOTICE</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ind w:left="460"/>
              <w:spacing w:after="0"/>
              <w:rPr>
                <w:sz w:val="20"/>
                <w:szCs w:val="20"/>
                <w:color w:val="auto"/>
              </w:rPr>
            </w:pPr>
            <w:r>
              <w:rPr>
                <w:rFonts w:ascii="Arial" w:cs="Arial" w:eastAsia="Arial" w:hAnsi="Arial"/>
                <w:sz w:val="18"/>
                <w:szCs w:val="18"/>
                <w:color w:val="auto"/>
                <w:w w:val="87"/>
              </w:rPr>
              <w:t>The undersigned holder hereby exercises the right to purchase</w:t>
            </w:r>
          </w:p>
        </w:tc>
        <w:tc>
          <w:tcPr>
            <w:tcW w:w="1060" w:type="dxa"/>
            <w:vAlign w:val="bottom"/>
            <w:tcBorders>
              <w:bottom w:val="single" w:sz="8" w:color="auto"/>
            </w:tcBorders>
          </w:tcPr>
          <w:p>
            <w:pPr>
              <w:spacing w:after="0"/>
              <w:rPr>
                <w:sz w:val="17"/>
                <w:szCs w:val="17"/>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w w:val="98"/>
              </w:rPr>
              <w:t>of the shares of Common Stock (“</w:t>
            </w:r>
            <w:r>
              <w:rPr>
                <w:rFonts w:ascii="Arial" w:cs="Arial" w:eastAsia="Arial" w:hAnsi="Arial"/>
                <w:sz w:val="18"/>
                <w:szCs w:val="18"/>
                <w:b w:val="1"/>
                <w:bCs w:val="1"/>
                <w:color w:val="auto"/>
                <w:w w:val="98"/>
              </w:rPr>
              <w:t>Warrant Shares</w:t>
            </w:r>
            <w:r>
              <w:rPr>
                <w:rFonts w:ascii="Arial" w:cs="Arial" w:eastAsia="Arial" w:hAnsi="Arial"/>
                <w:sz w:val="18"/>
                <w:szCs w:val="18"/>
                <w:color w:val="auto"/>
                <w:w w:val="98"/>
              </w:rPr>
              <w:t>”) of American</w:t>
            </w:r>
          </w:p>
        </w:tc>
      </w:tr>
      <w:tr>
        <w:trPr>
          <w:trHeight w:val="196"/>
        </w:trPr>
        <w:tc>
          <w:tcPr>
            <w:tcW w:w="9280" w:type="dxa"/>
            <w:vAlign w:val="bottom"/>
            <w:gridSpan w:val="3"/>
          </w:tcPr>
          <w:p>
            <w:pPr>
              <w:spacing w:after="0" w:line="196" w:lineRule="exact"/>
              <w:rPr>
                <w:sz w:val="20"/>
                <w:szCs w:val="20"/>
                <w:color w:val="auto"/>
              </w:rPr>
            </w:pPr>
            <w:r>
              <w:rPr>
                <w:rFonts w:ascii="Arial" w:cs="Arial" w:eastAsia="Arial" w:hAnsi="Arial"/>
                <w:sz w:val="18"/>
                <w:szCs w:val="18"/>
                <w:color w:val="auto"/>
                <w:w w:val="89"/>
              </w:rPr>
              <w:t>Superconductor Corporation, a Delaware corporation (the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evidenced by the Warrant to Purchase Common Stock No.</w:t>
            </w:r>
          </w:p>
        </w:tc>
        <w:tc>
          <w:tcPr>
            <w:tcW w:w="520" w:type="dxa"/>
            <w:vAlign w:val="bottom"/>
            <w:tcBorders>
              <w:bottom w:val="single" w:sz="8" w:color="auto"/>
            </w:tcBorders>
          </w:tcPr>
          <w:p>
            <w:pPr>
              <w:spacing w:after="0"/>
              <w:rPr>
                <w:sz w:val="17"/>
                <w:szCs w:val="17"/>
                <w:color w:val="auto"/>
              </w:rPr>
            </w:pPr>
          </w:p>
        </w:tc>
        <w:tc>
          <w:tcPr>
            <w:tcW w:w="1280" w:type="dxa"/>
            <w:vAlign w:val="bottom"/>
          </w:tcPr>
          <w:p>
            <w:pPr>
              <w:ind w:left="60"/>
              <w:spacing w:after="0" w:line="196" w:lineRule="exact"/>
              <w:rPr>
                <w:sz w:val="20"/>
                <w:szCs w:val="20"/>
                <w:color w:val="auto"/>
              </w:rPr>
            </w:pPr>
            <w:r>
              <w:rPr>
                <w:rFonts w:ascii="Arial" w:cs="Arial" w:eastAsia="Arial" w:hAnsi="Arial"/>
                <w:sz w:val="18"/>
                <w:szCs w:val="18"/>
                <w:color w:val="auto"/>
                <w:w w:val="94"/>
              </w:rPr>
              <w:t>(the “</w:t>
            </w:r>
            <w:r>
              <w:rPr>
                <w:rFonts w:ascii="Arial" w:cs="Arial" w:eastAsia="Arial" w:hAnsi="Arial"/>
                <w:sz w:val="18"/>
                <w:szCs w:val="18"/>
                <w:b w:val="1"/>
                <w:bCs w:val="1"/>
                <w:color w:val="auto"/>
                <w:w w:val="94"/>
              </w:rPr>
              <w:t>Warrant</w:t>
            </w:r>
            <w:r>
              <w:rPr>
                <w:rFonts w:ascii="Arial" w:cs="Arial" w:eastAsia="Arial" w:hAnsi="Arial"/>
                <w:sz w:val="18"/>
                <w:szCs w:val="18"/>
                <w:color w:val="auto"/>
                <w:w w:val="94"/>
              </w:rPr>
              <w:t>”).</w:t>
            </w:r>
          </w:p>
        </w:tc>
      </w:tr>
      <w:tr>
        <w:trPr>
          <w:trHeight w:val="235"/>
        </w:trPr>
        <w:tc>
          <w:tcPr>
            <w:tcW w:w="9280" w:type="dxa"/>
            <w:vAlign w:val="bottom"/>
            <w:gridSpan w:val="3"/>
          </w:tcPr>
          <w:p>
            <w:pPr>
              <w:spacing w:after="0"/>
              <w:rPr>
                <w:sz w:val="20"/>
                <w:szCs w:val="20"/>
                <w:color w:val="auto"/>
              </w:rPr>
            </w:pPr>
            <w:r>
              <w:rPr>
                <w:rFonts w:ascii="Arial" w:cs="Arial" w:eastAsia="Arial" w:hAnsi="Arial"/>
                <w:sz w:val="18"/>
                <w:szCs w:val="18"/>
                <w:color w:val="auto"/>
                <w:w w:val="99"/>
              </w:rPr>
              <w:t>Capitalized terms used herein and not otherwise defined shall have the respective meanings set forth in the Warrant.</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940" w:type="dxa"/>
            <w:vAlign w:val="bottom"/>
            <w:gridSpan w:val="9"/>
          </w:tcPr>
          <w:p>
            <w:pPr>
              <w:ind w:left="280"/>
              <w:spacing w:after="0"/>
              <w:rPr>
                <w:sz w:val="20"/>
                <w:szCs w:val="20"/>
                <w:color w:val="auto"/>
              </w:rPr>
            </w:pPr>
            <w:r>
              <w:rPr>
                <w:rFonts w:ascii="Arial" w:cs="Arial" w:eastAsia="Arial" w:hAnsi="Arial"/>
                <w:sz w:val="18"/>
                <w:szCs w:val="18"/>
                <w:color w:val="auto"/>
              </w:rPr>
              <w:t>a “Cash Exercise” with respect to</w:t>
            </w:r>
          </w:p>
        </w:tc>
        <w:tc>
          <w:tcPr>
            <w:tcW w:w="2880" w:type="dxa"/>
            <w:vAlign w:val="bottom"/>
            <w:gridSpan w:val="4"/>
          </w:tcPr>
          <w:p>
            <w:pPr>
              <w:jc w:val="center"/>
              <w:ind w:right="1240"/>
              <w:spacing w:after="0"/>
              <w:rPr>
                <w:sz w:val="20"/>
                <w:szCs w:val="20"/>
                <w:color w:val="auto"/>
              </w:rPr>
            </w:pPr>
            <w:r>
              <w:rPr>
                <w:rFonts w:ascii="Arial" w:cs="Arial" w:eastAsia="Arial" w:hAnsi="Arial"/>
                <w:sz w:val="18"/>
                <w:szCs w:val="18"/>
                <w:color w:val="auto"/>
                <w:w w:val="85"/>
              </w:rPr>
              <w:t>Warrant Shares; and/or</w:t>
            </w: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940" w:type="dxa"/>
            <w:vAlign w:val="bottom"/>
            <w:gridSpan w:val="9"/>
            <w:vMerge w:val="restart"/>
          </w:tcPr>
          <w:p>
            <w:pPr>
              <w:ind w:left="280"/>
              <w:spacing w:after="0"/>
              <w:rPr>
                <w:sz w:val="20"/>
                <w:szCs w:val="20"/>
                <w:color w:val="auto"/>
              </w:rPr>
            </w:pPr>
            <w:r>
              <w:rPr>
                <w:rFonts w:ascii="Arial" w:cs="Arial" w:eastAsia="Arial" w:hAnsi="Arial"/>
                <w:sz w:val="18"/>
                <w:szCs w:val="18"/>
                <w:color w:val="auto"/>
              </w:rPr>
              <w:t>a “Cashless Exercise” with respect to</w:t>
            </w:r>
          </w:p>
        </w:tc>
        <w:tc>
          <w:tcPr>
            <w:tcW w:w="240" w:type="dxa"/>
            <w:vAlign w:val="bottom"/>
          </w:tcPr>
          <w:p>
            <w:pPr>
              <w:spacing w:after="0" w:line="20" w:lineRule="exact"/>
              <w:rPr>
                <w:sz w:val="1"/>
                <w:szCs w:val="1"/>
                <w:color w:val="auto"/>
              </w:rPr>
            </w:pPr>
          </w:p>
        </w:tc>
        <w:tc>
          <w:tcPr>
            <w:tcW w:w="2640" w:type="dxa"/>
            <w:vAlign w:val="bottom"/>
            <w:gridSpan w:val="3"/>
            <w:vMerge w:val="restart"/>
          </w:tcPr>
          <w:p>
            <w:pPr>
              <w:jc w:val="center"/>
              <w:ind w:right="1440"/>
              <w:spacing w:after="0"/>
              <w:rPr>
                <w:sz w:val="20"/>
                <w:szCs w:val="20"/>
                <w:color w:val="auto"/>
              </w:rPr>
            </w:pPr>
            <w:r>
              <w:rPr>
                <w:rFonts w:ascii="Arial" w:cs="Arial" w:eastAsia="Arial" w:hAnsi="Arial"/>
                <w:sz w:val="18"/>
                <w:szCs w:val="18"/>
                <w:color w:val="auto"/>
                <w:w w:val="85"/>
              </w:rPr>
              <w:t>Warrant Shares.</w:t>
            </w: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940" w:type="dxa"/>
            <w:vAlign w:val="bottom"/>
            <w:gridSpan w:val="9"/>
            <w:vMerge w:val="continue"/>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200" w:type="dxa"/>
            <w:vAlign w:val="bottom"/>
            <w:gridSpan w:val="17"/>
          </w:tcPr>
          <w:p>
            <w:pPr>
              <w:spacing w:after="0"/>
              <w:rPr>
                <w:sz w:val="20"/>
                <w:szCs w:val="20"/>
                <w:color w:val="auto"/>
              </w:rPr>
            </w:pPr>
            <w:r>
              <w:rPr>
                <w:rFonts w:ascii="Arial" w:cs="Arial" w:eastAsia="Arial" w:hAnsi="Arial"/>
                <w:sz w:val="18"/>
                <w:szCs w:val="18"/>
                <w:color w:val="auto"/>
                <w:w w:val="87"/>
              </w:rPr>
              <w:t>Payment of Exercise Price. In the event that the Holder has elected a Cash Exercise with respect to some or all of the Warrant Shares to be issued</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13"/>
          </w:tcPr>
          <w:p>
            <w:pPr>
              <w:spacing w:after="0" w:line="196" w:lineRule="exact"/>
              <w:rPr>
                <w:sz w:val="20"/>
                <w:szCs w:val="20"/>
                <w:color w:val="auto"/>
              </w:rPr>
            </w:pPr>
            <w:r>
              <w:rPr>
                <w:rFonts w:ascii="Arial" w:cs="Arial" w:eastAsia="Arial" w:hAnsi="Arial"/>
                <w:sz w:val="18"/>
                <w:szCs w:val="18"/>
                <w:color w:val="auto"/>
                <w:w w:val="87"/>
              </w:rPr>
              <w:t>pursuant hereto, the Holder shall pay the Aggregate Exercise Price in the sum of $</w:t>
            </w: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52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1"/>
              </w:rPr>
              <w:t>to the Company in accordance with the terms of the Warrant.</w:t>
            </w:r>
          </w:p>
        </w:tc>
        <w:tc>
          <w:tcPr>
            <w:tcW w:w="0" w:type="dxa"/>
            <w:vAlign w:val="bottom"/>
          </w:tcPr>
          <w:p>
            <w:pPr>
              <w:spacing w:after="0"/>
              <w:rPr>
                <w:sz w:val="1"/>
                <w:szCs w:val="1"/>
                <w:color w:val="auto"/>
              </w:rPr>
            </w:pPr>
          </w:p>
        </w:tc>
      </w:tr>
      <w:tr>
        <w:trPr>
          <w:trHeight w:val="358"/>
        </w:trPr>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020" w:type="dxa"/>
            <w:vAlign w:val="bottom"/>
            <w:gridSpan w:val="15"/>
          </w:tcPr>
          <w:p>
            <w:pPr>
              <w:spacing w:after="0"/>
              <w:rPr>
                <w:sz w:val="20"/>
                <w:szCs w:val="20"/>
                <w:color w:val="auto"/>
              </w:rPr>
            </w:pPr>
            <w:r>
              <w:rPr>
                <w:rFonts w:ascii="Arial" w:cs="Arial" w:eastAsia="Arial" w:hAnsi="Arial"/>
                <w:sz w:val="18"/>
                <w:szCs w:val="18"/>
                <w:color w:val="auto"/>
                <w:w w:val="88"/>
              </w:rPr>
              <w:t>Delivery of Warrant Shares. The Company shall deliver to the Holder, or its designee or agent as specified below,</w:t>
            </w:r>
          </w:p>
        </w:tc>
        <w:tc>
          <w:tcPr>
            <w:tcW w:w="86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w w:val="85"/>
              </w:rPr>
              <w:t>Warrant Shares in</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920" w:type="dxa"/>
            <w:vAlign w:val="bottom"/>
            <w:gridSpan w:val="5"/>
            <w:shd w:val="clear" w:color="auto" w:fill="000000"/>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60" w:type="dxa"/>
            <w:vAlign w:val="bottom"/>
            <w:gridSpan w:val="17"/>
          </w:tcPr>
          <w:p>
            <w:pPr>
              <w:spacing w:after="0"/>
              <w:rPr>
                <w:sz w:val="20"/>
                <w:szCs w:val="20"/>
                <w:color w:val="auto"/>
              </w:rPr>
            </w:pPr>
            <w:r>
              <w:rPr>
                <w:rFonts w:ascii="Arial" w:cs="Arial" w:eastAsia="Arial" w:hAnsi="Arial"/>
                <w:sz w:val="18"/>
                <w:szCs w:val="18"/>
                <w:color w:val="auto"/>
                <w:w w:val="89"/>
              </w:rPr>
              <w:t>accordance with the terms of the Warrant. Delivery shall be made to the Holder, or for its benefit, to the following address:</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64"/>
        <w:spacing w:after="0" w:line="259" w:lineRule="auto"/>
        <w:tabs>
          <w:tab w:leader="none" w:pos="63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Compliance with Maximum Percentage</w:t>
      </w:r>
      <w:r>
        <w:rPr>
          <w:rFonts w:ascii="Arial" w:cs="Arial" w:eastAsia="Arial" w:hAnsi="Arial"/>
          <w:sz w:val="18"/>
          <w:szCs w:val="18"/>
          <w:color w:val="auto"/>
        </w:rPr>
        <w:t>. By delivering this Exercise Notice, the Holder hereby represents that, after giving effect to the exercise provided for in this Exercise Notice, the Holder will not have direct or indirect beneficial ownership of a number of shares of Common Stock which exceeds the Maximum Percentage (as defined in the Warrant) as of the date of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378"/>
        </w:trPr>
        <w:tc>
          <w:tcPr>
            <w:tcW w:w="4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gridSpan w:val="4"/>
          </w:tcPr>
          <w:p>
            <w:pPr>
              <w:ind w:left="220"/>
              <w:spacing w:after="0"/>
              <w:rPr>
                <w:sz w:val="20"/>
                <w:szCs w:val="20"/>
                <w:color w:val="auto"/>
              </w:rPr>
            </w:pPr>
            <w:r>
              <w:rPr>
                <w:rFonts w:ascii="Arial" w:cs="Arial" w:eastAsia="Arial" w:hAnsi="Arial"/>
                <w:sz w:val="18"/>
                <w:szCs w:val="18"/>
                <w:b w:val="1"/>
                <w:bCs w:val="1"/>
                <w:color w:val="auto"/>
              </w:rPr>
              <w:t>ACKNOWLEDGMENT</w:t>
            </w: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0"/>
        </w:trPr>
        <w:tc>
          <w:tcPr>
            <w:tcW w:w="5860" w:type="dxa"/>
            <w:vAlign w:val="bottom"/>
            <w:gridSpan w:val="5"/>
          </w:tcPr>
          <w:p>
            <w:pPr>
              <w:ind w:left="460"/>
              <w:spacing w:after="0"/>
              <w:rPr>
                <w:sz w:val="20"/>
                <w:szCs w:val="20"/>
                <w:color w:val="auto"/>
              </w:rPr>
            </w:pPr>
            <w:r>
              <w:rPr>
                <w:rFonts w:ascii="Arial" w:cs="Arial" w:eastAsia="Arial" w:hAnsi="Arial"/>
                <w:sz w:val="18"/>
                <w:szCs w:val="18"/>
                <w:color w:val="auto"/>
                <w:w w:val="88"/>
              </w:rPr>
              <w:t>The Company hereby acknowledges this Exercise Notice and hereby directs</w:t>
            </w:r>
          </w:p>
        </w:tc>
        <w:tc>
          <w:tcPr>
            <w:tcW w:w="880" w:type="dxa"/>
            <w:vAlign w:val="bottom"/>
            <w:tcBorders>
              <w:bottom w:val="single" w:sz="8" w:color="auto"/>
            </w:tcBorders>
          </w:tcPr>
          <w:p>
            <w:pPr>
              <w:spacing w:after="0"/>
              <w:rPr>
                <w:sz w:val="24"/>
                <w:szCs w:val="24"/>
                <w:color w:val="auto"/>
              </w:rPr>
            </w:pPr>
          </w:p>
        </w:tc>
        <w:tc>
          <w:tcPr>
            <w:tcW w:w="4680" w:type="dxa"/>
            <w:vAlign w:val="bottom"/>
            <w:gridSpan w:val="3"/>
          </w:tcPr>
          <w:p>
            <w:pPr>
              <w:jc w:val="right"/>
              <w:ind w:right="32"/>
              <w:spacing w:after="0"/>
              <w:rPr>
                <w:sz w:val="20"/>
                <w:szCs w:val="20"/>
                <w:color w:val="auto"/>
              </w:rPr>
            </w:pPr>
            <w:r>
              <w:rPr>
                <w:rFonts w:ascii="Arial" w:cs="Arial" w:eastAsia="Arial" w:hAnsi="Arial"/>
                <w:sz w:val="18"/>
                <w:szCs w:val="18"/>
                <w:color w:val="auto"/>
                <w:w w:val="87"/>
              </w:rPr>
              <w:t>to issue the above indicated number of shares of Common Stock</w:t>
            </w: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color w:val="auto"/>
                <w:w w:val="89"/>
              </w:rPr>
              <w:t>in accordance with the Transfer Agent Instructions dated</w:t>
            </w:r>
          </w:p>
        </w:tc>
        <w:tc>
          <w:tcPr>
            <w:tcW w:w="520" w:type="dxa"/>
            <w:vAlign w:val="bottom"/>
          </w:tcPr>
          <w:p>
            <w:pPr>
              <w:spacing w:after="0"/>
              <w:rPr>
                <w:sz w:val="17"/>
                <w:szCs w:val="17"/>
                <w:color w:val="auto"/>
              </w:rPr>
            </w:pPr>
          </w:p>
        </w:tc>
        <w:tc>
          <w:tcPr>
            <w:tcW w:w="4460" w:type="dxa"/>
            <w:vAlign w:val="bottom"/>
            <w:gridSpan w:val="5"/>
          </w:tcPr>
          <w:p>
            <w:pPr>
              <w:spacing w:after="0" w:line="196" w:lineRule="exact"/>
              <w:rPr>
                <w:sz w:val="20"/>
                <w:szCs w:val="20"/>
                <w:color w:val="auto"/>
              </w:rPr>
            </w:pPr>
            <w:r>
              <w:rPr>
                <w:rFonts w:ascii="Arial" w:cs="Arial" w:eastAsia="Arial" w:hAnsi="Arial"/>
                <w:sz w:val="18"/>
                <w:szCs w:val="18"/>
                <w:color w:val="auto"/>
                <w:w w:val="90"/>
              </w:rPr>
              <w:t>, 20  , from the Company and acknowledged and agreed to by</w:t>
            </w:r>
          </w:p>
        </w:tc>
        <w:tc>
          <w:tcPr>
            <w:tcW w:w="2400" w:type="dxa"/>
            <w:vAlign w:val="bottom"/>
            <w:gridSpan w:val="2"/>
          </w:tcPr>
          <w:p>
            <w:pPr>
              <w:jc w:val="right"/>
              <w:ind w:right="1212"/>
              <w:spacing w:after="0" w:line="196" w:lineRule="exact"/>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AMERICAN SUPERCONDUCTOR</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Severance Agreement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EXECUTIVE SEVERANCE AGREEMENT by and between American Superconductor Corporation, a Delaware corporation (the “Company”), and James F. Maguire (the “Executive”) is made as of January 30, 2012 (the “Effective Date”).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WHEREAS, the Board of Directors of the Company (the “Board”) has determined that appropriate steps should be taken to reinforce and encourage the continued employment and dedication of the Executive and to minimize the distraction from the possibility of an unwarranted termination of employment.</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WHEREAS, the Company and the Executive acknowledge and agree that the benefits described in this Agreement are not intended to, and shall not, constitute a severance plan, and shall confer no benefit on anyone other than the parties hereto.</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NOW, THEREFORE, as an inducement for and in consideration of the Executive remaining in its employ, the Company agrees that the Executive shall receive the severance benefits set forth in this Agreement in the event the Executive’s employment with the Company is terminated under the specific circumstances described below.</w:t>
      </w:r>
    </w:p>
    <w:p>
      <w:pPr>
        <w:spacing w:after="0" w:line="140" w:lineRule="exact"/>
        <w:rPr>
          <w:sz w:val="20"/>
          <w:szCs w:val="20"/>
          <w:color w:val="auto"/>
        </w:rPr>
      </w:pPr>
    </w:p>
    <w:p>
      <w:pPr>
        <w:ind w:left="640" w:hanging="176"/>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Key Definitions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following respective meanings: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occurrence set forth in any one or more of subsections (a) through (c) below:</w:t>
      </w:r>
    </w:p>
    <w:p>
      <w:pPr>
        <w:spacing w:after="0" w:line="171" w:lineRule="exact"/>
        <w:rPr>
          <w:sz w:val="20"/>
          <w:szCs w:val="20"/>
          <w:color w:val="auto"/>
        </w:rPr>
      </w:pPr>
    </w:p>
    <w:p>
      <w:pPr>
        <w:ind w:right="40" w:firstLine="1492"/>
        <w:spacing w:after="0" w:line="290" w:lineRule="auto"/>
        <w:tabs>
          <w:tab w:leader="none" w:pos="172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for purposes of this subsection (a), the following acquisitions shall not constitute a Change in Control: (i) any acquisition directly from the Company, or (ii) any acquisition by any employee benefit plan (or related trust) sponsored or maintained by the Company or any corporation controlled by the Company; or</w:t>
      </w:r>
    </w:p>
    <w:p>
      <w:pPr>
        <w:spacing w:after="0" w:line="118" w:lineRule="exact"/>
        <w:rPr>
          <w:rFonts w:ascii="Arial" w:cs="Arial" w:eastAsia="Arial" w:hAnsi="Arial"/>
          <w:sz w:val="16"/>
          <w:szCs w:val="16"/>
          <w:color w:val="auto"/>
        </w:rPr>
      </w:pPr>
    </w:p>
    <w:p>
      <w:pPr>
        <w:ind w:right="140" w:firstLine="1492"/>
        <w:spacing w:after="0" w:line="268" w:lineRule="auto"/>
        <w:tabs>
          <w:tab w:leader="none" w:pos="17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Continuing Directors (as defined below) no longer constituting a majority of the Board (or, if applicable, the Board of Directors of a successor corporation to the Company), where the term “Continuing Director” means at any date a member of the Board (i)</w:t>
      </w:r>
    </w:p>
    <w:p>
      <w:pPr>
        <w:sectPr>
          <w:pgSz w:w="11900" w:h="16838" w:orient="portrait"/>
          <w:cols w:equalWidth="0" w:num="1">
            <w:col w:w="11420"/>
          </w:cols>
          <w:pgMar w:left="240" w:top="125" w:right="239" w:bottom="1440" w:gutter="0" w:footer="0" w:header="0"/>
        </w:sectPr>
      </w:pPr>
    </w:p>
    <w:bookmarkStart w:id="123" w:name="page124"/>
    <w:bookmarkEnd w:id="12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16" w:lineRule="exact"/>
        <w:rPr>
          <w:sz w:val="20"/>
          <w:szCs w:val="20"/>
          <w:color w:val="auto"/>
        </w:rPr>
      </w:pPr>
    </w:p>
    <w:p>
      <w:pPr>
        <w:ind w:right="100" w:firstLine="1492"/>
        <w:spacing w:after="0" w:line="288" w:lineRule="auto"/>
        <w:tabs>
          <w:tab w:leader="none" w:pos="172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statutory share exchange involving the Company or a sale or other disposition of all or substantially all of the assets of the Company in one or a series of related transactions (a “Business Combination”), other than a Business Combination in which all or substantially all of the individuals and entities who were the beneficial owners of the Outstanding Company Common Stock and Outstanding Company Voting Securities immediately prior to such Business Combination beneficially own, directly or indirectly, immediately following such Business Combination,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Change in Control Date</w:t>
      </w:r>
      <w:r>
        <w:rPr>
          <w:rFonts w:ascii="Arial" w:cs="Arial" w:eastAsia="Arial" w:hAnsi="Arial"/>
          <w:sz w:val="18"/>
          <w:szCs w:val="18"/>
          <w:color w:val="auto"/>
        </w:rPr>
        <w:t>” means the first date during the Term (as defined in Section 2) on which a Change in Control occurs.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171" w:lineRule="exact"/>
        <w:rPr>
          <w:sz w:val="20"/>
          <w:szCs w:val="20"/>
          <w:color w:val="auto"/>
        </w:rPr>
      </w:pPr>
    </w:p>
    <w:p>
      <w:pPr>
        <w:ind w:right="240" w:firstLine="1492"/>
        <w:spacing w:after="0" w:line="256" w:lineRule="auto"/>
        <w:tabs>
          <w:tab w:leader="none" w:pos="172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Executive’s failure to perform his reasonable assigned duties to the standards reasonably required by the Company (other than any such failure resulting from incapacity due to physical or mental illness), which failure is not cured within 30 days after a written notice is received by the Executive from the Company describing in reasonable detail the manner in which the Board of Directors believes the Executive has not performed the Executive’s duties to the standards reasonably required by the Company; or</w:t>
      </w:r>
    </w:p>
    <w:p>
      <w:pPr>
        <w:spacing w:after="0" w:line="143" w:lineRule="exact"/>
        <w:rPr>
          <w:rFonts w:ascii="Arial" w:cs="Arial" w:eastAsia="Arial" w:hAnsi="Arial"/>
          <w:sz w:val="18"/>
          <w:szCs w:val="18"/>
          <w:color w:val="auto"/>
        </w:rPr>
      </w:pPr>
    </w:p>
    <w:p>
      <w:pPr>
        <w:ind w:right="200" w:firstLine="1492"/>
        <w:spacing w:after="0" w:line="259" w:lineRule="auto"/>
        <w:tabs>
          <w:tab w:leader="none" w:pos="17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Executive’s willful engagement in illegal conduct or gross misconduct that is materially injurious to the Company. For purposes of this Section 1.3(b), no act or failure to act by the Executive shall be considered “willful” unless it is done intentionally and without reasonable belief that the Executive’s action was in the best interests of the Company.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without the Executive’s written consent, of any of the following events or circumstances:</w:t>
      </w:r>
    </w:p>
    <w:p>
      <w:pPr>
        <w:spacing w:after="0" w:line="171" w:lineRule="exact"/>
        <w:rPr>
          <w:sz w:val="20"/>
          <w:szCs w:val="20"/>
          <w:color w:val="auto"/>
        </w:rPr>
      </w:pPr>
    </w:p>
    <w:p>
      <w:pPr>
        <w:ind w:left="5680" w:right="5220" w:hanging="4188"/>
        <w:spacing w:after="0" w:line="525" w:lineRule="auto"/>
        <w:tabs>
          <w:tab w:leader="none" w:pos="17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material diminution in the Executive’s base compensation; or 2</w:t>
      </w:r>
    </w:p>
    <w:p>
      <w:pPr>
        <w:sectPr>
          <w:pgSz w:w="11900" w:h="16838" w:orient="portrait"/>
          <w:cols w:equalWidth="0" w:num="1">
            <w:col w:w="11380"/>
          </w:cols>
          <w:pgMar w:left="240" w:top="280" w:right="279" w:bottom="1440" w:gutter="0" w:footer="0" w:header="0"/>
        </w:sectPr>
      </w:pPr>
    </w:p>
    <w:bookmarkStart w:id="124" w:name="page125"/>
    <w:bookmarkEnd w:id="124"/>
    <w:p>
      <w:pPr>
        <w:ind w:left="1740" w:hanging="248"/>
        <w:spacing w:after="0"/>
        <w:tabs>
          <w:tab w:leader="none" w:pos="17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material diminution in the Executive’s authority, duties, or responsibilities;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his duties;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action or inaction of the Company which constitutes a material breach by the Company of this Agreement.</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termination by the Executive for Good Reason shall be communicated by means of a written notice delivered by the Executive to the Company within 90 days of the initial existence of the occurrence or condition on which the Executive bases his claim for Good Reason. If the condition is capable of being corrected, the Company shall have 30 days during which it may remedy the condition (the “</w:t>
      </w:r>
      <w:r>
        <w:rPr>
          <w:rFonts w:ascii="Arial" w:cs="Arial" w:eastAsia="Arial" w:hAnsi="Arial"/>
          <w:sz w:val="16"/>
          <w:szCs w:val="16"/>
          <w:u w:val="single" w:color="auto"/>
          <w:color w:val="auto"/>
        </w:rPr>
        <w:t>Cure Period</w:t>
      </w:r>
      <w:r>
        <w:rPr>
          <w:rFonts w:ascii="Arial" w:cs="Arial" w:eastAsia="Arial" w:hAnsi="Arial"/>
          <w:sz w:val="16"/>
          <w:szCs w:val="16"/>
          <w:color w:val="auto"/>
        </w:rPr>
        <w:t>”). Notwithstanding the occurrence of any such event or circumstance, such occurrence shall not be deemed to constitute Good Reason if such event or circumstance has been fully corrected within the Cure Period and the Executive has been reasonably compensated for any losses or damages resulting therefrom. If the condition is not corrected, the Executive must leave employment within one (1) year after the Company fails to cure the condition giving rise to the Executive’s claim for Good Reason during the Cure Period.</w:t>
      </w:r>
    </w:p>
    <w:p>
      <w:pPr>
        <w:spacing w:after="0" w:line="12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6 months immediately following the Date of Termination (as defined in Section 3.2(a) below).</w:t>
      </w:r>
    </w:p>
    <w:p>
      <w:pPr>
        <w:spacing w:after="0" w:line="194" w:lineRule="exact"/>
        <w:rPr>
          <w:sz w:val="20"/>
          <w:szCs w:val="20"/>
          <w:color w:val="auto"/>
        </w:rPr>
      </w:pPr>
    </w:p>
    <w:p>
      <w:pPr>
        <w:ind w:firstLine="464"/>
        <w:spacing w:after="0" w:line="290" w:lineRule="auto"/>
        <w:tabs>
          <w:tab w:leader="none" w:pos="632"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xml:space="preserve">. This Agreement, and all rights and obligations of the parties hereunder, shall take effect upon the Effective Date and shall expire upon the first to occur of (a) the expiration of the Term (as defined below) if neither a termination of employment covered by Section 4.1(a) below nor a Change in Control occurred during the Term, or (b) the fulfillment by the Company of all of its obligations under Section 4 following a termination of the Executive’s employment with the Company. “Term” shall mean the period commencing as of the Effective Date and continuing in effect through March 31, 2012;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commencing on April 1, 2012 and each April 1 thereafter (each hereinafter referred to as a “Renewal Date”), the Term shall be automatically extended for one additional year so as to terminate one year from such Renewal Date, unless at least 90 days prior to such Renewal Date, the Company shall have given the Executive written notice that the Term will not be extended.</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Employment Status; Termination Following Change in Control</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The Executive acknowledges that this Agreement does not constitute a contract of employment or impose on the Company any obligation to retain the Executive as an employee and that this Agreement does not prevent the Company or the Executive from terminating his employment at any time, before or after a Change in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5" w:name="page126"/>
    <w:bookmarkEnd w:id="125"/>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71" w:lineRule="exact"/>
        <w:rPr>
          <w:sz w:val="20"/>
          <w:szCs w:val="20"/>
          <w:color w:val="auto"/>
        </w:rPr>
      </w:pPr>
    </w:p>
    <w:p>
      <w:pPr>
        <w:ind w:left="-8" w:firstLine="1492"/>
        <w:spacing w:after="0" w:line="288" w:lineRule="auto"/>
        <w:tabs>
          <w:tab w:leader="none" w:pos="171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Any termination of the Executive’s employment by the Company at any time during the Term or at any time after the Change in Control Date, or by the Executive within 12 months following the Change in Control Date (other than due to the death of the Executive) shall be communicated by a written notice to the other party hereto (the “Notice of Termination”), given in accordance with Section 6.2. Any Notice of Termination shall: (i) indicate (in the case of a termination by the Company) whether such termination is for Cause and (in the case of a termination by the Executive within 12 months following the Change in Control Date) whether such termination is for Good Reason, (ii) to the extent applicable, set forth in reasonable detail the facts and circumstances claimed to provide a basis for termination of the Executive’s employment for Cause or for Good Reason and (iii) specify the Date of Termination (as defined below). The effective date of an employment termination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119" w:lineRule="exact"/>
        <w:rPr>
          <w:rFonts w:ascii="Arial" w:cs="Arial" w:eastAsia="Arial" w:hAnsi="Arial"/>
          <w:sz w:val="16"/>
          <w:szCs w:val="16"/>
          <w:color w:val="auto"/>
        </w:rPr>
      </w:pPr>
    </w:p>
    <w:p>
      <w:pPr>
        <w:ind w:left="-8" w:right="20" w:firstLine="1492"/>
        <w:spacing w:after="0" w:line="306" w:lineRule="auto"/>
        <w:tabs>
          <w:tab w:leader="none" w:pos="172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w:t>
      </w:r>
    </w:p>
    <w:p>
      <w:pPr>
        <w:spacing w:after="0" w:line="106" w:lineRule="exact"/>
        <w:rPr>
          <w:rFonts w:ascii="Arial" w:cs="Arial" w:eastAsia="Arial" w:hAnsi="Arial"/>
          <w:sz w:val="16"/>
          <w:szCs w:val="16"/>
          <w:color w:val="auto"/>
        </w:rPr>
      </w:pPr>
    </w:p>
    <w:p>
      <w:pPr>
        <w:ind w:left="-8" w:right="760" w:firstLine="1492"/>
        <w:spacing w:after="0" w:line="268" w:lineRule="auto"/>
        <w:tabs>
          <w:tab w:leader="none" w:pos="171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Notice of Termination for Cause given by the Company must be given within 90 days of the occurrence of the event(s) or circumstance(s) that constitute(s) Cause.</w:t>
      </w:r>
    </w:p>
    <w:p>
      <w:pPr>
        <w:spacing w:after="0" w:line="131" w:lineRule="exact"/>
        <w:rPr>
          <w:rFonts w:ascii="Arial" w:cs="Arial" w:eastAsia="Arial" w:hAnsi="Arial"/>
          <w:sz w:val="18"/>
          <w:szCs w:val="18"/>
          <w:color w:val="auto"/>
        </w:rPr>
      </w:pPr>
    </w:p>
    <w:p>
      <w:pPr>
        <w:ind w:left="-8" w:right="220" w:firstLine="1492"/>
        <w:spacing w:after="0" w:line="268" w:lineRule="auto"/>
        <w:tabs>
          <w:tab w:leader="none" w:pos="172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Notice of Termination for Good Reason given by the Executive must be given within 90 days of the occurrence of the event(s) or circumstance(s) that constitute(s) Good Reason.</w:t>
      </w:r>
    </w:p>
    <w:p>
      <w:pPr>
        <w:spacing w:after="0" w:line="131" w:lineRule="exact"/>
        <w:rPr>
          <w:rFonts w:ascii="Arial" w:cs="Arial" w:eastAsia="Arial" w:hAnsi="Arial"/>
          <w:sz w:val="18"/>
          <w:szCs w:val="18"/>
          <w:color w:val="auto"/>
        </w:rPr>
      </w:pPr>
    </w:p>
    <w:p>
      <w:pPr>
        <w:ind w:left="632" w:hanging="176"/>
        <w:spacing w:after="0"/>
        <w:tabs>
          <w:tab w:leader="none" w:pos="63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Benefits to Executive</w:t>
      </w:r>
      <w:r>
        <w:rPr>
          <w:rFonts w:ascii="Arial" w:cs="Arial" w:eastAsia="Arial" w:hAnsi="Arial"/>
          <w:sz w:val="18"/>
          <w:szCs w:val="18"/>
          <w:color w:val="auto"/>
        </w:rPr>
        <w:t>.</w:t>
      </w:r>
    </w:p>
    <w:p>
      <w:pPr>
        <w:spacing w:after="0" w:line="17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Prior to Change in Control Date</w:t>
      </w:r>
      <w:r>
        <w:rPr>
          <w:rFonts w:ascii="Arial" w:cs="Arial" w:eastAsia="Arial" w:hAnsi="Arial"/>
          <w:sz w:val="18"/>
          <w:szCs w:val="18"/>
          <w:color w:val="auto"/>
        </w:rPr>
        <w:t>.</w:t>
      </w:r>
    </w:p>
    <w:p>
      <w:pPr>
        <w:spacing w:after="0" w:line="171" w:lineRule="exact"/>
        <w:rPr>
          <w:sz w:val="20"/>
          <w:szCs w:val="20"/>
          <w:color w:val="auto"/>
        </w:rPr>
      </w:pPr>
    </w:p>
    <w:p>
      <w:pPr>
        <w:ind w:left="-8" w:firstLine="1492"/>
        <w:spacing w:after="0" w:line="259" w:lineRule="auto"/>
        <w:tabs>
          <w:tab w:leader="none" w:pos="1714"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If, prior to a Change in Control Date (including a situation in which a Change in Control Date never occurs), the Company terminates the Executive’s employment other than for Cause, Disability or death, then the Executive shall be entitled to the following benefits, the distribution of which shall be subject to the provisions of Sections 4.4 and 4.7:</w:t>
      </w:r>
    </w:p>
    <w:p>
      <w:pPr>
        <w:spacing w:after="0" w:line="140" w:lineRule="exact"/>
        <w:rPr>
          <w:rFonts w:ascii="Arial" w:cs="Arial" w:eastAsia="Arial" w:hAnsi="Arial"/>
          <w:sz w:val="18"/>
          <w:szCs w:val="18"/>
          <w:color w:val="auto"/>
        </w:rPr>
      </w:pPr>
    </w:p>
    <w:p>
      <w:pPr>
        <w:ind w:left="2152" w:hanging="212"/>
        <w:spacing w:after="0"/>
        <w:tabs>
          <w:tab w:leader="none" w:pos="2152" w:val="left"/>
        </w:tabs>
        <w:numPr>
          <w:ilvl w:val="2"/>
          <w:numId w:val="152"/>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sum of the following amounts:</w:t>
      </w:r>
    </w:p>
    <w:p>
      <w:pPr>
        <w:spacing w:after="0" w:line="38" w:lineRule="exact"/>
        <w:rPr>
          <w:rFonts w:ascii="Arial" w:cs="Arial" w:eastAsia="Arial" w:hAnsi="Arial"/>
          <w:sz w:val="16"/>
          <w:szCs w:val="16"/>
          <w:color w:val="auto"/>
        </w:rPr>
      </w:pPr>
    </w:p>
    <w:p>
      <w:pPr>
        <w:ind w:left="252" w:hanging="252"/>
        <w:spacing w:after="0"/>
        <w:tabs>
          <w:tab w:leader="none" w:pos="2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Executive’s base salary through the Date of Termination, (2) any compensation previously deferred by the</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126" w:name="page127"/>
    <w:bookmarkEnd w:id="12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(together with any accrued interest or earnings thereon) and (3) any accrued vacation pay, in each case to the extent not previously paid (the sum of the amounts described in clauses (1) through (3) shall be hereinafter referred to as the “Accrued Obligations”);</w:t>
      </w:r>
    </w:p>
    <w:p>
      <w:pPr>
        <w:spacing w:after="0" w:line="132" w:lineRule="exact"/>
        <w:rPr>
          <w:sz w:val="20"/>
          <w:szCs w:val="20"/>
          <w:color w:val="auto"/>
        </w:rPr>
      </w:pPr>
    </w:p>
    <w:p>
      <w:pPr>
        <w:ind w:right="400" w:firstLine="1948"/>
        <w:spacing w:after="0" w:line="332" w:lineRule="auto"/>
        <w:tabs>
          <w:tab w:leader="none" w:pos="219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ind w:firstLine="1948"/>
        <w:spacing w:after="0" w:line="310" w:lineRule="auto"/>
        <w:tabs>
          <w:tab w:leader="none" w:pos="2247" w:val="left"/>
        </w:tabs>
        <w:numPr>
          <w:ilvl w:val="1"/>
          <w:numId w:val="154"/>
        </w:numPr>
        <w:rPr>
          <w:rFonts w:ascii="Arial" w:cs="Arial" w:eastAsia="Arial" w:hAnsi="Arial"/>
          <w:sz w:val="15"/>
          <w:szCs w:val="15"/>
          <w:color w:val="auto"/>
        </w:rPr>
      </w:pPr>
      <w:r>
        <w:rPr>
          <w:rFonts w:ascii="Arial" w:cs="Arial" w:eastAsia="Arial" w:hAnsi="Arial"/>
          <w:sz w:val="15"/>
          <w:szCs w:val="15"/>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insurance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5"/>
          <w:szCs w:val="15"/>
          <w:u w:val="single" w:color="auto"/>
          <w:color w:val="auto"/>
        </w:rPr>
        <w:t>provided</w:t>
      </w:r>
      <w:r>
        <w:rPr>
          <w:rFonts w:ascii="Arial" w:cs="Arial" w:eastAsia="Arial" w:hAnsi="Arial"/>
          <w:sz w:val="15"/>
          <w:szCs w:val="15"/>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08" w:lineRule="exact"/>
        <w:rPr>
          <w:rFonts w:ascii="Arial" w:cs="Arial" w:eastAsia="Arial" w:hAnsi="Arial"/>
          <w:sz w:val="15"/>
          <w:szCs w:val="15"/>
          <w:color w:val="auto"/>
        </w:rPr>
      </w:pPr>
    </w:p>
    <w:p>
      <w:pPr>
        <w:ind w:right="20" w:firstLine="1492"/>
        <w:spacing w:after="0" w:line="291" w:lineRule="auto"/>
        <w:tabs>
          <w:tab w:leader="none" w:pos="1732"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If, prior to the Change in Control Date, the Executive’s employment with the Company is terminated other than under the circumstances described in Section 4.1(a), then the Company shall (i) pay the Executive (or his estate, if applicable), in a lump sum in cash on the Date of Termination, the Accrued Obligations and (ii) to the extent not previously paid or provided, timely pay or provide to the Executive any other amounts or benefits required to be paid or provided or which the Executive is eligible to receive following the Executive’s termination of employment under any plan, program, policy, practice, contract or agreement of the Company and its subsidiaries (such other amounts and benefits shall be hereinafter referred to as the “Other Benefits”), the distribution of which shall be subject to the provisions of Section 4.7.</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Following Change in Control Date</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56" w:lineRule="auto"/>
        <w:tabs>
          <w:tab w:leader="none" w:pos="1722"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Termination within 12 Months Following Change in Control Date</w:t>
      </w:r>
      <w:r>
        <w:rPr>
          <w:rFonts w:ascii="Arial" w:cs="Arial" w:eastAsia="Arial" w:hAnsi="Arial"/>
          <w:sz w:val="18"/>
          <w:szCs w:val="18"/>
          <w:color w:val="auto"/>
        </w:rPr>
        <w:t>. If the Company terminates the Executive’s employment other than for Cause, Disability or death within 12 months following the Change in Control Date, or if the Executive terminates his employment for Good Reason within 12 months following the Change in Control Date, then the Executive shall be entitled to the following benefits, the distribution of which shall be subject to the provisions of Sections 4.4 and 4.7:</w:t>
      </w:r>
    </w:p>
    <w:p>
      <w:pPr>
        <w:spacing w:after="0" w:line="143" w:lineRule="exact"/>
        <w:rPr>
          <w:rFonts w:ascii="Arial" w:cs="Arial" w:eastAsia="Arial" w:hAnsi="Arial"/>
          <w:sz w:val="18"/>
          <w:szCs w:val="18"/>
          <w:color w:val="auto"/>
        </w:rPr>
      </w:pPr>
    </w:p>
    <w:p>
      <w:pPr>
        <w:ind w:left="2160" w:hanging="212"/>
        <w:spacing w:after="0"/>
        <w:tabs>
          <w:tab w:leader="none" w:pos="2160" w:val="left"/>
        </w:tabs>
        <w:numPr>
          <w:ilvl w:val="2"/>
          <w:numId w:val="156"/>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(A) the Accrued Obligations and</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product of (x) the annual target bonus payable to the Executive for the fiscal year in which the Date of Termination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27" w:name="page128"/>
    <w:bookmarkEnd w:id="127"/>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occurs and (y) a fraction, the numerator of which is the number of days in the then-current fiscal year through the Date of Termination, and the denominator of which is 365, less any portion of such bonus previously paid to the Executive;</w:t>
      </w:r>
    </w:p>
    <w:p>
      <w:pPr>
        <w:spacing w:after="0" w:line="132" w:lineRule="exact"/>
        <w:rPr>
          <w:sz w:val="20"/>
          <w:szCs w:val="20"/>
          <w:color w:val="auto"/>
        </w:rPr>
      </w:pPr>
    </w:p>
    <w:p>
      <w:pPr>
        <w:ind w:right="400" w:firstLine="1948"/>
        <w:spacing w:after="0" w:line="332" w:lineRule="auto"/>
        <w:tabs>
          <w:tab w:leader="none" w:pos="219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ind w:firstLine="1948"/>
        <w:spacing w:after="0" w:line="289" w:lineRule="auto"/>
        <w:tabs>
          <w:tab w:leader="none" w:pos="224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benefits can be provided to non-employees, or to the extent such health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6"/>
          <w:szCs w:val="16"/>
          <w:u w:val="single" w:color="auto"/>
          <w:color w:val="auto"/>
        </w:rPr>
        <w:t>provided</w:t>
      </w:r>
      <w:r>
        <w:rPr>
          <w:rFonts w:ascii="Arial" w:cs="Arial" w:eastAsia="Arial" w:hAnsi="Arial"/>
          <w:sz w:val="16"/>
          <w:szCs w:val="16"/>
          <w:color w:val="auto"/>
        </w:rPr>
        <w:t>, however: (1) that if the Executive becomes reemployed with another employer and is eligible to receive a particular type of benefits (e.g., health insurance benefits) from such 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18" w:lineRule="exact"/>
        <w:rPr>
          <w:rFonts w:ascii="Arial" w:cs="Arial" w:eastAsia="Arial" w:hAnsi="Arial"/>
          <w:sz w:val="16"/>
          <w:szCs w:val="16"/>
          <w:color w:val="auto"/>
        </w:rPr>
      </w:pPr>
    </w:p>
    <w:p>
      <w:pPr>
        <w:ind w:right="80" w:firstLine="1492"/>
        <w:spacing w:after="0" w:line="259" w:lineRule="auto"/>
        <w:tabs>
          <w:tab w:leader="none" w:pos="173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Termination More Than 12 Months Following Change in Control Date</w:t>
      </w:r>
      <w:r>
        <w:rPr>
          <w:rFonts w:ascii="Arial" w:cs="Arial" w:eastAsia="Arial" w:hAnsi="Arial"/>
          <w:sz w:val="18"/>
          <w:szCs w:val="18"/>
          <w:color w:val="auto"/>
        </w:rPr>
        <w:t>. If the Company terminates the Executive’s employment other than for Cause, Disability or death more than 12 months following the Change in Control Date, then the Executive shall be entitled to the following benefits, the distribution of which shall be subject to the provisions of Sections 4.4 and 4.7:</w:t>
      </w:r>
    </w:p>
    <w:p>
      <w:pPr>
        <w:spacing w:after="0" w:line="140" w:lineRule="exact"/>
        <w:rPr>
          <w:rFonts w:ascii="Arial" w:cs="Arial" w:eastAsia="Arial" w:hAnsi="Arial"/>
          <w:sz w:val="18"/>
          <w:szCs w:val="18"/>
          <w:color w:val="auto"/>
        </w:rPr>
      </w:pPr>
    </w:p>
    <w:p>
      <w:pPr>
        <w:ind w:left="2160" w:hanging="212"/>
        <w:spacing w:after="0"/>
        <w:tabs>
          <w:tab w:leader="none" w:pos="216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Company shall pay to the Executive, in a lump sum in cash on the Date of Termination, the Accrued Obligations;</w:t>
      </w:r>
    </w:p>
    <w:p>
      <w:pPr>
        <w:spacing w:after="0" w:line="194" w:lineRule="exact"/>
        <w:rPr>
          <w:rFonts w:ascii="Arial" w:cs="Arial" w:eastAsia="Arial" w:hAnsi="Arial"/>
          <w:sz w:val="16"/>
          <w:szCs w:val="16"/>
          <w:color w:val="auto"/>
        </w:rPr>
      </w:pPr>
    </w:p>
    <w:p>
      <w:pPr>
        <w:ind w:right="400" w:firstLine="1948"/>
        <w:spacing w:after="0" w:line="332" w:lineRule="auto"/>
        <w:tabs>
          <w:tab w:leader="none" w:pos="219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during the Severance Period, the Company shall continue to pay to the Executive, in accordance with the Company’s regular payroll practices, the Executive’s highest annual base salary during the two-year period prior to the Date of Termination; and</w:t>
      </w:r>
    </w:p>
    <w:p>
      <w:pPr>
        <w:spacing w:after="0" w:line="85" w:lineRule="exact"/>
        <w:rPr>
          <w:rFonts w:ascii="Arial" w:cs="Arial" w:eastAsia="Arial" w:hAnsi="Arial"/>
          <w:sz w:val="16"/>
          <w:szCs w:val="16"/>
          <w:color w:val="auto"/>
        </w:rPr>
      </w:pPr>
    </w:p>
    <w:p>
      <w:pPr>
        <w:ind w:firstLine="1948"/>
        <w:spacing w:after="0" w:line="254" w:lineRule="auto"/>
        <w:tabs>
          <w:tab w:leader="none" w:pos="224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during the Severance Period, the Company shall continue to provide to the Executive and the Executive’s family those benefits which would have been provided to them if the Executive’s employment had not been terminated, in accordance with the applicable Benefit Plans in effect on the Date of Termination (to the extent such health benefits can be provided to non-employees, or to the extent such benefits cannot be provided to non-employees, then the cash equivalent thereof, based on the cost thereof to the Company, which cash amount shall be paid proportionately over the Severance Period, monthly in advance); </w:t>
      </w:r>
      <w:r>
        <w:rPr>
          <w:rFonts w:ascii="Arial" w:cs="Arial" w:eastAsia="Arial" w:hAnsi="Arial"/>
          <w:sz w:val="18"/>
          <w:szCs w:val="18"/>
          <w:u w:val="single" w:color="auto"/>
          <w:color w:val="auto"/>
        </w:rPr>
        <w:t>provided</w:t>
      </w:r>
      <w:r>
        <w:rPr>
          <w:rFonts w:ascii="Arial" w:cs="Arial" w:eastAsia="Arial" w:hAnsi="Arial"/>
          <w:sz w:val="18"/>
          <w:szCs w:val="18"/>
          <w:color w:val="auto"/>
        </w:rPr>
        <w:t>, however: (1) that if the Executive becomes reemployed with another employer and is eligible to receive a particular type of benefits (e.g., health insurance benefits) from such</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28" w:name="page129"/>
    <w:bookmarkEnd w:id="12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on terms at least as favorable to the Executive and his family as those being provided by the Company, then the Company shall no longer be required to provide those particular benefits to the Executive and his family; and (2) to the extent that such payments are taxable to the Executive and/or extend beyond the COBRA continuation period, then such payments shall be made monthly in advance.</w:t>
      </w:r>
    </w:p>
    <w:p>
      <w:pPr>
        <w:spacing w:after="0" w:line="140" w:lineRule="exact"/>
        <w:rPr>
          <w:sz w:val="20"/>
          <w:szCs w:val="20"/>
          <w:color w:val="auto"/>
        </w:rPr>
      </w:pPr>
    </w:p>
    <w:p>
      <w:pPr>
        <w:ind w:right="20" w:firstLine="1492"/>
        <w:spacing w:after="0" w:line="256" w:lineRule="auto"/>
        <w:tabs>
          <w:tab w:leader="none" w:pos="172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Other Terminations</w:t>
      </w:r>
      <w:r>
        <w:rPr>
          <w:rFonts w:ascii="Arial" w:cs="Arial" w:eastAsia="Arial" w:hAnsi="Arial"/>
          <w:sz w:val="18"/>
          <w:szCs w:val="18"/>
          <w:color w:val="auto"/>
        </w:rPr>
        <w:t>. If, following the Change in Control Date, the Executive’s employment with the Company is terminated other than under the circumstances described in Section 4.2(a) or Section 4.2(b), then the Company shall (i) pay the Executive (or his estate, if applicable), in a lump sum in cash on the Date of Termination, the Accrued Obligations and (ii) to the extent not previously paid or provided, timely pay or provide to the Executive the Other Benefits, the distribution of which shall be subject to the provisions of Section 4.7.</w:t>
      </w:r>
    </w:p>
    <w:p>
      <w:pPr>
        <w:spacing w:after="0" w:line="143" w:lineRule="exact"/>
        <w:rPr>
          <w:rFonts w:ascii="Arial" w:cs="Arial" w:eastAsia="Arial" w:hAnsi="Arial"/>
          <w:sz w:val="18"/>
          <w:szCs w:val="18"/>
          <w:color w:val="auto"/>
        </w:rPr>
      </w:pPr>
    </w:p>
    <w:p>
      <w:pPr>
        <w:ind w:right="20" w:firstLine="1492"/>
        <w:spacing w:after="0" w:line="259" w:lineRule="auto"/>
        <w:tabs>
          <w:tab w:leader="none" w:pos="173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Subject to Section 4.7, the Company agrees to reimburse the Executive for all legal and other fees and expenses that the Executive reasonably incurs as a result of any claim or dispute regarding the benefits due to the Executive pursuant to this Section 4.2 if the Executive prevails in such claim or dispute.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Section 280G Provisions</w:t>
      </w:r>
      <w:r>
        <w:rPr>
          <w:rFonts w:ascii="Arial" w:cs="Arial" w:eastAsia="Arial" w:hAnsi="Arial"/>
          <w:sz w:val="18"/>
          <w:szCs w:val="18"/>
          <w:color w:val="auto"/>
        </w:rPr>
        <w:t>.</w:t>
      </w:r>
    </w:p>
    <w:p>
      <w:pPr>
        <w:spacing w:after="0" w:line="171" w:lineRule="exact"/>
        <w:rPr>
          <w:sz w:val="20"/>
          <w:szCs w:val="20"/>
          <w:color w:val="auto"/>
        </w:rPr>
      </w:pPr>
    </w:p>
    <w:p>
      <w:pPr>
        <w:ind w:right="80" w:firstLine="1492"/>
        <w:spacing w:after="0" w:line="291" w:lineRule="auto"/>
        <w:tabs>
          <w:tab w:leader="none" w:pos="172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in the event that the Company undergoes a Change in Ownership or Control (as defined below), the Company shall not be obligated to provide to the Executive a portion of any Contingent Compensation Payments (as defined below) that the Executive would otherwise be entitled to receive to the extent necessary to eliminate Excess Parachute Payments (as defined below) for the Executive, except as set forth in Section 4.3(b). For purposes of this Section 4.3,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20" w:lineRule="exact"/>
        <w:rPr>
          <w:rFonts w:ascii="Arial" w:cs="Arial" w:eastAsia="Arial" w:hAnsi="Arial"/>
          <w:sz w:val="16"/>
          <w:szCs w:val="16"/>
          <w:color w:val="auto"/>
        </w:rPr>
      </w:pPr>
    </w:p>
    <w:p>
      <w:pPr>
        <w:ind w:firstLine="1492"/>
        <w:spacing w:after="0" w:line="287" w:lineRule="auto"/>
        <w:tabs>
          <w:tab w:leader="none" w:pos="173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the provisions of Section 4.3(a), no such reduction in Contingent Compensation Payments shall be made if (i) the Eliminated Amount (computed without regard to this sentence) exceeds (ii) 110% of the aggregate present value (determined in accordance with Treasury Regulation Section 1.280G-1, Q/A-31, Q/A-32, Q/A-33 or any successor provisions) of the amount of any additional taxes that would be incurred by the Executive if the Eliminated Payments (determined without regard to this sentence) were paid to him (including, state and federal income taxes on the Eliminated Payments, the excise tax imposed by Section 4999 of the Internal Revenue Code of 1986, as amended (the “Code”, which term shall include applicable Treasury Regulations), payable with respect to all of the Contingent Compensation Payments in excess of the Executive’s “base amount” (as defined in Section 280G(b)(3) of the Code), and any withholding taxes). The override of such reduction in Contingent Compensation Payments pursuant to this Section 4.3(b) shall be referred to as a “Section 4.3(b) Override.” For purposes of this paragraph, if any federal, state or local income taxes would be attributable to the receipt of any Eliminated Payment, the amount of such taxes shall be computed by multiplying the amount of the Eliminated Payment by the maximum combined federal, state and local income tax rate provided by law.</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29" w:name="page130"/>
    <w:bookmarkEnd w:id="129"/>
    <w:p>
      <w:pPr>
        <w:ind w:left="1740" w:hanging="248"/>
        <w:spacing w:after="0"/>
        <w:tabs>
          <w:tab w:leader="none" w:pos="1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4.3 the following terms shall have the following respective meanings:</w:t>
      </w:r>
    </w:p>
    <w:p>
      <w:pPr>
        <w:spacing w:after="0" w:line="171" w:lineRule="exact"/>
        <w:rPr>
          <w:rFonts w:ascii="Arial" w:cs="Arial" w:eastAsia="Arial" w:hAnsi="Arial"/>
          <w:sz w:val="18"/>
          <w:szCs w:val="18"/>
          <w:color w:val="auto"/>
        </w:rPr>
      </w:pPr>
    </w:p>
    <w:p>
      <w:pPr>
        <w:ind w:right="160" w:firstLine="1948"/>
        <w:spacing w:after="0" w:line="268" w:lineRule="auto"/>
        <w:tabs>
          <w:tab w:leader="none" w:pos="215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31" w:lineRule="exact"/>
        <w:rPr>
          <w:rFonts w:ascii="Arial" w:cs="Arial" w:eastAsia="Arial" w:hAnsi="Arial"/>
          <w:sz w:val="18"/>
          <w:szCs w:val="18"/>
          <w:color w:val="auto"/>
        </w:rPr>
      </w:pPr>
    </w:p>
    <w:p>
      <w:pPr>
        <w:ind w:right="340" w:firstLine="1948"/>
        <w:spacing w:after="0" w:line="259" w:lineRule="auto"/>
        <w:tabs>
          <w:tab w:leader="none" w:pos="219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“Contingent Compensation Payment” 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“Excess Parachute Payment” shall mean a payment described in Section 280G(b)(1) of the Code.</w:t>
      </w:r>
    </w:p>
    <w:p>
      <w:pPr>
        <w:spacing w:after="0" w:line="171" w:lineRule="exact"/>
        <w:rPr>
          <w:rFonts w:ascii="Arial" w:cs="Arial" w:eastAsia="Arial" w:hAnsi="Arial"/>
          <w:sz w:val="18"/>
          <w:szCs w:val="18"/>
          <w:color w:val="auto"/>
        </w:rPr>
      </w:pPr>
    </w:p>
    <w:p>
      <w:pPr>
        <w:ind w:firstLine="1492"/>
        <w:spacing w:after="0" w:line="259" w:lineRule="auto"/>
        <w:tabs>
          <w:tab w:leader="none" w:pos="17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4.3(d).</w:t>
      </w:r>
    </w:p>
    <w:p>
      <w:pPr>
        <w:spacing w:after="0" w:line="140" w:lineRule="exact"/>
        <w:rPr>
          <w:rFonts w:ascii="Arial" w:cs="Arial" w:eastAsia="Arial" w:hAnsi="Arial"/>
          <w:sz w:val="18"/>
          <w:szCs w:val="18"/>
          <w:color w:val="auto"/>
        </w:rPr>
      </w:pPr>
    </w:p>
    <w:p>
      <w:pPr>
        <w:ind w:right="180" w:firstLine="1948"/>
        <w:spacing w:after="0" w:line="253" w:lineRule="auto"/>
        <w:tabs>
          <w:tab w:leader="none" w:pos="215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the event that the Company undergoes a Change in Ownership or Control, and the Executive becomes entitled to receive Contingent Compensation Payments relating to such Change in Ownership or Control, the Company shall (A) determine at such time or times as may be necessary to comply with the requirements under Section 280G of the Code whether such Contingent Compensation Payments constitute in whole or in part Excess Parachute Payments and (B) in the event the Company determines that such Contingent Compensation Payments constitute in whole or in part Excess Parachute Payments, notify the Executive (within 30 days after each such determination and with reasonable detail regarding the basis for its determinations) of the following: (1) which Potential Payments constitute Contingent Compensation Payments, (2) the Eliminated Amount and (3) whether the Section 4.3(b) Override is applicable.</w:t>
      </w:r>
    </w:p>
    <w:p>
      <w:pPr>
        <w:spacing w:after="0" w:line="147" w:lineRule="exact"/>
        <w:rPr>
          <w:rFonts w:ascii="Arial" w:cs="Arial" w:eastAsia="Arial" w:hAnsi="Arial"/>
          <w:sz w:val="18"/>
          <w:szCs w:val="18"/>
          <w:color w:val="auto"/>
        </w:rPr>
      </w:pPr>
    </w:p>
    <w:p>
      <w:pPr>
        <w:ind w:right="120" w:firstLine="1948"/>
        <w:spacing w:after="0" w:line="256" w:lineRule="auto"/>
        <w:tabs>
          <w:tab w:leader="none" w:pos="219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Within 30 days after delivery of such notice to the Executive, the Executive shall deliver a response to the Company (the “Executive Response”) stating either (A) that he agrees with the Company’s determination pursuant to the preceding sentence, or (B) that he disagrees with such determination, in which case he shall set forth (1) which Potential Payments should be characterized as Contingent Compensation Payments, (2) the Eliminated Amount, or (3) whether the Section 4.3(b) Override is applicable.</w:t>
      </w:r>
    </w:p>
    <w:p>
      <w:pPr>
        <w:spacing w:after="0" w:line="143" w:lineRule="exact"/>
        <w:rPr>
          <w:rFonts w:ascii="Arial" w:cs="Arial" w:eastAsia="Arial" w:hAnsi="Arial"/>
          <w:sz w:val="18"/>
          <w:szCs w:val="18"/>
          <w:color w:val="auto"/>
        </w:rPr>
      </w:pPr>
    </w:p>
    <w:p>
      <w:pPr>
        <w:ind w:right="20" w:firstLine="1948"/>
        <w:spacing w:after="0" w:line="298" w:lineRule="auto"/>
        <w:tabs>
          <w:tab w:leader="none" w:pos="224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If and to the extent that any Contingent Compensation Payments are required to be treated as Eliminated Payments pursuant to this Section 4.3, then the Payments shall be reduced or eliminated, as determined by the Company, in the following order: (A) any cash payments, (B) any taxable benefits, (C) any nontaxable benefits, and (D) any vesting of equity awards, in each case in reverse order beginning with payments or benefits that are to be paid the farthest in time from the date that triggers the applicability of the excise tax, to the extent necessary to maximize the Eliminated Payments.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0" w:name="page131"/>
    <w:bookmarkEnd w:id="130"/>
    <w:p>
      <w:pPr>
        <w:ind w:left="-20" w:right="120" w:firstLine="1948"/>
        <w:spacing w:after="0" w:line="256" w:lineRule="auto"/>
        <w:tabs>
          <w:tab w:leader="none" w:pos="2217"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Executive fails to deliver an Executive Response on or before the required date, the Company’s initial determinations shall be final, and the Company shall make the Potential Payments (other than the Eliminated Payments) to the Executive within 10 business days following the due date for delivery to the Company of the Executive Response (except for any Potential Payments which are not due to be made until after such date, which Potential Payments shall be made on the date on which they are due).</w:t>
      </w:r>
    </w:p>
    <w:p>
      <w:pPr>
        <w:spacing w:after="0" w:line="143" w:lineRule="exact"/>
        <w:rPr>
          <w:rFonts w:ascii="Arial" w:cs="Arial" w:eastAsia="Arial" w:hAnsi="Arial"/>
          <w:sz w:val="18"/>
          <w:szCs w:val="18"/>
          <w:color w:val="auto"/>
        </w:rPr>
      </w:pPr>
    </w:p>
    <w:p>
      <w:pPr>
        <w:ind w:left="-20" w:firstLine="1948"/>
        <w:spacing w:after="0" w:line="255" w:lineRule="auto"/>
        <w:tabs>
          <w:tab w:leader="none" w:pos="216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the Executive states in the Executive Response that he agrees with the Company’s determinations, the Company’s initial determinations shall be final, the Contingent Compensation Payments that shall be treated as Eliminated Payments shall be as set forth in the Executive Response, and the Company shall make the Potential Payments (other than the Eliminated Payments) to the Executive within 10 business days following delivery to the Company of the Executive Response (except for any Potential Payments which are not due to be made until after such date, which Potential Payments shall be made on the date on which they are due).</w:t>
      </w:r>
    </w:p>
    <w:p>
      <w:pPr>
        <w:spacing w:after="0" w:line="142" w:lineRule="exact"/>
        <w:rPr>
          <w:rFonts w:ascii="Arial" w:cs="Arial" w:eastAsia="Arial" w:hAnsi="Arial"/>
          <w:sz w:val="18"/>
          <w:szCs w:val="18"/>
          <w:color w:val="auto"/>
        </w:rPr>
      </w:pPr>
    </w:p>
    <w:p>
      <w:pPr>
        <w:ind w:left="-20" w:firstLine="1948"/>
        <w:spacing w:after="0" w:line="289" w:lineRule="auto"/>
        <w:tabs>
          <w:tab w:leader="none" w:pos="221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the Executive states in the Executive Response that he disagrees with the Company’s determinations,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10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(other than Eliminated Payments) shall be made within 10 business days following the resolution of such dispute.</w:t>
      </w:r>
    </w:p>
    <w:p>
      <w:pPr>
        <w:spacing w:after="0" w:line="118" w:lineRule="exact"/>
        <w:rPr>
          <w:rFonts w:ascii="Arial" w:cs="Arial" w:eastAsia="Arial" w:hAnsi="Arial"/>
          <w:sz w:val="16"/>
          <w:szCs w:val="16"/>
          <w:color w:val="auto"/>
        </w:rPr>
      </w:pPr>
    </w:p>
    <w:p>
      <w:pPr>
        <w:ind w:left="-20" w:right="120" w:firstLine="1948"/>
        <w:spacing w:after="0" w:line="259" w:lineRule="auto"/>
        <w:tabs>
          <w:tab w:leader="none" w:pos="226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Subject to the limitations contained in Sections 4.3(a) and (b) hereof, the amount of any payments to be made to the Executive following the resolution of such dispute shall be increased by amount of the accrued interest thereon computed at the prime rate announced from time to time by Bank of America, compounded monthly from the date that such payments originally were due.</w:t>
      </w:r>
    </w:p>
    <w:p>
      <w:pPr>
        <w:spacing w:after="0" w:line="140" w:lineRule="exact"/>
        <w:rPr>
          <w:rFonts w:ascii="Arial" w:cs="Arial" w:eastAsia="Arial" w:hAnsi="Arial"/>
          <w:sz w:val="18"/>
          <w:szCs w:val="18"/>
          <w:color w:val="auto"/>
        </w:rPr>
      </w:pPr>
    </w:p>
    <w:p>
      <w:pPr>
        <w:ind w:left="-20" w:right="320" w:firstLine="1948"/>
        <w:spacing w:after="0" w:line="298" w:lineRule="auto"/>
        <w:tabs>
          <w:tab w:leader="none" w:pos="23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event the Company is required to perform a redetermination in accordance with Treas. Reg. 1.280G-1 Q/A-33(b) with respect to any Contingent Compensation Payments, this Section 4.3(d) shall apply with respect to such redetermination and the parties shall make such adjustments as may be necessary as a result of such redetermination including, if appropriate, the payment by the Company of Contingent Compensation Payments previously treated as Eliminated Payments if the Section 4.3(b) Override applies as a result of such redetermination.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31" w:name="page132"/>
    <w:bookmarkEnd w:id="131"/>
    <w:p>
      <w:pPr>
        <w:ind w:right="700" w:firstLine="1492"/>
        <w:spacing w:after="0" w:line="332" w:lineRule="auto"/>
        <w:tabs>
          <w:tab w:leader="none" w:pos="1722"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4.3 are intended to apply to any and all payments or benefits available to the Executive under this Agreement or any other agreement or plan of the Company under which the Executive receives Contingent Compensation Payments.</w:t>
      </w:r>
    </w:p>
    <w:p>
      <w:pPr>
        <w:spacing w:after="0" w:line="85"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The obligation of the Company to make the payments and provide the benefits to the Executive under Section 4.1(a), Section 4.2(a) or Section 4.2(b) is conditioned upon the Executive signing a release of claims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such other form as may be agreed to by the Company and the Executive (the “Employee Release”), within 21 days (the “Release Period”) following the Date of Termination and upon the Executive not revoking the Employee Release in a timely manner thereafter. Provided that the Employee Release has become binding, the payments to the Executive under Section 4.1(a), Section 4.2(a) or Section 4.2(b) shall be payable or shall commence on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Termination. Notwithstanding the foregoing, the provisions of benefits under Section 4.1(a)(iii), Section 4.2(a)(iii) or Section 4.2(b)(iii) shall continue during the Release Period and any applicable revocation period.</w:t>
      </w:r>
    </w:p>
    <w:p>
      <w:pPr>
        <w:spacing w:after="0" w:line="147"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Exclusive Severance Benefits</w:t>
      </w:r>
      <w:r>
        <w:rPr>
          <w:rFonts w:ascii="Arial" w:cs="Arial" w:eastAsia="Arial" w:hAnsi="Arial"/>
          <w:sz w:val="18"/>
          <w:szCs w:val="18"/>
          <w:color w:val="auto"/>
        </w:rPr>
        <w:t>. The making of the payments and the provision of the benefits by the Company to the Executive under Section 4.1(a), Section 4.2(a) or Section 4.2(b) shall constitute the entire obligation of the Company to the Executive as a result of the termination of his employment under the circumstances set forth in such Sections, and the Executive shall not be entitled to additional payments or benefits under any other plan, program, policy, practice, contract or agreement of the Company or its subsidiaries.</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Mitigation</w:t>
      </w:r>
      <w:r>
        <w:rPr>
          <w:rFonts w:ascii="Arial" w:cs="Arial" w:eastAsia="Arial" w:hAnsi="Arial"/>
          <w:sz w:val="18"/>
          <w:szCs w:val="18"/>
          <w:color w:val="auto"/>
        </w:rPr>
        <w:t>. The Executive shall not be required to mitigate the amount of any payment or benefits provided for in Section 4.1(a), Section 4.2(a) or Section 4.2(b) by seeking other employment or otherwise. Further, except as provided in Section 4.1(a)(iii), Section 4.2(a)(iii) or Section 4.2(b)(iii), the amount of any payment or benefits provided for in Section 4.1(a), Section 4.2(a) or Section 4.2(b) shall not be reduced by any compensation earned or benefits received by the Executive as a result of employment by another employer.</w:t>
      </w:r>
    </w:p>
    <w:p>
      <w:pPr>
        <w:spacing w:after="0" w:line="143"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w:t>
      </w:r>
      <w:r>
        <w:rPr>
          <w:rFonts w:ascii="Arial" w:cs="Arial" w:eastAsia="Arial" w:hAnsi="Arial"/>
          <w:sz w:val="16"/>
          <w:szCs w:val="16"/>
          <w:color w:val="auto"/>
        </w:rPr>
        <w:t>. Subject to this Section 4.7, any severance payments or benefits under this Agreement shall begin only upon the date of the Executive’s “separation from service” (as determined below), which occurs on or after the date of the Executive’s termination. The following rules shall apply with respect to distribution of the payments and benefits, if any, to be provided to the Executive under Sections 4.1 or 4.2, as applicable:</w:t>
      </w:r>
    </w:p>
    <w:p>
      <w:pPr>
        <w:spacing w:after="0" w:line="107" w:lineRule="exact"/>
        <w:rPr>
          <w:sz w:val="20"/>
          <w:szCs w:val="20"/>
          <w:color w:val="auto"/>
        </w:rPr>
      </w:pPr>
    </w:p>
    <w:p>
      <w:pPr>
        <w:ind w:right="60" w:firstLine="1492"/>
        <w:spacing w:after="0" w:line="256" w:lineRule="auto"/>
        <w:tabs>
          <w:tab w:leader="none" w:pos="17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Sections 4.1 and 4.2 shall be treated as a separate “payment” for purposes of Section 409A of the U.S. Internal Revenue Code of 1986, as amended, and the guidance issued thereunder (“Section 409A”). Neither the Company nor the Executive shall have the right to accelerate or defer the delivery of any such payments or benefits except to the extent specifically permitted or required by Section 409A;</w:t>
      </w:r>
    </w:p>
    <w:p>
      <w:pPr>
        <w:spacing w:after="0" w:line="143" w:lineRule="exact"/>
        <w:rPr>
          <w:rFonts w:ascii="Arial" w:cs="Arial" w:eastAsia="Arial" w:hAnsi="Arial"/>
          <w:sz w:val="18"/>
          <w:szCs w:val="18"/>
          <w:color w:val="auto"/>
        </w:rPr>
      </w:pPr>
    </w:p>
    <w:p>
      <w:pPr>
        <w:ind w:right="60" w:firstLine="1492"/>
        <w:spacing w:after="0" w:line="259" w:lineRule="auto"/>
        <w:tabs>
          <w:tab w:leader="none" w:pos="173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as of the date of the “separation from service” of the Executive from the Company (within the meaning of Section 4.7(d) below), the Executive is not a “specified employee” (within the meaning of Section 409A), then each installment of the payments and benefits shall be made on the dates and terms set forth in Sections 4.1 or 4.2, as applicable;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2" w:name="page133"/>
    <w:bookmarkEnd w:id="132"/>
    <w:p>
      <w:pPr>
        <w:ind w:left="1720" w:hanging="248"/>
        <w:spacing w:after="0"/>
        <w:tabs>
          <w:tab w:leader="none" w:pos="17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the date of the separation from service of the Executive from the Company, the Executive is a specified employee, then:</w:t>
      </w:r>
    </w:p>
    <w:p>
      <w:pPr>
        <w:spacing w:after="0" w:line="194" w:lineRule="exact"/>
        <w:rPr>
          <w:rFonts w:ascii="Arial" w:cs="Arial" w:eastAsia="Arial" w:hAnsi="Arial"/>
          <w:sz w:val="16"/>
          <w:szCs w:val="16"/>
          <w:color w:val="auto"/>
        </w:rPr>
      </w:pPr>
    </w:p>
    <w:p>
      <w:pPr>
        <w:ind w:left="-20" w:right="180" w:firstLine="1948"/>
        <w:spacing w:after="0" w:line="256" w:lineRule="auto"/>
        <w:tabs>
          <w:tab w:leader="none" w:pos="213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Sections 4.1 or 4.2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w:t>
      </w:r>
    </w:p>
    <w:p>
      <w:pPr>
        <w:spacing w:after="0" w:line="143" w:lineRule="exact"/>
        <w:rPr>
          <w:rFonts w:ascii="Arial" w:cs="Arial" w:eastAsia="Arial" w:hAnsi="Arial"/>
          <w:sz w:val="18"/>
          <w:szCs w:val="18"/>
          <w:color w:val="auto"/>
        </w:rPr>
      </w:pPr>
    </w:p>
    <w:p>
      <w:pPr>
        <w:ind w:left="-20" w:firstLine="1948"/>
        <w:spacing w:after="0" w:line="287" w:lineRule="auto"/>
        <w:tabs>
          <w:tab w:leader="none" w:pos="217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Each installment of the payments and benefits due under Sections 4.1 or 4.2 that is not described in Section 4.7(c)(i), above, and that would, absent this subsection, be paid within the six-month period following the separation from service of the Executive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preceding provisions of this sentence shall not apply to any installment of payments and benefits if and to the maximum 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his taxable year in which the separation from service occurs.</w:t>
      </w:r>
    </w:p>
    <w:p>
      <w:pPr>
        <w:spacing w:after="0" w:line="122" w:lineRule="exact"/>
        <w:rPr>
          <w:rFonts w:ascii="Arial" w:cs="Arial" w:eastAsia="Arial" w:hAnsi="Arial"/>
          <w:sz w:val="16"/>
          <w:szCs w:val="16"/>
          <w:color w:val="auto"/>
        </w:rPr>
      </w:pPr>
    </w:p>
    <w:p>
      <w:pPr>
        <w:ind w:left="-20" w:right="60" w:firstLine="1492"/>
        <w:spacing w:after="0" w:line="306" w:lineRule="auto"/>
        <w:tabs>
          <w:tab w:leader="none" w:pos="171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determination of whether and when a separation from service from the Company has occurred shall be made and in a manner consistent with and based on the presumptions set forth in, Treasury Regulation Section 1.409A-1(h). Solely for purposes of this Section 4.7(d), “Company” shall include all persons with whom the Company would be considered a single employer as determined under Treasury Regulation Section 1.409A-1(h)(3).</w:t>
      </w:r>
    </w:p>
    <w:p>
      <w:pPr>
        <w:spacing w:after="0" w:line="106" w:lineRule="exact"/>
        <w:rPr>
          <w:rFonts w:ascii="Arial" w:cs="Arial" w:eastAsia="Arial" w:hAnsi="Arial"/>
          <w:sz w:val="16"/>
          <w:szCs w:val="16"/>
          <w:color w:val="auto"/>
        </w:rPr>
      </w:pPr>
    </w:p>
    <w:p>
      <w:pPr>
        <w:ind w:left="-20" w:right="20" w:firstLine="1492"/>
        <w:spacing w:after="0" w:line="291" w:lineRule="auto"/>
        <w:tabs>
          <w:tab w:leader="none" w:pos="170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33" w:name="page134"/>
    <w:bookmarkEnd w:id="133"/>
    <w:p>
      <w:pPr>
        <w:ind w:right="240" w:firstLine="1492"/>
        <w:spacing w:after="0" w:line="259" w:lineRule="auto"/>
        <w:tabs>
          <w:tab w:leader="none" w:pos="1703" w:val="left"/>
        </w:tabs>
        <w:numPr>
          <w:ilvl w:val="1"/>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0" w:lineRule="exact"/>
        <w:rPr>
          <w:rFonts w:ascii="Arial" w:cs="Arial" w:eastAsia="Arial" w:hAnsi="Arial"/>
          <w:sz w:val="18"/>
          <w:szCs w:val="18"/>
          <w:color w:val="auto"/>
        </w:rPr>
      </w:pPr>
    </w:p>
    <w:p>
      <w:pPr>
        <w:ind w:firstLine="464"/>
        <w:spacing w:after="0" w:line="255" w:lineRule="auto"/>
        <w:tabs>
          <w:tab w:leader="none" w:pos="63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Settlement of Disputes; Arbitration</w:t>
      </w:r>
      <w:r>
        <w:rPr>
          <w:rFonts w:ascii="Arial" w:cs="Arial" w:eastAsia="Arial" w:hAnsi="Arial"/>
          <w:sz w:val="18"/>
          <w:szCs w:val="18"/>
          <w:color w:val="auto"/>
        </w:rPr>
        <w:t>. All claims by the Executive for benefits under this Agreement shall be directed to the Board and shall be in writing. Any denial by the Board of a claim for benefits under this Agreement shall be delivered to the Executive in writing and shall set forth the reasons for the denial and the provisions of this Agreement relied upon. Any further dispute or controversy arising under or in connection with this Agreement shall be settled exclusively by arbitration in Boston, Massachusetts, in accordance with the rules of the American Arbitration Association then in effect. Judgment may be entered on the arbitrator’s award in any court having jurisdiction.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the Company and its successors and assigns.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143"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Agreement, the Executive’s employment with the Company shall not be deemed to have terminated solely as a result of the Executive continuing to be employed by a wholly-owned subsidiary of the Company.</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which shall remain in full force and effect.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34" w:name="page135"/>
    <w:bookmarkEnd w:id="134"/>
    <w:p>
      <w:pPr>
        <w:ind w:right="4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internal laws of the Commonwealth of Massachusetts, without regard to conflicts of law principles.</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Executive at any time of any breach of, or compliance with, any provision of this Agreement to be performed by the Company shall be deemed a waiver of that or any other provision at any subsequent time.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both of which together shall constitute one and the same instrument.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federal, state or local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ind w:right="220" w:firstLine="913"/>
        <w:spacing w:after="0" w:line="25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 Notwithstanding the foregoing, the provisions of any stock option agreements between the Company and the Executive (including any terms thereof relating to acceleration of vesting) shall not be superseded by or modified by the terms of this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 written instrument executed by both the Company and the Executive.</w:t>
      </w:r>
    </w:p>
    <w:p>
      <w:pPr>
        <w:spacing w:after="0" w:line="19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Executive’s Acknowledgements</w:t>
      </w:r>
      <w:r>
        <w:rPr>
          <w:rFonts w:ascii="Arial" w:cs="Arial" w:eastAsia="Arial" w:hAnsi="Arial"/>
          <w:sz w:val="16"/>
          <w:szCs w:val="16"/>
          <w:color w:val="auto"/>
        </w:rPr>
        <w:t>. The Executive acknowledges that he: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Morgan, Lewis &amp; Bockius LLP is acting as counsel to the Company in connection with the transactions contemplated by this Agreement, and is not acting as counsel for the Executive.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Executive Severance Agreement as of the day and year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400"/>
        <w:spacing w:after="0"/>
        <w:tabs>
          <w:tab w:leader="none" w:pos="72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 Daniel P. McGahn</w:t>
      </w:r>
    </w:p>
    <w:p>
      <w:pPr>
        <w:spacing w:after="0" w:line="15" w:lineRule="exact"/>
        <w:rPr>
          <w:sz w:val="20"/>
          <w:szCs w:val="20"/>
          <w:color w:val="auto"/>
        </w:rPr>
      </w:pPr>
    </w:p>
    <w:tbl>
      <w:tblPr>
        <w:tblLayout w:type="fixed"/>
        <w:tblInd w:w="640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w w:val="91"/>
              </w:rPr>
              <w:t>Print name:</w:t>
            </w:r>
          </w:p>
        </w:tc>
        <w:tc>
          <w:tcPr>
            <w:tcW w:w="16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Daniel P. McGahn</w:t>
            </w: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w w:val="97"/>
              </w:rPr>
              <w:t>EXECUTIVE</w:t>
            </w:r>
          </w:p>
        </w:tc>
        <w:tc>
          <w:tcPr>
            <w:tcW w:w="3540" w:type="dxa"/>
            <w:vAlign w:val="bottom"/>
          </w:tcPr>
          <w:p>
            <w:pPr>
              <w:spacing w:after="0"/>
              <w:rPr>
                <w:sz w:val="24"/>
                <w:szCs w:val="24"/>
                <w:color w:val="auto"/>
              </w:rPr>
            </w:pPr>
          </w:p>
        </w:tc>
      </w:tr>
      <w:tr>
        <w:trPr>
          <w:trHeight w:val="433"/>
        </w:trPr>
        <w:tc>
          <w:tcPr>
            <w:tcW w:w="4560" w:type="dxa"/>
            <w:vAlign w:val="bottom"/>
            <w:gridSpan w:val="3"/>
          </w:tcPr>
          <w:p>
            <w:pPr>
              <w:spacing w:after="0"/>
              <w:rPr>
                <w:sz w:val="20"/>
                <w:szCs w:val="20"/>
                <w:color w:val="auto"/>
              </w:rPr>
            </w:pPr>
            <w:r>
              <w:rPr>
                <w:rFonts w:ascii="Arial" w:cs="Arial" w:eastAsia="Arial" w:hAnsi="Arial"/>
                <w:sz w:val="18"/>
                <w:szCs w:val="18"/>
                <w:color w:val="auto"/>
              </w:rPr>
              <w:t>Signature:  /s/ James F. Maguire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w w:val="91"/>
              </w:rPr>
              <w:t>Print name:</w:t>
            </w:r>
          </w:p>
        </w:tc>
        <w:tc>
          <w:tcPr>
            <w:tcW w:w="16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James F. Maguire</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American Superconductor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64 Jackson Road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Devens, MA 01434-4020</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payment to me of the severance benefits pursuant to Section 4.1(a), 4.2(a) or 4.2(b) of my Executive Severance Agreement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 (the “Company”) dated January 30, 2012 (the “Agreement”), I hereby agree as follows:</w:t>
      </w:r>
    </w:p>
    <w:p>
      <w:pPr>
        <w:spacing w:after="0" w:line="165" w:lineRule="exact"/>
        <w:rPr>
          <w:sz w:val="20"/>
          <w:szCs w:val="20"/>
          <w:color w:val="auto"/>
        </w:rPr>
      </w:pPr>
    </w:p>
    <w:p>
      <w:pPr>
        <w:ind w:right="60" w:firstLine="8"/>
        <w:spacing w:after="0" w:line="305" w:lineRule="auto"/>
        <w:tabs>
          <w:tab w:leader="none" w:pos="176"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 on behalf of myself and my representatives, agents, estate, heirs, successors and assigns, hereby irrevocably and unconditionally release, remise and discharge the Company, its officers, directors, stockholders, affiliates (within the meaning of the Securities Act of 1933), attorneys, agents and employees, and their respective predecessors, successors and assigns (collectively, the “Company Releasees”), from any and all actions or causes of action, suits, claims, complaints, liabilities, contracts, torts, debts, damages, controversies, rights and demands, whether existing or contingent, known or unknown, arising up to and through the date of this Release out of my employment, or the termination of my employment, with the Company, including, but not limited to, all employment discrimination claims under the Age Discrimination in Employment Act, 29 U.S.C. §621 et seq., Title VII of the Civil Rights Act of 1964, 42 U.S.C. § 2000e et seq., the Americans With Disabilities Act of 1990, 42 U.S.C. § 12101 et seq., the Family and Medical Leave Act, 29 U.S.C. § 2601 et seq., the Worker Adjustment and Retraining Notification Act (“WARN”), 29 U.S.C. § 2101 et seq., the Massachusetts Fair Employment Practices Act, M.G.L. c.151B, § 1 et seq., the Massachusetts Civil Rights Act, M.G.L. c.12, §§ 11H and 11I, the Massachusetts Equal Rights Act, M.G.L. c.93, § 102 and M.G.L. c.214, § 1C, the Massachusetts Labor and Industries Act, M.G.L. c.149, § 1 et seq., and the Massachusetts Privacy Act, M.G.L. c.214, § 1B, all as amended, and all claims arising out of the Fair Credit Reporting Act, 15 U.S.C. § 1681 et seq. and the Employee Retirement Income Security Act of 1974 (“ERISA”), 29 U.S.C. § 1001 et seq., all as amended; and all claims to any non-vested ownership interest in the Company, contractual or otherwise, including, but not limited to, claims to stock or stock options. Notwithstanding the foregoing, (a) nothing in this Release prevents me from filing, cooperating with, or participating in any proceeding before the EEOC or a state Fair Employment Practices Agency (except that I acknowledge that I may not recover any monetary benefits in connection with any such claim, charge or proceeding), (b) this Release does not extend to any rights I have that arise after the date hereof under the Agreement and (c) this Release does not extend to any rights I may have to indemnification as an officer or director of the Company under the provisions of the Company’s By-laws or applicable law.</w:t>
      </w:r>
    </w:p>
    <w:p>
      <w:pPr>
        <w:spacing w:after="0" w:line="331" w:lineRule="exact"/>
        <w:rPr>
          <w:rFonts w:ascii="Arial" w:cs="Arial" w:eastAsia="Arial" w:hAnsi="Arial"/>
          <w:sz w:val="15"/>
          <w:szCs w:val="15"/>
          <w:color w:val="auto"/>
        </w:rPr>
      </w:pPr>
    </w:p>
    <w:p>
      <w:pPr>
        <w:ind w:right="100" w:firstLine="8"/>
        <w:spacing w:after="0" w:line="268" w:lineRule="auto"/>
        <w:tabs>
          <w:tab w:leader="none" w:pos="17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been advised by the Company to consult with counsel before signing this Release, and have been given the opportunity to consult with my own counsel prior to signing this Release.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been given up to twenty-one (21) days from the receipt of this Release to consider whether to execute this Release.</w:t>
      </w:r>
    </w:p>
    <w:p>
      <w:pPr>
        <w:spacing w:after="0" w:line="171" w:lineRule="exact"/>
        <w:rPr>
          <w:rFonts w:ascii="Arial" w:cs="Arial" w:eastAsia="Arial" w:hAnsi="Arial"/>
          <w:sz w:val="18"/>
          <w:szCs w:val="18"/>
          <w:color w:val="auto"/>
        </w:rPr>
      </w:pPr>
    </w:p>
    <w:p>
      <w:pPr>
        <w:ind w:right="100" w:firstLine="8"/>
        <w:spacing w:after="0" w:line="259" w:lineRule="auto"/>
        <w:tabs>
          <w:tab w:leader="none" w:pos="17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been advised that even after I sign this Release, I may revoke it within seven (7) days of the date of my signing by delivering a signed revocation notice to the Secretary of the Company. Delivery by ordinary mail will effectively revoke my assent to this Release if it is postmarked no later than seven days after I sign this Release.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37" w:name="page138"/>
    <w:bookmarkEnd w:id="137"/>
    <w:p>
      <w:pPr>
        <w:ind w:left="172" w:hanging="172"/>
        <w:spacing w:after="0"/>
        <w:tabs>
          <w:tab w:leader="none" w:pos="172"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shall not become effective and in force until eight days after I sign, provided I have not timely revoked my acceptance.</w:t>
      </w:r>
    </w:p>
    <w:p>
      <w:pPr>
        <w:spacing w:after="0" w:line="171" w:lineRule="exact"/>
        <w:rPr>
          <w:rFonts w:ascii="Arial" w:cs="Arial" w:eastAsia="Arial" w:hAnsi="Arial"/>
          <w:sz w:val="18"/>
          <w:szCs w:val="18"/>
          <w:color w:val="auto"/>
        </w:rPr>
      </w:pPr>
    </w:p>
    <w:p>
      <w:pPr>
        <w:ind w:left="172" w:hanging="172"/>
        <w:spacing w:after="0"/>
        <w:tabs>
          <w:tab w:leader="none" w:pos="17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 acknowledge and reaffirm my obligations under the American Superconductor Corporation Employee Nondisclosure and Developments Agreement.</w:t>
      </w:r>
    </w:p>
    <w:p>
      <w:pPr>
        <w:spacing w:after="0" w:line="194" w:lineRule="exact"/>
        <w:rPr>
          <w:rFonts w:ascii="Arial" w:cs="Arial" w:eastAsia="Arial" w:hAnsi="Arial"/>
          <w:sz w:val="16"/>
          <w:szCs w:val="16"/>
          <w:color w:val="auto"/>
        </w:rPr>
      </w:pPr>
    </w:p>
    <w:p>
      <w:pPr>
        <w:ind w:left="-8" w:firstLine="8"/>
        <w:spacing w:after="0" w:line="268" w:lineRule="auto"/>
        <w:tabs>
          <w:tab w:leader="none" w:pos="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representation, promise or inducement has been offered or made to induce me to enter into this Release, and I am competent to execute this Release and accept full responsibility therefor.</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10795</wp:posOffset>
            </wp:positionV>
            <wp:extent cx="25730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10795</wp:posOffset>
            </wp:positionV>
            <wp:extent cx="24098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4"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10795</wp:posOffset>
            </wp:positionV>
            <wp:extent cx="2040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65"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12"/>
          </w:cols>
          <w:pgMar w:left="248" w:top="280" w:right="5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Executive Severance Agreement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First Amendment to Executive Severance Agreement (“</w:t>
      </w:r>
      <w:r>
        <w:rPr>
          <w:rFonts w:ascii="Arial" w:cs="Arial" w:eastAsia="Arial" w:hAnsi="Arial"/>
          <w:sz w:val="18"/>
          <w:szCs w:val="18"/>
          <w:u w:val="single" w:color="auto"/>
          <w:color w:val="auto"/>
        </w:rPr>
        <w:t>Amendment</w:t>
      </w:r>
      <w:r>
        <w:rPr>
          <w:rFonts w:ascii="Arial" w:cs="Arial" w:eastAsia="Arial" w:hAnsi="Arial"/>
          <w:sz w:val="18"/>
          <w:szCs w:val="18"/>
          <w:color w:val="auto"/>
        </w:rPr>
        <w:t>”) by and between American Superconductor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James F. Maguire (the “</w:t>
      </w:r>
      <w:r>
        <w:rPr>
          <w:rFonts w:ascii="Arial" w:cs="Arial" w:eastAsia="Arial" w:hAnsi="Arial"/>
          <w:sz w:val="18"/>
          <w:szCs w:val="18"/>
          <w:u w:val="single" w:color="auto"/>
          <w:color w:val="auto"/>
        </w:rPr>
        <w:t>Executive</w:t>
      </w:r>
      <w:r>
        <w:rPr>
          <w:rFonts w:ascii="Arial" w:cs="Arial" w:eastAsia="Arial" w:hAnsi="Arial"/>
          <w:sz w:val="18"/>
          <w:szCs w:val="18"/>
          <w:color w:val="auto"/>
        </w:rPr>
        <w:t>”) is made as of June 29,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Executive are parties to an Executive Severance Agreement, dated as of January 30, 2012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WHEREAS, the Company promoted the Executive to Executive Vice President, Projects, Engineering &amp; Grid Segment and adjusted the Executive’s severance payment period from 6 months to 12 months in connection therewith;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to effectuate such adjustment to the Executive’s severance payment period;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herein and not otherwise defined herein shall have the meanings ascribed to them in the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contained herein, the Company and the Executive agree as follows:</w:t>
      </w:r>
    </w:p>
    <w:p>
      <w:pPr>
        <w:spacing w:after="0" w:line="171" w:lineRule="exact"/>
        <w:rPr>
          <w:sz w:val="20"/>
          <w:szCs w:val="20"/>
          <w:color w:val="auto"/>
        </w:rPr>
      </w:pPr>
    </w:p>
    <w:p>
      <w:pPr>
        <w:ind w:right="220" w:firstLine="464"/>
        <w:spacing w:after="0" w:line="268" w:lineRule="auto"/>
        <w:tabs>
          <w:tab w:leader="none" w:pos="63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Effective as of May 9, 2012, the definition of “Severance Period” set forth in Section 1.6 of the Agreement is hereby amended by deleting said section and by substituting therefor: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Period</w:t>
      </w:r>
      <w:r>
        <w:rPr>
          <w:rFonts w:ascii="Arial" w:cs="Arial" w:eastAsia="Arial" w:hAnsi="Arial"/>
          <w:sz w:val="16"/>
          <w:szCs w:val="16"/>
          <w:color w:val="auto"/>
        </w:rPr>
        <w:t>’ shall mean the period of 12 months immediately following the Date of Termination (as defined in Section 3.2(a) below).”</w:t>
      </w:r>
    </w:p>
    <w:p>
      <w:pPr>
        <w:spacing w:after="0" w:line="194" w:lineRule="exact"/>
        <w:rPr>
          <w:sz w:val="20"/>
          <w:szCs w:val="20"/>
          <w:color w:val="auto"/>
        </w:rPr>
      </w:pPr>
    </w:p>
    <w:p>
      <w:pPr>
        <w:ind w:right="400" w:firstLine="464"/>
        <w:spacing w:after="0" w:line="332" w:lineRule="auto"/>
        <w:tabs>
          <w:tab w:leader="none" w:pos="63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All other provisions of the Agreement shall remain in full force and effect according to their respective terms, and nothing contained herein shall be deemed a waiver of any right or abrogation of any obligation otherwise existing under the Agreement except to the extent specifically provided for herein.</w:t>
      </w:r>
    </w:p>
    <w:p>
      <w:pPr>
        <w:spacing w:after="0" w:line="85" w:lineRule="exact"/>
        <w:rPr>
          <w:rFonts w:ascii="Arial" w:cs="Arial" w:eastAsia="Arial" w:hAnsi="Arial"/>
          <w:sz w:val="16"/>
          <w:szCs w:val="16"/>
          <w:color w:val="auto"/>
        </w:rPr>
      </w:pPr>
    </w:p>
    <w:p>
      <w:pPr>
        <w:ind w:right="800" w:firstLine="464"/>
        <w:spacing w:after="0" w:line="268" w:lineRule="auto"/>
        <w:tabs>
          <w:tab w:leader="none" w:pos="6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validity, interpretation, construction and performance of this Amendment shall be governed by the internal laws of the Commonwealth of Massachusetts, without regard to conflicts of law principles.</w:t>
      </w:r>
    </w:p>
    <w:p>
      <w:pPr>
        <w:spacing w:after="0" w:line="131"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to be an original but both of which together shall constitute one and the same instrument.</w:t>
      </w:r>
    </w:p>
    <w:p>
      <w:pPr>
        <w:sectPr>
          <w:pgSz w:w="11900" w:h="16838" w:orient="portrait"/>
          <w:cols w:equalWidth="0" w:num="1">
            <w:col w:w="11420"/>
          </w:cols>
          <w:pgMar w:left="240" w:top="125" w:right="239" w:bottom="1440" w:gutter="0" w:footer="0" w:header="0"/>
        </w:sectPr>
      </w:pPr>
    </w:p>
    <w:bookmarkStart w:id="139" w:name="page140"/>
    <w:bookmarkEnd w:id="139"/>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First Amendment to Executive Severance Agreement as of the day and year first set forth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tabs>
          <w:tab w:leader="none" w:pos="7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 Daniel P. McGahn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17"/>
        </w:trPr>
        <w:tc>
          <w:tcPr>
            <w:tcW w:w="880" w:type="dxa"/>
            <w:vAlign w:val="bottom"/>
          </w:tcPr>
          <w:p>
            <w:pPr>
              <w:spacing w:after="0"/>
              <w:rPr>
                <w:sz w:val="20"/>
                <w:szCs w:val="20"/>
                <w:color w:val="auto"/>
              </w:rPr>
            </w:pPr>
            <w:r>
              <w:rPr>
                <w:rFonts w:ascii="Arial" w:cs="Arial" w:eastAsia="Arial" w:hAnsi="Arial"/>
                <w:sz w:val="18"/>
                <w:szCs w:val="18"/>
                <w:color w:val="auto"/>
                <w:w w:val="93"/>
              </w:rPr>
              <w:t>Print name:</w:t>
            </w:r>
          </w:p>
        </w:tc>
        <w:tc>
          <w:tcPr>
            <w:tcW w:w="16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Daniel P. McGahn</w:t>
            </w:r>
          </w:p>
        </w:tc>
      </w:tr>
      <w:tr>
        <w:trPr>
          <w:trHeight w:val="222"/>
        </w:trPr>
        <w:tc>
          <w:tcPr>
            <w:tcW w:w="10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w w:val="99"/>
              </w:rPr>
              <w:t>EXECUTIVE</w:t>
            </w:r>
          </w:p>
        </w:tc>
        <w:tc>
          <w:tcPr>
            <w:tcW w:w="3520" w:type="dxa"/>
            <w:vAlign w:val="bottom"/>
          </w:tcPr>
          <w:p>
            <w:pPr>
              <w:spacing w:after="0"/>
              <w:rPr>
                <w:sz w:val="24"/>
                <w:szCs w:val="24"/>
                <w:color w:val="auto"/>
              </w:rPr>
            </w:pPr>
          </w:p>
        </w:tc>
      </w:tr>
      <w:tr>
        <w:trPr>
          <w:trHeight w:val="433"/>
        </w:trPr>
        <w:tc>
          <w:tcPr>
            <w:tcW w:w="4560" w:type="dxa"/>
            <w:vAlign w:val="bottom"/>
            <w:gridSpan w:val="3"/>
          </w:tcPr>
          <w:p>
            <w:pPr>
              <w:spacing w:after="0"/>
              <w:rPr>
                <w:sz w:val="20"/>
                <w:szCs w:val="20"/>
                <w:color w:val="auto"/>
              </w:rPr>
            </w:pPr>
            <w:r>
              <w:rPr>
                <w:rFonts w:ascii="Arial" w:cs="Arial" w:eastAsia="Arial" w:hAnsi="Arial"/>
                <w:sz w:val="18"/>
                <w:szCs w:val="18"/>
                <w:color w:val="auto"/>
              </w:rPr>
              <w:t>Signature:  /s/ James F. Maguire</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w w:val="93"/>
              </w:rPr>
              <w:t>Print name:</w:t>
            </w:r>
          </w:p>
        </w:tc>
        <w:tc>
          <w:tcPr>
            <w:tcW w:w="16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James F. Maguire</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90"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6100" w:val="left"/>
          <w:tab w:leader="none" w:pos="806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ANIEL</w:t>
      </w:r>
      <w:r>
        <w:rPr>
          <w:rFonts w:ascii="Arial" w:cs="Arial" w:eastAsia="Arial" w:hAnsi="Arial"/>
          <w:sz w:val="16"/>
          <w:szCs w:val="16"/>
          <w:b w:val="1"/>
          <w:bCs w:val="1"/>
          <w:color w:val="auto"/>
        </w:rPr>
        <w:t xml:space="preserve"> P. M</w:t>
      </w:r>
      <w:r>
        <w:rPr>
          <w:rFonts w:ascii="Arial" w:cs="Arial" w:eastAsia="Arial" w:hAnsi="Arial"/>
          <w:sz w:val="13"/>
          <w:szCs w:val="13"/>
          <w:b w:val="1"/>
          <w:bCs w:val="1"/>
          <w:color w:val="auto"/>
        </w:rPr>
        <w:t>C</w:t>
      </w:r>
      <w:r>
        <w:rPr>
          <w:rFonts w:ascii="Arial" w:cs="Arial" w:eastAsia="Arial" w:hAnsi="Arial"/>
          <w:sz w:val="16"/>
          <w:szCs w:val="16"/>
          <w:b w:val="1"/>
          <w:bCs w:val="1"/>
          <w:color w:val="auto"/>
        </w:rPr>
        <w:t>G</w:t>
      </w:r>
      <w:r>
        <w:rPr>
          <w:rFonts w:ascii="Arial" w:cs="Arial" w:eastAsia="Arial" w:hAnsi="Arial"/>
          <w:sz w:val="13"/>
          <w:szCs w:val="13"/>
          <w:b w:val="1"/>
          <w:bCs w:val="1"/>
          <w:color w:val="auto"/>
        </w:rPr>
        <w:t>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Daniel P. McGahn</w:t>
      </w:r>
    </w:p>
    <w:p>
      <w:pPr>
        <w:spacing w:after="0" w:line="15"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6100" w:val="left"/>
          <w:tab w:leader="none" w:pos="820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connection with the Quarterly Report on Form 10-Q of American Superconductor Corporation (the “Company”) for the period ended June 30, 2012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88" w:lineRule="exact"/>
        <w:rPr>
          <w:sz w:val="20"/>
          <w:szCs w:val="20"/>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6100" w:val="left"/>
          <w:tab w:leader="none" w:pos="806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ANIEL</w:t>
      </w:r>
      <w:r>
        <w:rPr>
          <w:rFonts w:ascii="Arial" w:cs="Arial" w:eastAsia="Arial" w:hAnsi="Arial"/>
          <w:sz w:val="16"/>
          <w:szCs w:val="16"/>
          <w:b w:val="1"/>
          <w:bCs w:val="1"/>
          <w:color w:val="auto"/>
        </w:rPr>
        <w:t xml:space="preserve"> P. M</w:t>
      </w:r>
      <w:r>
        <w:rPr>
          <w:rFonts w:ascii="Arial" w:cs="Arial" w:eastAsia="Arial" w:hAnsi="Arial"/>
          <w:sz w:val="13"/>
          <w:szCs w:val="13"/>
          <w:b w:val="1"/>
          <w:bCs w:val="1"/>
          <w:color w:val="auto"/>
        </w:rPr>
        <w:t>C</w:t>
      </w:r>
      <w:r>
        <w:rPr>
          <w:rFonts w:ascii="Arial" w:cs="Arial" w:eastAsia="Arial" w:hAnsi="Arial"/>
          <w:sz w:val="16"/>
          <w:szCs w:val="16"/>
          <w:b w:val="1"/>
          <w:bCs w:val="1"/>
          <w:color w:val="auto"/>
        </w:rPr>
        <w:t>G</w:t>
      </w:r>
      <w:r>
        <w:rPr>
          <w:rFonts w:ascii="Arial" w:cs="Arial" w:eastAsia="Arial" w:hAnsi="Arial"/>
          <w:sz w:val="13"/>
          <w:szCs w:val="13"/>
          <w:b w:val="1"/>
          <w:bCs w:val="1"/>
          <w:color w:val="auto"/>
        </w:rPr>
        <w:t>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Daniel P. McGahn</w:t>
      </w:r>
    </w:p>
    <w:p>
      <w:pPr>
        <w:spacing w:after="0" w:line="15"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June 30, 2012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6100" w:val="left"/>
          <w:tab w:leader="none" w:pos="8200" w:val="left"/>
        </w:tabs>
        <w:rPr>
          <w:sz w:val="20"/>
          <w:szCs w:val="20"/>
          <w:color w:val="auto"/>
        </w:rPr>
      </w:pPr>
      <w:r>
        <w:rPr>
          <w:rFonts w:ascii="Arial" w:cs="Arial" w:eastAsia="Arial" w:hAnsi="Arial"/>
          <w:sz w:val="18"/>
          <w:szCs w:val="18"/>
          <w:color w:val="auto"/>
        </w:rPr>
        <w:t>Date: August 3, 2012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1."/>
      <w:numFmt w:val="decimal"/>
      <w:start w:val="1"/>
    </w:lvl>
  </w:abstractNum>
  <w:abstractNum w:abstractNumId="3">
    <w:nsid w:val="68EBC550"/>
    <w:multiLevelType w:val="hybridMultilevel"/>
    <w:lvl w:ilvl="0">
      <w:lvlJc w:val="left"/>
      <w:lvlText w:val="%1."/>
      <w:numFmt w:val="decimal"/>
      <w:start w:val="2"/>
    </w:lvl>
  </w:abstractNum>
  <w:abstractNum w:abstractNumId="4">
    <w:nsid w:val="2DF6D648"/>
    <w:multiLevelType w:val="hybridMultilevel"/>
    <w:lvl w:ilvl="0">
      <w:lvlJc w:val="left"/>
      <w:lvlText w:val="%1."/>
      <w:numFmt w:val="decimal"/>
      <w:start w:val="3"/>
    </w:lvl>
  </w:abstractNum>
  <w:abstractNum w:abstractNumId="5">
    <w:nsid w:val="46B7D447"/>
    <w:multiLevelType w:val="hybridMultilevel"/>
    <w:lvl w:ilvl="0">
      <w:lvlJc w:val="left"/>
      <w:lvlText w:val="%1."/>
      <w:numFmt w:val="decimal"/>
      <w:start w:val="4"/>
    </w:lvl>
  </w:abstractNum>
  <w:abstractNum w:abstractNumId="6">
    <w:nsid w:val="4A2AC315"/>
    <w:multiLevelType w:val="hybridMultilevel"/>
    <w:lvl w:ilvl="0">
      <w:lvlJc w:val="left"/>
      <w:lvlText w:val="%1."/>
      <w:numFmt w:val="decimal"/>
      <w:start w:val="5"/>
    </w:lvl>
  </w:abstractNum>
  <w:abstractNum w:abstractNumId="7">
    <w:nsid w:val="39EE015C"/>
    <w:multiLevelType w:val="hybridMultilevel"/>
    <w:lvl w:ilvl="0">
      <w:lvlJc w:val="left"/>
      <w:lvlText w:val="%1."/>
      <w:numFmt w:val="decimal"/>
      <w:start w:val="6"/>
    </w:lvl>
  </w:abstractNum>
  <w:abstractNum w:abstractNumId="8">
    <w:nsid w:val="57FC4FBB"/>
    <w:multiLevelType w:val="hybridMultilevel"/>
    <w:lvl w:ilvl="0">
      <w:lvlJc w:val="left"/>
      <w:lvlText w:val="%1."/>
      <w:numFmt w:val="decimal"/>
      <w:start w:val="7"/>
    </w:lvl>
  </w:abstractNum>
  <w:abstractNum w:abstractNumId="9">
    <w:nsid w:val="CC1016F"/>
    <w:multiLevelType w:val="hybridMultilevel"/>
    <w:lvl w:ilvl="0">
      <w:lvlJc w:val="left"/>
      <w:lvlText w:val="%1."/>
      <w:numFmt w:val="decimal"/>
      <w:start w:val="8"/>
    </w:lvl>
  </w:abstractNum>
  <w:abstractNum w:abstractNumId="10">
    <w:nsid w:val="43F18422"/>
    <w:multiLevelType w:val="hybridMultilevel"/>
    <w:lvl w:ilvl="0">
      <w:lvlJc w:val="left"/>
      <w:lvlText w:val="%1."/>
      <w:numFmt w:val="decimal"/>
      <w:start w:val="9"/>
    </w:lvl>
  </w:abstractNum>
  <w:abstractNum w:abstractNumId="11">
    <w:nsid w:val="60EF0119"/>
    <w:multiLevelType w:val="hybridMultilevel"/>
    <w:lvl w:ilvl="0">
      <w:lvlJc w:val="left"/>
      <w:lvlText w:val="%1."/>
      <w:numFmt w:val="decimal"/>
      <w:start w:val="10"/>
    </w:lvl>
  </w:abstractNum>
  <w:abstractNum w:abstractNumId="12">
    <w:nsid w:val="26F324BA"/>
    <w:multiLevelType w:val="hybridMultilevel"/>
    <w:lvl w:ilvl="0">
      <w:lvlJc w:val="left"/>
      <w:lvlText w:val="%1."/>
      <w:numFmt w:val="decimal"/>
      <w:start w:val="11"/>
    </w:lvl>
  </w:abstractNum>
  <w:abstractNum w:abstractNumId="13">
    <w:nsid w:val="7F01579B"/>
    <w:multiLevelType w:val="hybridMultilevel"/>
    <w:lvl w:ilvl="0">
      <w:lvlJc w:val="left"/>
      <w:lvlText w:val="%1."/>
      <w:numFmt w:val="decimal"/>
      <w:start w:val="12"/>
    </w:lvl>
  </w:abstractNum>
  <w:abstractNum w:abstractNumId="14">
    <w:nsid w:val="49DA307D"/>
    <w:multiLevelType w:val="hybridMultilevel"/>
    <w:lvl w:ilvl="0">
      <w:lvlJc w:val="left"/>
      <w:lvlText w:val="%1."/>
      <w:numFmt w:val="decimal"/>
      <w:start w:val="13"/>
    </w:lvl>
  </w:abstractNum>
  <w:abstractNum w:abstractNumId="15">
    <w:nsid w:val="7055A5F5"/>
    <w:multiLevelType w:val="hybridMultilevel"/>
    <w:lvl w:ilvl="0">
      <w:lvlJc w:val="left"/>
      <w:lvlText w:val="%1."/>
      <w:numFmt w:val="decimal"/>
      <w:start w:val="14"/>
    </w:lvl>
  </w:abstractNum>
  <w:abstractNum w:abstractNumId="16">
    <w:nsid w:val="5FB8370B"/>
    <w:multiLevelType w:val="hybridMultilevel"/>
    <w:lvl w:ilvl="0">
      <w:lvlJc w:val="left"/>
      <w:lvlText w:val="%1."/>
      <w:numFmt w:val="decimal"/>
      <w:start w:val="15"/>
    </w:lvl>
  </w:abstractNum>
  <w:abstractNum w:abstractNumId="17">
    <w:nsid w:val="50801EE1"/>
    <w:multiLevelType w:val="hybridMultilevel"/>
    <w:lvl w:ilvl="0">
      <w:lvlJc w:val="left"/>
      <w:lvlText w:val="%1."/>
      <w:numFmt w:val="decimal"/>
      <w:start w:val="16"/>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1)"/>
      <w:numFmt w:val="decimal"/>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1)"/>
      <w:numFmt w:val="lowerRoman"/>
      <w:start w:val="3"/>
    </w:lvl>
  </w:abstractNum>
  <w:abstractNum w:abstractNumId="23">
    <w:nsid w:val="6A5F7029"/>
    <w:multiLevelType w:val="hybridMultilevel"/>
    <w:lvl w:ilvl="0">
      <w:lvlJc w:val="left"/>
      <w:lvlText w:val="%1."/>
      <w:numFmt w:val="decimal"/>
      <w:start w:val="1"/>
    </w:lvl>
    <w:lvl w:ilvl="1">
      <w:lvlJc w:val="left"/>
      <w:lvlText w:val="(%2)"/>
      <w:numFmt w:val="lowerLetter"/>
      <w:start w:val="1"/>
    </w:lvl>
  </w:abstractNum>
  <w:abstractNum w:abstractNumId="24">
    <w:nsid w:val="7D5E18F8"/>
    <w:multiLevelType w:val="hybridMultilevel"/>
    <w:lvl w:ilvl="0">
      <w:lvlJc w:val="left"/>
      <w:lvlText w:val="(%1)"/>
      <w:numFmt w:val="lowerLetter"/>
      <w:start w:val="2"/>
    </w:lvl>
    <w:lvl w:ilvl="1">
      <w:lvlJc w:val="left"/>
      <w:lvlText w:val="(%2)"/>
      <w:numFmt w:val="lowerRoman"/>
      <w:start w:val="1"/>
    </w:lvl>
  </w:abstractNum>
  <w:abstractNum w:abstractNumId="25">
    <w:nsid w:val="5F3534A4"/>
    <w:multiLevelType w:val="hybridMultilevel"/>
    <w:lvl w:ilvl="0">
      <w:lvlJc w:val="left"/>
      <w:lvlText w:val="%1"/>
      <w:numFmt w:val="decimal"/>
      <w:start w:val="1"/>
    </w:lvl>
    <w:lvl w:ilvl="1">
      <w:lvlJc w:val="left"/>
      <w:lvlText w:val="(%2)"/>
      <w:numFmt w:val="lowerRoman"/>
      <w:start w:val="2"/>
    </w:lvl>
  </w:abstractNum>
  <w:abstractNum w:abstractNumId="26">
    <w:nsid w:val="73A1821B"/>
    <w:multiLevelType w:val="hybridMultilevel"/>
    <w:lvl w:ilvl="0">
      <w:lvlJc w:val="left"/>
      <w:lvlText w:val="(%1)"/>
      <w:numFmt w:val="decimal"/>
      <w:start w:val="3"/>
    </w:lvl>
    <w:lvl w:ilvl="1">
      <w:lvlJc w:val="left"/>
      <w:lvlText w:val="%2"/>
      <w:numFmt w:val="lowerRoman"/>
      <w:start w:val="1"/>
    </w:lvl>
  </w:abstractNum>
  <w:abstractNum w:abstractNumId="27">
    <w:nsid w:val="7DE67713"/>
    <w:multiLevelType w:val="hybridMultilevel"/>
    <w:lvl w:ilvl="0">
      <w:lvlJc w:val="left"/>
      <w:lvlText w:val="(%1)"/>
      <w:numFmt w:val="decimal"/>
      <w:start w:val="3"/>
    </w:lvl>
    <w:lvl w:ilvl="1">
      <w:lvlJc w:val="left"/>
      <w:lvlText w:val="(%2)"/>
      <w:numFmt w:val="lowerRoman"/>
      <w:start w:val="3"/>
    </w:lvl>
  </w:abstractNum>
  <w:abstractNum w:abstractNumId="28">
    <w:nsid w:val="555C55B5"/>
    <w:multiLevelType w:val="hybridMultilevel"/>
    <w:lvl w:ilvl="0">
      <w:lvlJc w:val="left"/>
      <w:lvlText w:val="(%1)"/>
      <w:numFmt w:val="lowerRoman"/>
      <w:start w:val="4"/>
    </w:lvl>
  </w:abstractNum>
  <w:abstractNum w:abstractNumId="29">
    <w:nsid w:val="3FA62ACA"/>
    <w:multiLevelType w:val="hybridMultilevel"/>
    <w:lvl w:ilvl="0">
      <w:lvlJc w:val="left"/>
      <w:lvlText w:val="(%1)"/>
      <w:numFmt w:val="lowerLetter"/>
      <w:start w:val="4"/>
    </w:lvl>
    <w:lvl w:ilvl="1">
      <w:lvlJc w:val="left"/>
      <w:lvlText w:val="(%2)"/>
      <w:numFmt w:val="lowerRoman"/>
      <w:start w:val="1"/>
    </w:lvl>
  </w:abstractNum>
  <w:abstractNum w:abstractNumId="30">
    <w:nsid w:val="14FCE74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1">
    <w:nsid w:val="6A3DD3E8"/>
    <w:multiLevelType w:val="hybridMultilevel"/>
    <w:lvl w:ilvl="0">
      <w:lvlJc w:val="left"/>
      <w:lvlText w:val="(%1)"/>
      <w:numFmt w:val="lowerRoman"/>
      <w:start w:val="2"/>
    </w:lvl>
  </w:abstractNum>
  <w:abstractNum w:abstractNumId="32">
    <w:nsid w:val="71C91298"/>
    <w:multiLevelType w:val="hybridMultilevel"/>
    <w:lvl w:ilvl="0">
      <w:lvlJc w:val="left"/>
      <w:lvlText w:val="%1"/>
      <w:numFmt w:val="decimal"/>
      <w:start w:val="1"/>
    </w:lvl>
    <w:lvl w:ilvl="1">
      <w:lvlJc w:val="left"/>
      <w:lvlText w:val="(%2)"/>
      <w:numFmt w:val="lowerRoman"/>
      <w:start w:val="8"/>
    </w:lvl>
  </w:abstractNum>
  <w:abstractNum w:abstractNumId="33">
    <w:nsid w:val="9DAF632"/>
    <w:multiLevelType w:val="hybridMultilevel"/>
    <w:lvl w:ilvl="0">
      <w:lvlJc w:val="left"/>
      <w:lvlText w:val="(%1)"/>
      <w:numFmt w:val="decimal"/>
      <w:start w:val="30"/>
    </w:lvl>
    <w:lvl w:ilvl="1">
      <w:lvlJc w:val="left"/>
      <w:lvlText w:val="(%2)"/>
      <w:numFmt w:val="lowerRoman"/>
      <w:start w:val="10"/>
    </w:lvl>
  </w:abstractNum>
  <w:abstractNum w:abstractNumId="34">
    <w:nsid w:val="5329993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1"/>
    </w:lvl>
  </w:abstractNum>
  <w:abstractNum w:abstractNumId="35">
    <w:nsid w:val="1FBFE8E0"/>
    <w:multiLevelType w:val="hybridMultilevel"/>
    <w:lvl w:ilvl="0">
      <w:lvlJc w:val="left"/>
      <w:lvlText w:val="%1"/>
      <w:numFmt w:val="lowerLetter"/>
      <w:start w:val="1"/>
    </w:lvl>
    <w:lvl w:ilvl="1">
      <w:lvlJc w:val="left"/>
      <w:lvlText w:val="(%2)"/>
      <w:numFmt w:val="lowerRoman"/>
      <w:start w:val="11"/>
    </w:lvl>
    <w:lvl w:ilvl="2">
      <w:lvlJc w:val="left"/>
      <w:lvlText w:val="(%3)"/>
      <w:numFmt w:val="lowerRoman"/>
      <w:start w:val="12"/>
    </w:lvl>
  </w:abstractNum>
  <w:abstractNum w:abstractNumId="36">
    <w:nsid w:val="5092CA7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7">
    <w:nsid w:val="1D545C4D"/>
    <w:multiLevelType w:val="hybridMultilevel"/>
    <w:lvl w:ilvl="0">
      <w:lvlJc w:val="left"/>
      <w:lvlText w:val="%1."/>
      <w:numFmt w:val="decimal"/>
      <w:start w:val="5"/>
    </w:lvl>
    <w:lvl w:ilvl="1">
      <w:lvlJc w:val="left"/>
      <w:lvlText w:val="(%2)"/>
      <w:numFmt w:val="lowerLetter"/>
      <w:start w:val="1"/>
    </w:lvl>
  </w:abstractNum>
  <w:abstractNum w:abstractNumId="38">
    <w:nsid w:val="59ADEA3D"/>
    <w:multiLevelType w:val="hybridMultilevel"/>
    <w:lvl w:ilvl="0">
      <w:lvlJc w:val="left"/>
      <w:lvlText w:val="%1"/>
      <w:numFmt w:val="upperLetter"/>
      <w:start w:val="1"/>
    </w:lvl>
    <w:lvl w:ilvl="1">
      <w:lvlJc w:val="left"/>
      <w:lvlText w:val="(%2)"/>
      <w:numFmt w:val="lowerLetter"/>
      <w:start w:val="2"/>
    </w:lvl>
  </w:abstractNum>
  <w:abstractNum w:abstractNumId="39">
    <w:nsid w:val="288F1A34"/>
    <w:multiLevelType w:val="hybridMultilevel"/>
    <w:lvl w:ilvl="0">
      <w:lvlJc w:val="left"/>
      <w:lvlText w:val="(%1)"/>
      <w:numFmt w:val="upperLetter"/>
      <w:start w:val="9"/>
    </w:lvl>
    <w:lvl w:ilvl="1">
      <w:lvlJc w:val="left"/>
      <w:lvlText w:val="%2"/>
      <w:numFmt w:val="lowerLetter"/>
      <w:start w:val="1"/>
    </w:lvl>
  </w:abstractNum>
  <w:abstractNum w:abstractNumId="40">
    <w:nsid w:val="2A155DBC"/>
    <w:multiLevelType w:val="hybridMultilevel"/>
    <w:lvl w:ilvl="0">
      <w:lvlJc w:val="left"/>
      <w:lvlText w:val="%1."/>
      <w:numFmt w:val="decimal"/>
      <w:start w:val="6"/>
    </w:lvl>
    <w:lvl w:ilvl="1">
      <w:lvlJc w:val="left"/>
      <w:lvlText w:val="(%2)"/>
      <w:numFmt w:val="lowerLetter"/>
      <w:start w:val="1"/>
    </w:lvl>
  </w:abstractNum>
  <w:abstractNum w:abstractNumId="41">
    <w:nsid w:val="1D9F6E5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2">
    <w:nsid w:val="97E1B4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3">
    <w:nsid w:val="51088277"/>
    <w:multiLevelType w:val="hybridMultilevel"/>
    <w:lvl w:ilvl="0">
      <w:lvlJc w:val="left"/>
      <w:lvlText w:val="(%1)"/>
      <w:numFmt w:val="lowerRoman"/>
      <w:start w:val="2"/>
    </w:lvl>
  </w:abstractNum>
  <w:abstractNum w:abstractNumId="44">
    <w:nsid w:val="1CA0C5FA"/>
    <w:multiLevelType w:val="hybridMultilevel"/>
    <w:lvl w:ilvl="0">
      <w:lvlJc w:val="left"/>
      <w:lvlText w:val="%1"/>
      <w:numFmt w:val="lowerRoman"/>
      <w:start w:val="1"/>
    </w:lvl>
    <w:lvl w:ilvl="1">
      <w:lvlJc w:val="left"/>
      <w:lvlText w:val="(%2)"/>
      <w:numFmt w:val="lowerRoman"/>
      <w:start w:val="3"/>
    </w:lvl>
  </w:abstractNum>
  <w:abstractNum w:abstractNumId="45">
    <w:nsid w:val="53584BCB"/>
    <w:multiLevelType w:val="hybridMultilevel"/>
    <w:lvl w:ilvl="0">
      <w:lvlJc w:val="left"/>
      <w:lvlText w:val="(%1)"/>
      <w:numFmt w:val="lowerRoman"/>
      <w:start w:val="1"/>
    </w:lvl>
    <w:lvl w:ilvl="1">
      <w:lvlJc w:val="left"/>
      <w:lvlText w:val="(%2)"/>
      <w:numFmt w:val="lowerRoman"/>
      <w:start w:val="4"/>
    </w:lvl>
  </w:abstractNum>
  <w:abstractNum w:abstractNumId="46">
    <w:nsid w:val="415E286C"/>
    <w:multiLevelType w:val="hybridMultilevel"/>
    <w:lvl w:ilvl="0">
      <w:lvlJc w:val="left"/>
      <w:lvlText w:val="%1"/>
      <w:numFmt w:val="lowerLetter"/>
      <w:start w:val="1"/>
    </w:lvl>
    <w:lvl w:ilvl="1">
      <w:lvlJc w:val="left"/>
      <w:lvlText w:val="(%2)"/>
      <w:numFmt w:val="lowerLetter"/>
      <w:start w:val="22"/>
    </w:lvl>
  </w:abstractNum>
  <w:abstractNum w:abstractNumId="47">
    <w:nsid w:val="7C58FD05"/>
    <w:multiLevelType w:val="hybridMultilevel"/>
    <w:lvl w:ilvl="0">
      <w:lvlJc w:val="left"/>
      <w:lvlText w:val="(%1)"/>
      <w:numFmt w:val="lowerLetter"/>
      <w:start w:val="2"/>
    </w:lvl>
    <w:lvl w:ilvl="1">
      <w:lvlJc w:val="left"/>
      <w:lvlText w:val="%2"/>
      <w:numFmt w:val="lowerLetter"/>
      <w:start w:val="1"/>
    </w:lvl>
  </w:abstractNum>
  <w:abstractNum w:abstractNumId="48">
    <w:nsid w:val="23D86AAC"/>
    <w:multiLevelType w:val="hybridMultilevel"/>
    <w:lvl w:ilvl="0">
      <w:lvlJc w:val="left"/>
      <w:lvlText w:val="(%1)"/>
      <w:numFmt w:val="lowerLetter"/>
      <w:start w:val="3"/>
    </w:lvl>
  </w:abstractNum>
  <w:abstractNum w:abstractNumId="49">
    <w:nsid w:val="45E6D486"/>
    <w:multiLevelType w:val="hybridMultilevel"/>
    <w:lvl w:ilvl="0">
      <w:lvlJc w:val="left"/>
      <w:lvlText w:val="%1"/>
      <w:numFmt w:val="decimal"/>
      <w:start w:val="1"/>
    </w:lvl>
    <w:lvl w:ilvl="1">
      <w:lvlJc w:val="left"/>
      <w:lvlText w:val="(%2)"/>
      <w:numFmt w:val="lowerLetter"/>
      <w:start w:val="4"/>
    </w:lvl>
  </w:abstractNum>
  <w:abstractNum w:abstractNumId="50">
    <w:nsid w:val="5C10FE21"/>
    <w:multiLevelType w:val="hybridMultilevel"/>
    <w:lvl w:ilvl="0">
      <w:lvlJc w:val="left"/>
      <w:lvlText w:val="%1."/>
      <w:numFmt w:val="decimal"/>
      <w:start w:val="8"/>
    </w:lvl>
    <w:lvl w:ilvl="1">
      <w:lvlJc w:val="left"/>
      <w:lvlText w:val="(%2)"/>
      <w:numFmt w:val="lowerLetter"/>
      <w:start w:val="1"/>
    </w:lvl>
  </w:abstractNum>
  <w:abstractNum w:abstractNumId="51">
    <w:nsid w:val="E7FFA2B"/>
    <w:multiLevelType w:val="hybridMultilevel"/>
    <w:lvl w:ilvl="0">
      <w:lvlJc w:val="left"/>
      <w:lvlText w:val="(%1)"/>
      <w:numFmt w:val="lowerRoman"/>
      <w:start w:val="4"/>
    </w:lvl>
    <w:lvl w:ilvl="1">
      <w:lvlJc w:val="left"/>
      <w:lvlText w:val="(%2)"/>
      <w:numFmt w:val="lowerLetter"/>
      <w:start w:val="2"/>
    </w:lvl>
  </w:abstractNum>
  <w:abstractNum w:abstractNumId="52">
    <w:nsid w:val="3C5991AA"/>
    <w:multiLevelType w:val="hybridMultilevel"/>
    <w:lvl w:ilvl="0">
      <w:lvlJc w:val="left"/>
      <w:lvlText w:val="(%1)"/>
      <w:numFmt w:val="lowerLetter"/>
      <w:start w:val="3"/>
    </w:lvl>
  </w:abstractNum>
  <w:abstractNum w:abstractNumId="53">
    <w:nsid w:val="4BD8591A"/>
    <w:multiLevelType w:val="hybridMultilevel"/>
    <w:lvl w:ilvl="0">
      <w:lvlJc w:val="left"/>
      <w:lvlText w:val="(%1)"/>
      <w:numFmt w:val="lowerLetter"/>
      <w:start w:val="4"/>
    </w:lvl>
  </w:abstractNum>
  <w:abstractNum w:abstractNumId="54">
    <w:nsid w:val="78DF6A55"/>
    <w:multiLevelType w:val="hybridMultilevel"/>
    <w:lvl w:ilvl="0">
      <w:lvlJc w:val="left"/>
      <w:lvlText w:val="(%1)"/>
      <w:numFmt w:val="lowerLetter"/>
      <w:start w:val="5"/>
    </w:lvl>
  </w:abstractNum>
  <w:abstractNum w:abstractNumId="55">
    <w:nsid w:val="39B7AAA2"/>
    <w:multiLevelType w:val="hybridMultilevel"/>
    <w:lvl w:ilvl="0">
      <w:lvlJc w:val="left"/>
      <w:lvlText w:val="(%1)"/>
      <w:numFmt w:val="decimal"/>
      <w:start w:val="3"/>
    </w:lvl>
  </w:abstractNum>
  <w:abstractNum w:abstractNumId="56">
    <w:nsid w:val="2B0D8DBE"/>
    <w:multiLevelType w:val="hybridMultilevel"/>
    <w:lvl w:ilvl="0">
      <w:lvlJc w:val="left"/>
      <w:lvlText w:val="%1."/>
      <w:numFmt w:val="decimal"/>
      <w:start w:val="9"/>
    </w:lvl>
  </w:abstractNum>
  <w:abstractNum w:abstractNumId="57">
    <w:nsid w:val="6C80EC70"/>
    <w:multiLevelType w:val="hybridMultilevel"/>
    <w:lvl w:ilvl="0">
      <w:lvlJc w:val="left"/>
      <w:lvlText w:val="%1."/>
      <w:numFmt w:val="decimal"/>
      <w:start w:val="10"/>
    </w:lvl>
    <w:lvl w:ilvl="1">
      <w:lvlJc w:val="left"/>
      <w:lvlText w:val="(%2)"/>
      <w:numFmt w:val="lowerLetter"/>
      <w:start w:val="1"/>
    </w:lvl>
  </w:abstractNum>
  <w:abstractNum w:abstractNumId="58">
    <w:nsid w:val="379E21B5"/>
    <w:multiLevelType w:val="hybridMultilevel"/>
    <w:lvl w:ilvl="0">
      <w:lvlJc w:val="left"/>
      <w:lvlText w:val="%1"/>
      <w:numFmt w:val="decimal"/>
      <w:start w:val="1"/>
    </w:lvl>
    <w:lvl w:ilvl="1">
      <w:lvlJc w:val="left"/>
      <w:lvlText w:val="(%2)"/>
      <w:numFmt w:val="lowerLetter"/>
      <w:start w:val="2"/>
    </w:lvl>
  </w:abstractNum>
  <w:abstractNum w:abstractNumId="59">
    <w:nsid w:val="69E373"/>
    <w:multiLevelType w:val="hybridMultilevel"/>
    <w:lvl w:ilvl="0">
      <w:lvlJc w:val="left"/>
      <w:lvlText w:val="%1."/>
      <w:numFmt w:val="decimal"/>
      <w:start w:val="11"/>
    </w:lvl>
    <w:lvl w:ilvl="1">
      <w:lvlJc w:val="left"/>
      <w:lvlText w:val="(%2)"/>
      <w:numFmt w:val="lowerLetter"/>
      <w:start w:val="1"/>
    </w:lvl>
  </w:abstractNum>
  <w:abstractNum w:abstractNumId="60">
    <w:nsid w:val="2C27173B"/>
    <w:multiLevelType w:val="hybridMultilevel"/>
    <w:lvl w:ilvl="0">
      <w:lvlJc w:val="left"/>
      <w:lvlText w:val="%1"/>
      <w:numFmt w:val="decimal"/>
      <w:start w:val="1"/>
    </w:lvl>
    <w:lvl w:ilvl="1">
      <w:lvlJc w:val="left"/>
      <w:lvlText w:val="(%2)"/>
      <w:numFmt w:val="lowerLetter"/>
      <w:start w:val="2"/>
    </w:lvl>
  </w:abstractNum>
  <w:abstractNum w:abstractNumId="61">
    <w:nsid w:val="4C9B0904"/>
    <w:multiLevelType w:val="hybridMultilevel"/>
    <w:lvl w:ilvl="0">
      <w:lvlJc w:val="left"/>
      <w:lvlText w:val="(%1)"/>
      <w:numFmt w:val="decimal"/>
      <w:start w:val="7"/>
    </w:lvl>
    <w:lvl w:ilvl="1">
      <w:lvlJc w:val="left"/>
      <w:lvlText w:val="%2"/>
      <w:numFmt w:val="lowerLetter"/>
      <w:start w:val="1"/>
    </w:lvl>
  </w:abstractNum>
  <w:abstractNum w:abstractNumId="62">
    <w:nsid w:val="6AA7B75C"/>
    <w:multiLevelType w:val="hybridMultilevel"/>
    <w:lvl w:ilvl="0">
      <w:lvlJc w:val="left"/>
      <w:lvlText w:val="%1."/>
      <w:numFmt w:val="decimal"/>
      <w:start w:val="12"/>
    </w:lvl>
    <w:lvl w:ilvl="1">
      <w:lvlJc w:val="left"/>
      <w:lvlText w:val="(%2)"/>
      <w:numFmt w:val="lowerLetter"/>
      <w:start w:val="1"/>
    </w:lvl>
  </w:abstractNum>
  <w:abstractNum w:abstractNumId="63">
    <w:nsid w:val="1DF029D3"/>
    <w:multiLevelType w:val="hybridMultilevel"/>
    <w:lvl w:ilvl="0">
      <w:lvlJc w:val="left"/>
      <w:lvlText w:val="(%1)"/>
      <w:numFmt w:val="lowerLetter"/>
      <w:start w:val="4"/>
    </w:lvl>
  </w:abstractNum>
  <w:abstractNum w:abstractNumId="64">
    <w:nsid w:val="5675FF3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65">
    <w:nsid w:val="3DD15094"/>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66">
    <w:nsid w:val="3DB012B3"/>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67">
    <w:nsid w:val="2708C9AF"/>
    <w:multiLevelType w:val="hybridMultilevel"/>
    <w:lvl w:ilvl="0">
      <w:lvlJc w:val="left"/>
      <w:lvlText w:val="%1"/>
      <w:numFmt w:val="lowerRoman"/>
      <w:start w:val="1"/>
    </w:lvl>
    <w:lvl w:ilvl="1">
      <w:lvlJc w:val="left"/>
      <w:lvlText w:val="%2."/>
      <w:numFmt w:val="decimal"/>
      <w:start w:val="15"/>
    </w:lvl>
  </w:abstractNum>
  <w:abstractNum w:abstractNumId="68">
    <w:nsid w:val="5B25ACE2"/>
    <w:multiLevelType w:val="hybridMultilevel"/>
    <w:lvl w:ilvl="0">
      <w:lvlJc w:val="left"/>
      <w:lvlText w:val="(%1)"/>
      <w:numFmt w:val="lowerRoman"/>
      <w:start w:val="1"/>
    </w:lvl>
    <w:lvl w:ilvl="1">
      <w:lvlJc w:val="left"/>
      <w:lvlText w:val="%2."/>
      <w:numFmt w:val="decimal"/>
      <w:start w:val="16"/>
    </w:lvl>
  </w:abstractNum>
  <w:abstractNum w:abstractNumId="69">
    <w:nsid w:val="175DFCF0"/>
    <w:multiLevelType w:val="hybridMultilevel"/>
    <w:lvl w:ilvl="0">
      <w:lvlJc w:val="left"/>
      <w:lvlText w:val="%1."/>
      <w:numFmt w:val="decimal"/>
      <w:start w:val="17"/>
    </w:lvl>
    <w:lvl w:ilvl="1">
      <w:lvlJc w:val="left"/>
      <w:lvlText w:val="(%2)"/>
      <w:numFmt w:val="lowerLetter"/>
      <w:start w:val="1"/>
    </w:lvl>
  </w:abstractNum>
  <w:abstractNum w:abstractNumId="70">
    <w:nsid w:val="4F97E3E4"/>
    <w:multiLevelType w:val="hybridMultilevel"/>
    <w:lvl w:ilvl="0">
      <w:lvlJc w:val="left"/>
      <w:lvlText w:val="%1."/>
      <w:numFmt w:val="decimal"/>
      <w:start w:val="18"/>
    </w:lvl>
    <w:lvl w:ilvl="1">
      <w:lvlJc w:val="left"/>
      <w:lvlText w:val="(%2)"/>
      <w:numFmt w:val="lowerLetter"/>
      <w:start w:val="1"/>
    </w:lvl>
  </w:abstractNum>
  <w:abstractNum w:abstractNumId="71">
    <w:nsid w:val="53B0A9E"/>
    <w:multiLevelType w:val="hybridMultilevel"/>
    <w:lvl w:ilvl="0">
      <w:lvlJc w:val="left"/>
      <w:lvlText w:val="%1"/>
      <w:numFmt w:val="lowerRoman"/>
      <w:start w:val="1"/>
    </w:lvl>
    <w:lvl w:ilvl="1">
      <w:lvlJc w:val="left"/>
      <w:lvlText w:val="(%2)"/>
      <w:numFmt w:val="lowerLetter"/>
      <w:start w:val="2"/>
    </w:lvl>
  </w:abstractNum>
  <w:abstractNum w:abstractNumId="72">
    <w:nsid w:val="34FD6B4F"/>
    <w:multiLevelType w:val="hybridMultilevel"/>
    <w:lvl w:ilvl="0">
      <w:lvlJc w:val="left"/>
      <w:lvlText w:val="(%1)"/>
      <w:numFmt w:val="lowerRoman"/>
      <w:start w:val="4"/>
    </w:lvl>
    <w:lvl w:ilvl="1">
      <w:lvlJc w:val="left"/>
      <w:lvlText w:val="%2"/>
      <w:numFmt w:val="lowerLetter"/>
      <w:start w:val="1"/>
    </w:lvl>
  </w:abstractNum>
  <w:abstractNum w:abstractNumId="73">
    <w:nsid w:val="5915FF32"/>
    <w:multiLevelType w:val="hybridMultilevel"/>
    <w:lvl w:ilvl="0">
      <w:lvlJc w:val="left"/>
      <w:lvlText w:val="%1."/>
      <w:numFmt w:val="decimal"/>
      <w:start w:val="20"/>
    </w:lvl>
  </w:abstractNum>
  <w:abstractNum w:abstractNumId="74">
    <w:nsid w:val="56438D15"/>
    <w:multiLevelType w:val="hybridMultilevel"/>
    <w:lvl w:ilvl="0">
      <w:lvlJc w:val="left"/>
      <w:lvlText w:val="%1."/>
      <w:numFmt w:val="decimal"/>
      <w:start w:val="21"/>
    </w:lvl>
  </w:abstractNum>
  <w:abstractNum w:abstractNumId="75">
    <w:nsid w:val="519E3149"/>
    <w:multiLevelType w:val="hybridMultilevel"/>
    <w:lvl w:ilvl="0">
      <w:lvlJc w:val="left"/>
      <w:lvlText w:val="%1."/>
      <w:numFmt w:val="decimal"/>
      <w:start w:val="25"/>
    </w:lvl>
    <w:lvl w:ilvl="1">
      <w:lvlJc w:val="left"/>
      <w:lvlText w:val="(%2)"/>
      <w:numFmt w:val="lowerLetter"/>
      <w:start w:val="1"/>
    </w:lvl>
  </w:abstractNum>
  <w:abstractNum w:abstractNumId="76">
    <w:nsid w:val="2C6E4AFD"/>
    <w:multiLevelType w:val="hybridMultilevel"/>
    <w:lvl w:ilvl="0">
      <w:lvlJc w:val="left"/>
      <w:lvlText w:val="%1"/>
      <w:numFmt w:val="decimal"/>
      <w:start w:val="1"/>
    </w:lvl>
    <w:lvl w:ilvl="1">
      <w:lvlJc w:val="left"/>
      <w:lvlText w:val="(%2)"/>
      <w:numFmt w:val="lowerLetter"/>
      <w:start w:val="4"/>
    </w:lvl>
  </w:abstractNum>
  <w:abstractNum w:abstractNumId="77">
    <w:nsid w:val="17A1B582"/>
    <w:multiLevelType w:val="hybridMultilevel"/>
    <w:lvl w:ilvl="0">
      <w:lvlJc w:val="left"/>
      <w:lvlText w:val="%1."/>
      <w:numFmt w:val="decimal"/>
      <w:start w:val="26"/>
    </w:lvl>
    <w:lvl w:ilvl="1">
      <w:lvlJc w:val="left"/>
      <w:lvlText w:val="%2"/>
      <w:numFmt w:val="lowerLetter"/>
      <w:start w:val="1"/>
    </w:lvl>
  </w:abstractNum>
  <w:abstractNum w:abstractNumId="78">
    <w:nsid w:val="4DF72E4E"/>
    <w:multiLevelType w:val="hybridMultilevel"/>
    <w:lvl w:ilvl="0">
      <w:lvlJc w:val="left"/>
      <w:lvlText w:val="%1."/>
      <w:numFmt w:val="decimal"/>
      <w:start w:val="29"/>
    </w:lvl>
  </w:abstractNum>
  <w:abstractNum w:abstractNumId="79">
    <w:nsid w:val="5046B5A9"/>
    <w:multiLevelType w:val="hybridMultilevel"/>
    <w:lvl w:ilvl="0">
      <w:lvlJc w:val="left"/>
      <w:lvlText w:val="%1"/>
      <w:numFmt w:val="decimal"/>
      <w:start w:val="1"/>
    </w:lvl>
    <w:lvl w:ilvl="1">
      <w:lvlJc w:val="left"/>
      <w:lvlText w:val="(%2)"/>
      <w:numFmt w:val="lowerLetter"/>
      <w:start w:val="1"/>
    </w:lvl>
  </w:abstractNum>
  <w:abstractNum w:abstractNumId="80">
    <w:nsid w:val="5D888A08"/>
    <w:multiLevelType w:val="hybridMultilevel"/>
    <w:lvl w:ilvl="0">
      <w:lvlJc w:val="left"/>
      <w:lvlText w:val="%1."/>
      <w:numFmt w:val="decimal"/>
      <w:start w:val="31"/>
    </w:lvl>
    <w:lvl w:ilvl="1">
      <w:lvlJc w:val="left"/>
      <w:lvlText w:val="(%2)"/>
      <w:numFmt w:val="lowerLetter"/>
      <w:start w:val="1"/>
    </w:lvl>
  </w:abstractNum>
  <w:abstractNum w:abstractNumId="81">
    <w:nsid w:val="2A082C70"/>
    <w:multiLevelType w:val="hybridMultilevel"/>
    <w:lvl w:ilvl="0">
      <w:lvlJc w:val="left"/>
      <w:lvlText w:val="%1"/>
      <w:numFmt w:val="lowerRoman"/>
      <w:start w:val="1"/>
    </w:lvl>
    <w:lvl w:ilvl="1">
      <w:lvlJc w:val="left"/>
      <w:lvlText w:val="(%2)"/>
      <w:numFmt w:val="lowerLetter"/>
      <w:start w:val="2"/>
    </w:lvl>
  </w:abstractNum>
  <w:abstractNum w:abstractNumId="82">
    <w:nsid w:val="5EC6AFD4"/>
    <w:multiLevelType w:val="hybridMultilevel"/>
    <w:lvl w:ilvl="0">
      <w:lvlJc w:val="left"/>
      <w:lvlText w:val="(%1)"/>
      <w:numFmt w:val="lowerRoman"/>
      <w:start w:val="4"/>
    </w:lvl>
    <w:lvl w:ilvl="1">
      <w:lvlJc w:val="left"/>
      <w:lvlText w:val="(%2)"/>
      <w:numFmt w:val="lowerLetter"/>
      <w:start w:val="6"/>
    </w:lvl>
  </w:abstractNum>
  <w:abstractNum w:abstractNumId="83">
    <w:nsid w:val="19E21BB2"/>
    <w:multiLevelType w:val="hybridMultilevel"/>
    <w:lvl w:ilvl="0">
      <w:lvlJc w:val="left"/>
      <w:lvlText w:val="(%1)"/>
      <w:numFmt w:val="lowerLetter"/>
      <w:start w:val="9"/>
    </w:lvl>
  </w:abstractNum>
  <w:abstractNum w:abstractNumId="84">
    <w:nsid w:val="75E0858A"/>
    <w:multiLevelType w:val="hybridMultilevel"/>
    <w:lvl w:ilvl="0">
      <w:lvlJc w:val="left"/>
      <w:lvlText w:val="%1"/>
      <w:numFmt w:val="lowerLetter"/>
      <w:start w:val="1"/>
    </w:lvl>
    <w:lvl w:ilvl="1">
      <w:lvlJc w:val="left"/>
      <w:lvlText w:val="(%2)"/>
      <w:numFmt w:val="lowerLetter"/>
      <w:start w:val="13"/>
    </w:lvl>
  </w:abstractNum>
  <w:abstractNum w:abstractNumId="85">
    <w:nsid w:val="57A61A29"/>
    <w:multiLevelType w:val="hybridMultilevel"/>
    <w:lvl w:ilvl="0">
      <w:lvlJc w:val="left"/>
      <w:lvlText w:val="(%1)"/>
      <w:numFmt w:val="lowerLetter"/>
      <w:start w:val="35"/>
    </w:lvl>
    <w:lvl w:ilvl="1">
      <w:lvlJc w:val="left"/>
      <w:lvlText w:val="(%2)"/>
      <w:numFmt w:val="lowerLetter"/>
      <w:start w:val="14"/>
    </w:lvl>
  </w:abstractNum>
  <w:abstractNum w:abstractNumId="86">
    <w:nsid w:val="5399C654"/>
    <w:multiLevelType w:val="hybridMultilevel"/>
    <w:lvl w:ilvl="0">
      <w:lvlJc w:val="left"/>
      <w:lvlText w:val="(%1)"/>
      <w:numFmt w:val="lowerRoman"/>
      <w:start w:val="3"/>
    </w:lvl>
  </w:abstractNum>
  <w:abstractNum w:abstractNumId="87">
    <w:nsid w:val="20EE1348"/>
    <w:multiLevelType w:val="hybridMultilevel"/>
    <w:lvl w:ilvl="0">
      <w:lvlJc w:val="left"/>
      <w:lvlText w:val="%1"/>
      <w:numFmt w:val="lowerRoman"/>
      <w:start w:val="1"/>
    </w:lvl>
    <w:lvl w:ilvl="1">
      <w:lvlJc w:val="left"/>
      <w:lvlText w:val="(%2)"/>
      <w:numFmt w:val="lowerLetter"/>
      <w:start w:val="19"/>
    </w:lvl>
  </w:abstractNum>
  <w:abstractNum w:abstractNumId="88">
    <w:nsid w:val="4427069A"/>
    <w:multiLevelType w:val="hybridMultilevel"/>
    <w:lvl w:ilvl="0">
      <w:lvlJc w:val="left"/>
      <w:lvlText w:val="(%1)"/>
      <w:numFmt w:val="lowerRoman"/>
      <w:start w:val="6"/>
    </w:lvl>
    <w:lvl w:ilvl="1">
      <w:lvlJc w:val="left"/>
      <w:lvlText w:val="%2"/>
      <w:numFmt w:val="lowerLetter"/>
      <w:start w:val="1"/>
    </w:lvl>
  </w:abstractNum>
  <w:abstractNum w:abstractNumId="89">
    <w:nsid w:val="B37E80A"/>
    <w:multiLevelType w:val="hybridMultilevel"/>
    <w:lvl w:ilvl="0">
      <w:lvlJc w:val="left"/>
      <w:lvlText w:val="(%1)"/>
      <w:numFmt w:val="lowerLetter"/>
      <w:start w:val="21"/>
    </w:lvl>
  </w:abstractNum>
  <w:abstractNum w:abstractNumId="90">
    <w:nsid w:val="2157F6BC"/>
    <w:multiLevelType w:val="hybridMultilevel"/>
    <w:lvl w:ilvl="0">
      <w:lvlJc w:val="left"/>
      <w:lvlText w:val="(%1)"/>
      <w:numFmt w:val="lowerLetter"/>
      <w:start w:val="27"/>
    </w:lvl>
  </w:abstractNum>
  <w:abstractNum w:abstractNumId="91">
    <w:nsid w:val="704E1DD5"/>
    <w:multiLevelType w:val="hybridMultilevel"/>
    <w:lvl w:ilvl="0">
      <w:lvlJc w:val="left"/>
      <w:lvlText w:val="%1"/>
      <w:numFmt w:val="lowerLetter"/>
      <w:start w:val="1"/>
    </w:lvl>
    <w:lvl w:ilvl="1">
      <w:lvlJc w:val="left"/>
      <w:lvlText w:val="(%2)"/>
      <w:numFmt w:val="lowerLetter"/>
      <w:start w:val="33"/>
    </w:lvl>
  </w:abstractNum>
  <w:abstractNum w:abstractNumId="92">
    <w:nsid w:val="57D2F10E"/>
    <w:multiLevelType w:val="hybridMultilevel"/>
    <w:lvl w:ilvl="0">
      <w:lvlJc w:val="left"/>
      <w:lvlText w:val="(%1)"/>
      <w:numFmt w:val="lowerLetter"/>
      <w:start w:val="9"/>
    </w:lvl>
    <w:lvl w:ilvl="1">
      <w:lvlJc w:val="left"/>
      <w:lvlText w:val="(%2)"/>
      <w:numFmt w:val="lowerLetter"/>
      <w:start w:val="34"/>
    </w:lvl>
  </w:abstractNum>
  <w:abstractNum w:abstractNumId="93">
    <w:nsid w:val="BFFAE18"/>
    <w:multiLevelType w:val="hybridMultilevel"/>
    <w:lvl w:ilvl="0">
      <w:lvlJc w:val="left"/>
      <w:lvlText w:val="(%1)"/>
      <w:numFmt w:val="lowerRoman"/>
      <w:start w:val="3"/>
    </w:lvl>
  </w:abstractNum>
  <w:abstractNum w:abstractNumId="94">
    <w:nsid w:val="E3E47A8"/>
    <w:multiLevelType w:val="hybridMultilevel"/>
    <w:lvl w:ilvl="0">
      <w:lvlJc w:val="left"/>
      <w:lvlText w:val="(%1)"/>
      <w:numFmt w:val="lowerRoman"/>
      <w:start w:val="8"/>
    </w:lvl>
  </w:abstractNum>
  <w:abstractNum w:abstractNumId="95">
    <w:nsid w:val="2E48F044"/>
    <w:multiLevelType w:val="hybridMultilevel"/>
    <w:lvl w:ilvl="0">
      <w:lvlJc w:val="left"/>
      <w:lvlText w:val="%1"/>
      <w:numFmt w:val="lowerRoman"/>
      <w:start w:val="1"/>
    </w:lvl>
    <w:lvl w:ilvl="1">
      <w:lvlJc w:val="left"/>
      <w:lvlText w:val="(%2)"/>
      <w:numFmt w:val="lowerLetter"/>
      <w:start w:val="37"/>
    </w:lvl>
  </w:abstractNum>
  <w:abstractNum w:abstractNumId="96">
    <w:nsid w:val="49D0FEAC"/>
    <w:multiLevelType w:val="hybridMultilevel"/>
    <w:lvl w:ilvl="0">
      <w:lvlJc w:val="left"/>
      <w:lvlText w:val="(%1)"/>
      <w:numFmt w:val="lowerRoman"/>
      <w:start w:val="8"/>
    </w:lvl>
    <w:lvl w:ilvl="1">
      <w:lvlJc w:val="left"/>
      <w:lvlText w:val="%2"/>
      <w:numFmt w:val="lowerLetter"/>
      <w:start w:val="1"/>
    </w:lvl>
  </w:abstractNum>
  <w:abstractNum w:abstractNumId="97">
    <w:nsid w:val="4BEE5A5B"/>
    <w:multiLevelType w:val="hybridMultilevel"/>
    <w:lvl w:ilvl="0">
      <w:lvlJc w:val="left"/>
      <w:lvlText w:val="(%1)"/>
      <w:numFmt w:val="lowerRoman"/>
      <w:start w:val="6"/>
    </w:lvl>
    <w:lvl w:ilvl="1">
      <w:lvlJc w:val="left"/>
      <w:lvlText w:val="%2"/>
      <w:numFmt w:val="lowerLetter"/>
      <w:start w:val="1"/>
    </w:lvl>
  </w:abstractNum>
  <w:abstractNum w:abstractNumId="98">
    <w:nsid w:val="5551B9F3"/>
    <w:multiLevelType w:val="hybridMultilevel"/>
    <w:lvl w:ilvl="0">
      <w:lvlJc w:val="left"/>
      <w:lvlText w:val="(%1)"/>
      <w:numFmt w:val="lowerLetter"/>
      <w:start w:val="39"/>
    </w:lvl>
  </w:abstractNum>
  <w:abstractNum w:abstractNumId="99">
    <w:nsid w:val="24F6AB8E"/>
    <w:multiLevelType w:val="hybridMultilevel"/>
    <w:lvl w:ilvl="0">
      <w:lvlJc w:val="left"/>
      <w:lvlText w:val="%1"/>
      <w:numFmt w:val="decimal"/>
      <w:start w:val="1"/>
    </w:lvl>
    <w:lvl w:ilvl="1">
      <w:lvlJc w:val="left"/>
      <w:lvlText w:val="(%2)"/>
      <w:numFmt w:val="lowerLetter"/>
      <w:start w:val="47"/>
    </w:lvl>
  </w:abstractNum>
  <w:abstractNum w:abstractNumId="100">
    <w:nsid w:val="634C574C"/>
    <w:multiLevelType w:val="hybridMultilevel"/>
    <w:lvl w:ilvl="0">
      <w:lvlJc w:val="left"/>
      <w:lvlText w:val="(%1)"/>
      <w:numFmt w:val="decimal"/>
      <w:start w:val="2"/>
    </w:lvl>
    <w:lvl w:ilvl="1">
      <w:lvlJc w:val="left"/>
      <w:lvlText w:val="(%2)"/>
      <w:numFmt w:val="lowerLetter"/>
      <w:start w:val="53"/>
    </w:lvl>
  </w:abstractNum>
  <w:abstractNum w:abstractNumId="101">
    <w:nsid w:val="24E99DD7"/>
    <w:multiLevelType w:val="hybridMultilevel"/>
    <w:lvl w:ilvl="0">
      <w:lvlJc w:val="left"/>
      <w:lvlText w:val="%1"/>
      <w:numFmt w:val="decimal"/>
      <w:start w:val="1"/>
    </w:lvl>
    <w:lvl w:ilvl="1">
      <w:lvlJc w:val="left"/>
      <w:lvlText w:val="(%2)"/>
      <w:numFmt w:val="lowerLetter"/>
      <w:start w:val="56"/>
    </w:lvl>
  </w:abstractNum>
  <w:abstractNum w:abstractNumId="102">
    <w:nsid w:val="2A31B62D"/>
    <w:multiLevelType w:val="hybridMultilevel"/>
    <w:lvl w:ilvl="0">
      <w:lvlJc w:val="left"/>
      <w:lvlText w:val="(%1)"/>
      <w:numFmt w:val="decimal"/>
      <w:start w:val="25"/>
    </w:lvl>
    <w:lvl w:ilvl="1">
      <w:lvlJc w:val="left"/>
      <w:lvlText w:val="(%2)"/>
      <w:numFmt w:val="lowerLetter"/>
      <w:start w:val="57"/>
    </w:lvl>
  </w:abstractNum>
  <w:abstractNum w:abstractNumId="103">
    <w:nsid w:val="1849C29B"/>
    <w:multiLevelType w:val="hybridMultilevel"/>
    <w:lvl w:ilvl="0">
      <w:lvlJc w:val="left"/>
      <w:lvlText w:val="%1."/>
      <w:numFmt w:val="decimal"/>
      <w:start w:val="32"/>
    </w:lvl>
  </w:abstractNum>
  <w:abstractNum w:abstractNumId="104">
    <w:nsid w:val="7DFF9D09"/>
    <w:multiLevelType w:val="hybridMultilevel"/>
    <w:lvl w:ilvl="0">
      <w:lvlJc w:val="left"/>
      <w:lvlText w:val="%1."/>
      <w:numFmt w:val="decimal"/>
      <w:start w:val="1"/>
    </w:lvl>
    <w:lvl w:ilvl="1">
      <w:lvlJc w:val="left"/>
      <w:lvlText w:val="(%2)"/>
      <w:numFmt w:val="lowerLetter"/>
      <w:start w:val="1"/>
    </w:lvl>
  </w:abstractNum>
  <w:abstractNum w:abstractNumId="105">
    <w:nsid w:val="754342"/>
    <w:multiLevelType w:val="hybridMultilevel"/>
    <w:lvl w:ilvl="0">
      <w:lvlJc w:val="left"/>
      <w:lvlText w:val="%1"/>
      <w:numFmt w:val="lowerLetter"/>
      <w:start w:val="1"/>
    </w:lvl>
    <w:lvl w:ilvl="1">
      <w:lvlJc w:val="left"/>
      <w:lvlText w:val="(%2)"/>
      <w:numFmt w:val="lowerLetter"/>
      <w:start w:val="2"/>
    </w:lvl>
  </w:abstractNum>
  <w:abstractNum w:abstractNumId="106">
    <w:nsid w:val="69E7F3E5"/>
    <w:multiLevelType w:val="hybridMultilevel"/>
    <w:lvl w:ilvl="0">
      <w:lvlJc w:val="left"/>
      <w:lvlText w:val="(%1)"/>
      <w:numFmt w:val="lowerLetter"/>
      <w:start w:val="9"/>
    </w:lvl>
    <w:lvl w:ilvl="1">
      <w:lvlJc w:val="left"/>
      <w:lvlText w:val="%2"/>
      <w:numFmt w:val="lowerLetter"/>
      <w:start w:val="1"/>
    </w:lvl>
  </w:abstractNum>
  <w:abstractNum w:abstractNumId="107">
    <w:nsid w:val="2A6DE806"/>
    <w:multiLevelType w:val="hybridMultilevel"/>
    <w:lvl w:ilvl="0">
      <w:lvlJc w:val="left"/>
      <w:lvlText w:val="(%1)"/>
      <w:numFmt w:val="lowerLetter"/>
      <w:start w:val="4"/>
    </w:lvl>
  </w:abstractNum>
  <w:abstractNum w:abstractNumId="108">
    <w:nsid w:val="1816F8C4"/>
    <w:multiLevelType w:val="hybridMultilevel"/>
    <w:lvl w:ilvl="0">
      <w:lvlJc w:val="left"/>
      <w:lvlText w:val="(%1)"/>
      <w:numFmt w:val="lowerLetter"/>
      <w:start w:val="5"/>
    </w:lvl>
  </w:abstractNum>
  <w:abstractNum w:abstractNumId="109">
    <w:nsid w:val="37DF2233"/>
    <w:multiLevelType w:val="hybridMultilevel"/>
    <w:lvl w:ilvl="0">
      <w:lvlJc w:val="left"/>
      <w:lvlText w:val="(%1)"/>
      <w:numFmt w:val="lowerLetter"/>
      <w:start w:val="35"/>
    </w:lvl>
    <w:lvl w:ilvl="1">
      <w:lvlJc w:val="left"/>
      <w:lvlText w:val="(%2)"/>
      <w:numFmt w:val="lowerLetter"/>
      <w:start w:val="7"/>
    </w:lvl>
  </w:abstractNum>
  <w:abstractNum w:abstractNumId="110">
    <w:nsid w:val="7AB49DAF"/>
    <w:multiLevelType w:val="hybridMultilevel"/>
    <w:lvl w:ilvl="0">
      <w:lvlJc w:val="left"/>
      <w:lvlText w:val="%1."/>
      <w:numFmt w:val="decimal"/>
      <w:start w:val="2"/>
    </w:lvl>
    <w:lvl w:ilvl="1">
      <w:lvlJc w:val="left"/>
      <w:lvlText w:val="(%2)"/>
      <w:numFmt w:val="lowerLetter"/>
      <w:start w:val="1"/>
    </w:lvl>
  </w:abstractNum>
  <w:abstractNum w:abstractNumId="111">
    <w:nsid w:val="759F82CD"/>
    <w:multiLevelType w:val="hybridMultilevel"/>
    <w:lvl w:ilvl="0">
      <w:lvlJc w:val="left"/>
      <w:lvlText w:val="(%1)"/>
      <w:numFmt w:val="lowerLetter"/>
      <w:start w:val="2"/>
    </w:lvl>
    <w:lvl w:ilvl="1">
      <w:lvlJc w:val="left"/>
      <w:lvlText w:val="(%2)"/>
      <w:numFmt w:val="lowerLetter"/>
      <w:start w:val="9"/>
    </w:lvl>
  </w:abstractNum>
  <w:abstractNum w:abstractNumId="112">
    <w:nsid w:val="61E74EA3"/>
    <w:multiLevelType w:val="hybridMultilevel"/>
    <w:lvl w:ilvl="0">
      <w:lvlJc w:val="left"/>
      <w:lvlText w:val="(%1)"/>
      <w:numFmt w:val="lowerRoman"/>
      <w:start w:val="2"/>
    </w:lvl>
  </w:abstractNum>
  <w:abstractNum w:abstractNumId="113">
    <w:nsid w:val="597B4D84"/>
    <w:multiLevelType w:val="hybridMultilevel"/>
    <w:lvl w:ilvl="0">
      <w:lvlJc w:val="left"/>
      <w:lvlText w:val="%1"/>
      <w:numFmt w:val="lowerLetter"/>
      <w:start w:val="1"/>
    </w:lvl>
    <w:lvl w:ilvl="1">
      <w:lvlJc w:val="left"/>
      <w:lvlText w:val="(%2)"/>
      <w:numFmt w:val="lowerLetter"/>
      <w:start w:val="22"/>
    </w:lvl>
  </w:abstractNum>
  <w:abstractNum w:abstractNumId="114">
    <w:nsid w:val="F819E7F"/>
    <w:multiLevelType w:val="hybridMultilevel"/>
    <w:lvl w:ilvl="0">
      <w:lvlJc w:val="left"/>
      <w:lvlText w:val="(%1)"/>
      <w:numFmt w:val="lowerLetter"/>
      <w:start w:val="3"/>
    </w:lvl>
    <w:lvl w:ilvl="1">
      <w:lvlJc w:val="left"/>
      <w:lvlText w:val="%2"/>
      <w:numFmt w:val="lowerLetter"/>
      <w:start w:val="1"/>
    </w:lvl>
  </w:abstractNum>
  <w:abstractNum w:abstractNumId="115">
    <w:nsid w:val="57C7D42D"/>
    <w:multiLevelType w:val="hybridMultilevel"/>
    <w:lvl w:ilvl="0">
      <w:lvlJc w:val="left"/>
      <w:lvlText w:val="%1"/>
      <w:numFmt w:val="decimal"/>
      <w:start w:val="1"/>
    </w:lvl>
    <w:lvl w:ilvl="1">
      <w:lvlJc w:val="left"/>
      <w:lvlText w:val="(%2)"/>
      <w:numFmt w:val="lowerLetter"/>
      <w:start w:val="4"/>
    </w:lvl>
  </w:abstractNum>
  <w:abstractNum w:abstractNumId="116">
    <w:nsid w:val="312167AD"/>
    <w:multiLevelType w:val="hybridMultilevel"/>
    <w:lvl w:ilvl="0">
      <w:lvlJc w:val="left"/>
      <w:lvlText w:val="(%1)"/>
      <w:numFmt w:val="decimal"/>
      <w:start w:val="15"/>
    </w:lvl>
    <w:lvl w:ilvl="1">
      <w:lvlJc w:val="left"/>
      <w:lvlText w:val="(%2)"/>
      <w:numFmt w:val="lowerLetter"/>
      <w:start w:val="6"/>
    </w:lvl>
  </w:abstractNum>
  <w:abstractNum w:abstractNumId="117">
    <w:nsid w:val="631B64D4"/>
    <w:multiLevelType w:val="hybridMultilevel"/>
    <w:lvl w:ilvl="0">
      <w:lvlJc w:val="left"/>
      <w:lvlText w:val="%1"/>
      <w:numFmt w:val="decimal"/>
      <w:start w:val="1"/>
    </w:lvl>
    <w:lvl w:ilvl="1">
      <w:lvlJc w:val="left"/>
      <w:lvlText w:val="(%2)"/>
      <w:numFmt w:val="lowerLetter"/>
      <w:start w:val="7"/>
    </w:lvl>
  </w:abstractNum>
  <w:abstractNum w:abstractNumId="118">
    <w:nsid w:val="78B5E776"/>
    <w:multiLevelType w:val="hybridMultilevel"/>
    <w:lvl w:ilvl="0">
      <w:lvlJc w:val="left"/>
      <w:lvlText w:val="%1."/>
      <w:numFmt w:val="decimal"/>
      <w:start w:val="3"/>
    </w:lvl>
    <w:lvl w:ilvl="1">
      <w:lvlJc w:val="left"/>
      <w:lvlText w:val="(%2)"/>
      <w:numFmt w:val="lowerLetter"/>
      <w:start w:val="1"/>
    </w:lvl>
  </w:abstractNum>
  <w:abstractNum w:abstractNumId="119">
    <w:nsid w:val="75486E47"/>
    <w:multiLevelType w:val="hybridMultilevel"/>
    <w:lvl w:ilvl="0">
      <w:lvlJc w:val="left"/>
      <w:lvlText w:val="(%1)"/>
      <w:numFmt w:val="lowerLetter"/>
      <w:start w:val="2"/>
    </w:lvl>
  </w:abstractNum>
  <w:abstractNum w:abstractNumId="120">
    <w:nsid w:val="6E534CDE"/>
    <w:multiLevelType w:val="hybridMultilevel"/>
    <w:lvl w:ilvl="0">
      <w:lvlJc w:val="left"/>
      <w:lvlText w:val="%1"/>
      <w:numFmt w:val="lowerLetter"/>
      <w:start w:val="1"/>
    </w:lvl>
    <w:lvl w:ilvl="1">
      <w:lvlJc w:val="left"/>
      <w:lvlText w:val="(%2)"/>
      <w:numFmt w:val="lowerLetter"/>
      <w:start w:val="3"/>
    </w:lvl>
  </w:abstractNum>
  <w:abstractNum w:abstractNumId="121">
    <w:nsid w:val="1A0DDE32"/>
    <w:multiLevelType w:val="hybridMultilevel"/>
    <w:lvl w:ilvl="0">
      <w:lvlJc w:val="left"/>
      <w:lvlText w:val="(%1)"/>
      <w:numFmt w:val="lowerLetter"/>
      <w:start w:val="26"/>
    </w:lvl>
    <w:lvl w:ilvl="1">
      <w:lvlJc w:val="left"/>
      <w:lvlText w:val="(%2)"/>
      <w:numFmt w:val="lowerLetter"/>
      <w:start w:val="4"/>
    </w:lvl>
  </w:abstractNum>
  <w:abstractNum w:abstractNumId="122">
    <w:nsid w:val="65968C1C"/>
    <w:multiLevelType w:val="hybridMultilevel"/>
    <w:lvl w:ilvl="0">
      <w:lvlJc w:val="left"/>
      <w:lvlText w:val="%1."/>
      <w:numFmt w:val="decimal"/>
      <w:start w:val="5"/>
    </w:lvl>
  </w:abstractNum>
  <w:abstractNum w:abstractNumId="123">
    <w:nsid w:val="46263DEC"/>
    <w:multiLevelType w:val="hybridMultilevel"/>
    <w:lvl w:ilvl="0">
      <w:lvlJc w:val="left"/>
      <w:lvlText w:val="(%1)"/>
      <w:numFmt w:val="lowerRoman"/>
      <w:start w:val="2"/>
    </w:lvl>
  </w:abstractNum>
  <w:abstractNum w:abstractNumId="124">
    <w:nsid w:val="260D8C4A"/>
    <w:multiLevelType w:val="hybridMultilevel"/>
    <w:lvl w:ilvl="0">
      <w:lvlJc w:val="left"/>
      <w:lvlText w:val="%1."/>
      <w:numFmt w:val="decimal"/>
      <w:start w:val="6"/>
    </w:lvl>
    <w:lvl w:ilvl="1">
      <w:lvlJc w:val="left"/>
      <w:lvlText w:val="(%2)"/>
      <w:numFmt w:val="lowerLetter"/>
      <w:start w:val="1"/>
    </w:lvl>
  </w:abstractNum>
  <w:abstractNum w:abstractNumId="125">
    <w:nsid w:val="73D4D3C4"/>
    <w:multiLevelType w:val="hybridMultilevel"/>
    <w:lvl w:ilvl="0">
      <w:lvlJc w:val="left"/>
      <w:lvlText w:val="%1"/>
      <w:numFmt w:val="lowerRoman"/>
      <w:start w:val="1"/>
    </w:lvl>
    <w:lvl w:ilvl="1">
      <w:lvlJc w:val="left"/>
      <w:lvlText w:val="(%2)"/>
      <w:numFmt w:val="lowerLetter"/>
      <w:start w:val="3"/>
    </w:lvl>
  </w:abstractNum>
  <w:abstractNum w:abstractNumId="126">
    <w:nsid w:val="746F2E30"/>
    <w:multiLevelType w:val="hybridMultilevel"/>
    <w:lvl w:ilvl="0">
      <w:lvlJc w:val="left"/>
      <w:lvlText w:val="(%1)"/>
      <w:numFmt w:val="lowerRoman"/>
      <w:start w:val="4"/>
    </w:lvl>
    <w:lvl w:ilvl="1">
      <w:lvlJc w:val="left"/>
      <w:lvlText w:val="%2"/>
      <w:numFmt w:val="lowerLetter"/>
      <w:start w:val="1"/>
    </w:lvl>
  </w:abstractNum>
  <w:abstractNum w:abstractNumId="127">
    <w:nsid w:val="6FDE8AF6"/>
    <w:multiLevelType w:val="hybridMultilevel"/>
    <w:lvl w:ilvl="0">
      <w:lvlJc w:val="left"/>
      <w:lvlText w:val="%1."/>
      <w:numFmt w:val="decimal"/>
      <w:start w:val="8"/>
    </w:lvl>
  </w:abstractNum>
  <w:abstractNum w:abstractNumId="128">
    <w:nsid w:val="3FC32E20"/>
    <w:multiLevelType w:val="hybridMultilevel"/>
    <w:lvl w:ilvl="0">
      <w:lvlJc w:val="left"/>
      <w:lvlText w:val="%1."/>
      <w:numFmt w:val="decimal"/>
      <w:start w:val="10"/>
    </w:lvl>
  </w:abstractNum>
  <w:abstractNum w:abstractNumId="129">
    <w:nsid w:val="49C0E823"/>
    <w:multiLevelType w:val="hybridMultilevel"/>
    <w:lvl w:ilvl="0">
      <w:lvlJc w:val="left"/>
      <w:lvlText w:val="%1."/>
      <w:numFmt w:val="decimal"/>
      <w:start w:val="13"/>
    </w:lvl>
  </w:abstractNum>
  <w:abstractNum w:abstractNumId="130">
    <w:nsid w:val="14D53685"/>
    <w:multiLevelType w:val="hybridMultilevel"/>
    <w:lvl w:ilvl="0">
      <w:lvlJc w:val="left"/>
      <w:lvlText w:val="%1."/>
      <w:numFmt w:val="decimal"/>
      <w:start w:val="15"/>
    </w:lvl>
  </w:abstractNum>
  <w:abstractNum w:abstractNumId="131">
    <w:nsid w:val="230F856C"/>
    <w:multiLevelType w:val="hybridMultilevel"/>
    <w:lvl w:ilvl="0">
      <w:lvlJc w:val="left"/>
      <w:lvlText w:val="%1"/>
      <w:numFmt w:val="decimal"/>
      <w:start w:val="1"/>
    </w:lvl>
    <w:lvl w:ilvl="1">
      <w:lvlJc w:val="left"/>
      <w:lvlText w:val="(%2)"/>
      <w:numFmt w:val="lowerLetter"/>
      <w:start w:val="1"/>
    </w:lvl>
  </w:abstractNum>
  <w:abstractNum w:abstractNumId="132">
    <w:nsid w:val="6EAA85FB"/>
    <w:multiLevelType w:val="hybridMultilevel"/>
    <w:lvl w:ilvl="0">
      <w:lvlJc w:val="left"/>
      <w:lvlText w:val="%1."/>
      <w:numFmt w:val="decimal"/>
      <w:start w:val="17"/>
    </w:lvl>
    <w:lvl w:ilvl="1">
      <w:lvlJc w:val="left"/>
      <w:lvlText w:val="(%2)"/>
      <w:numFmt w:val="lowerLetter"/>
      <w:start w:val="1"/>
    </w:lvl>
  </w:abstractNum>
  <w:abstractNum w:abstractNumId="133">
    <w:nsid w:val="3F06ECB2"/>
    <w:multiLevelType w:val="hybridMultilevel"/>
    <w:lvl w:ilvl="0">
      <w:lvlJc w:val="left"/>
      <w:lvlText w:val="(%1)"/>
      <w:numFmt w:val="lowerLetter"/>
      <w:start w:val="4"/>
    </w:lvl>
  </w:abstractNum>
  <w:abstractNum w:abstractNumId="134">
    <w:nsid w:val="3B594807"/>
    <w:multiLevelType w:val="hybridMultilevel"/>
    <w:lvl w:ilvl="0">
      <w:lvlJc w:val="left"/>
      <w:lvlText w:val="(%1)"/>
      <w:numFmt w:val="lowerLetter"/>
      <w:start w:val="6"/>
    </w:lvl>
  </w:abstractNum>
  <w:abstractNum w:abstractNumId="135">
    <w:nsid w:val="6CAA2304"/>
    <w:multiLevelType w:val="hybridMultilevel"/>
    <w:lvl w:ilvl="0">
      <w:lvlJc w:val="left"/>
      <w:lvlText w:val="(%1)"/>
      <w:numFmt w:val="lowerLetter"/>
      <w:start w:val="8"/>
    </w:lvl>
  </w:abstractNum>
  <w:abstractNum w:abstractNumId="136">
    <w:nsid w:val="3F7C2FF4"/>
    <w:multiLevelType w:val="hybridMultilevel"/>
    <w:lvl w:ilvl="0">
      <w:lvlJc w:val="left"/>
      <w:lvlText w:val="%1"/>
      <w:numFmt w:val="lowerLetter"/>
      <w:start w:val="1"/>
    </w:lvl>
    <w:lvl w:ilvl="1">
      <w:lvlJc w:val="left"/>
      <w:lvlText w:val="(%2)"/>
      <w:numFmt w:val="lowerLetter"/>
      <w:start w:val="9"/>
    </w:lvl>
  </w:abstractNum>
  <w:abstractNum w:abstractNumId="137">
    <w:nsid w:val="25413BEC"/>
    <w:multiLevelType w:val="hybridMultilevel"/>
    <w:lvl w:ilvl="0">
      <w:lvlJc w:val="left"/>
      <w:lvlText w:val="(%1)"/>
      <w:numFmt w:val="lowerLetter"/>
      <w:start w:val="61"/>
    </w:lvl>
    <w:lvl w:ilvl="1">
      <w:lvlJc w:val="left"/>
      <w:lvlText w:val="%2"/>
      <w:numFmt w:val="lowerLetter"/>
      <w:start w:val="1"/>
    </w:lvl>
  </w:abstractNum>
  <w:abstractNum w:abstractNumId="138">
    <w:nsid w:val="17180B0B"/>
    <w:multiLevelType w:val="hybridMultilevel"/>
    <w:lvl w:ilvl="0">
      <w:lvlJc w:val="left"/>
      <w:lvlText w:val="(%1)"/>
      <w:numFmt w:val="lowerRoman"/>
      <w:start w:val="6"/>
    </w:lvl>
    <w:lvl w:ilvl="1">
      <w:lvlJc w:val="left"/>
      <w:lvlText w:val="(%2)"/>
      <w:numFmt w:val="lowerLetter"/>
      <w:start w:val="13"/>
    </w:lvl>
  </w:abstractNum>
  <w:abstractNum w:abstractNumId="139">
    <w:nsid w:val="579328B9"/>
    <w:multiLevelType w:val="hybridMultilevel"/>
    <w:lvl w:ilvl="0">
      <w:lvlJc w:val="left"/>
      <w:lvlText w:val="(%1)"/>
      <w:numFmt w:val="lowerLetter"/>
      <w:start w:val="15"/>
    </w:lvl>
  </w:abstractNum>
  <w:abstractNum w:abstractNumId="140">
    <w:nsid w:val="5D205E20"/>
    <w:multiLevelType w:val="hybridMultilevel"/>
    <w:lvl w:ilvl="0">
      <w:lvlJc w:val="left"/>
      <w:lvlText w:val="(%1)"/>
      <w:numFmt w:val="lowerRoman"/>
      <w:start w:val="10"/>
    </w:lvl>
  </w:abstractNum>
  <w:abstractNum w:abstractNumId="141">
    <w:nsid w:val="11CCA8BA"/>
    <w:multiLevelType w:val="hybridMultilevel"/>
    <w:lvl w:ilvl="0">
      <w:lvlJc w:val="left"/>
      <w:lvlText w:val="%1."/>
      <w:numFmt w:val="decimal"/>
      <w:start w:val="4"/>
    </w:lvl>
  </w:abstractNum>
  <w:abstractNum w:abstractNumId="142">
    <w:nsid w:val="4D32AB86"/>
    <w:multiLevelType w:val="hybridMultilevel"/>
    <w:lvl w:ilvl="0">
      <w:lvlJc w:val="left"/>
      <w:lvlText w:val="%1."/>
      <w:numFmt w:val="decimal"/>
      <w:start w:val="1"/>
    </w:lvl>
  </w:abstractNum>
  <w:abstractNum w:abstractNumId="143">
    <w:nsid w:val="3F07ACC3"/>
    <w:multiLevelType w:val="hybridMultilevel"/>
    <w:lvl w:ilvl="0">
      <w:lvlJc w:val="left"/>
      <w:lvlText w:val="(%1)"/>
      <w:numFmt w:val="lowerLetter"/>
      <w:start w:val="1"/>
    </w:lvl>
  </w:abstractNum>
  <w:abstractNum w:abstractNumId="144">
    <w:nsid w:val="6B47F63E"/>
    <w:multiLevelType w:val="hybridMultilevel"/>
    <w:lvl w:ilvl="0">
      <w:lvlJc w:val="left"/>
      <w:lvlText w:val="(%1)"/>
      <w:numFmt w:val="lowerLetter"/>
      <w:start w:val="3"/>
    </w:lvl>
  </w:abstractNum>
  <w:abstractNum w:abstractNumId="145">
    <w:nsid w:val="5CB44A05"/>
    <w:multiLevelType w:val="hybridMultilevel"/>
    <w:lvl w:ilvl="0">
      <w:lvlJc w:val="left"/>
      <w:lvlText w:val="(%1)"/>
      <w:numFmt w:val="lowerLetter"/>
      <w:start w:val="1"/>
    </w:lvl>
  </w:abstractNum>
  <w:abstractNum w:abstractNumId="146">
    <w:nsid w:val="16CF80F1"/>
    <w:multiLevelType w:val="hybridMultilevel"/>
    <w:lvl w:ilvl="0">
      <w:lvlJc w:val="left"/>
      <w:lvlText w:val="(%1)"/>
      <w:numFmt w:val="lowerLetter"/>
      <w:start w:val="1"/>
    </w:lvl>
  </w:abstractNum>
  <w:abstractNum w:abstractNumId="147">
    <w:nsid w:val="1C695DEC"/>
    <w:multiLevelType w:val="hybridMultilevel"/>
    <w:lvl w:ilvl="0">
      <w:lvlJc w:val="left"/>
      <w:lvlText w:val="(%1)"/>
      <w:numFmt w:val="lowerLetter"/>
      <w:start w:val="2"/>
    </w:lvl>
  </w:abstractNum>
  <w:abstractNum w:abstractNumId="148">
    <w:nsid w:val="3FCFAED9"/>
    <w:multiLevelType w:val="hybridMultilevel"/>
    <w:lvl w:ilvl="0">
      <w:lvlJc w:val="left"/>
      <w:lvlText w:val="%1."/>
      <w:numFmt w:val="decimal"/>
      <w:start w:val="2"/>
    </w:lvl>
  </w:abstractNum>
  <w:abstractNum w:abstractNumId="149">
    <w:nsid w:val="F856867"/>
    <w:multiLevelType w:val="hybridMultilevel"/>
    <w:lvl w:ilvl="0">
      <w:lvlJc w:val="left"/>
      <w:lvlText w:val="%1"/>
      <w:numFmt w:val="decimal"/>
      <w:start w:val="1"/>
    </w:lvl>
    <w:lvl w:ilvl="1">
      <w:lvlJc w:val="left"/>
      <w:lvlText w:val="(%2)"/>
      <w:numFmt w:val="lowerLetter"/>
      <w:start w:val="1"/>
    </w:lvl>
  </w:abstractNum>
  <w:abstractNum w:abstractNumId="150">
    <w:nsid w:val="11B1CC33"/>
    <w:multiLevelType w:val="hybridMultilevel"/>
    <w:lvl w:ilvl="0">
      <w:lvlJc w:val="left"/>
      <w:lvlText w:val="%1."/>
      <w:numFmt w:val="decimal"/>
      <w:start w:val="4"/>
    </w:lvl>
    <w:lvl w:ilvl="1">
      <w:lvlJc w:val="left"/>
      <w:lvlText w:val="%2"/>
      <w:numFmt w:val="lowerLetter"/>
      <w:start w:val="1"/>
    </w:lvl>
  </w:abstractNum>
  <w:abstractNum w:abstractNumId="151">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2">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3">
    <w:nsid w:val="77485850"/>
    <w:multiLevelType w:val="hybridMultilevel"/>
    <w:lvl w:ilvl="0">
      <w:lvlJc w:val="left"/>
      <w:lvlText w:val="%1"/>
      <w:numFmt w:val="lowerLetter"/>
      <w:start w:val="1"/>
    </w:lvl>
    <w:lvl w:ilvl="1">
      <w:lvlJc w:val="left"/>
      <w:lvlText w:val="(%2)"/>
      <w:numFmt w:val="lowerRoman"/>
      <w:start w:val="2"/>
    </w:lvl>
  </w:abstractNum>
  <w:abstractNum w:abstractNumId="154">
    <w:nsid w:val="744939A3"/>
    <w:multiLevelType w:val="hybridMultilevel"/>
    <w:lvl w:ilvl="0">
      <w:lvlJc w:val="left"/>
      <w:lvlText w:val="(%1)"/>
      <w:numFmt w:val="lowerLetter"/>
      <w:start w:val="2"/>
    </w:lvl>
    <w:lvl w:ilvl="1">
      <w:lvlJc w:val="left"/>
      <w:lvlText w:val="%2"/>
      <w:numFmt w:val="lowerRoman"/>
      <w:start w:val="1"/>
    </w:lvl>
  </w:abstractNum>
  <w:abstractNum w:abstractNumId="155">
    <w:nsid w:val="4FA0D2E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56">
    <w:nsid w:val="6B1D2C1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57">
    <w:nsid w:val="68B867D3"/>
    <w:multiLevelType w:val="hybridMultilevel"/>
    <w:lvl w:ilvl="0">
      <w:lvlJc w:val="left"/>
      <w:lvlText w:val="%1"/>
      <w:numFmt w:val="lowerLetter"/>
      <w:start w:val="1"/>
    </w:lvl>
    <w:lvl w:ilvl="1">
      <w:lvlJc w:val="left"/>
      <w:lvlText w:val="(%2)"/>
      <w:numFmt w:val="lowerRoman"/>
      <w:start w:val="2"/>
    </w:lvl>
  </w:abstractNum>
  <w:abstractNum w:abstractNumId="158">
    <w:nsid w:val="3F7F5DD9"/>
    <w:multiLevelType w:val="hybridMultilevel"/>
    <w:lvl w:ilvl="0">
      <w:lvlJc w:val="left"/>
      <w:lvlText w:val="(%1)"/>
      <w:numFmt w:val="lowerLetter"/>
      <w:start w:val="2"/>
    </w:lvl>
    <w:lvl w:ilvl="1">
      <w:lvlJc w:val="left"/>
      <w:lvlText w:val="(%2)"/>
      <w:numFmt w:val="lowerRoman"/>
      <w:start w:val="1"/>
    </w:lvl>
  </w:abstractNum>
  <w:abstractNum w:abstractNumId="159">
    <w:nsid w:val="2AE05A34"/>
    <w:multiLevelType w:val="hybridMultilevel"/>
    <w:lvl w:ilvl="0">
      <w:lvlJc w:val="left"/>
      <w:lvlText w:val="(%1)"/>
      <w:numFmt w:val="lowerLetter"/>
      <w:start w:val="3"/>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1)"/>
      <w:numFmt w:val="lowerLetter"/>
      <w:start w:val="3"/>
    </w:lvl>
    <w:lvl w:ilvl="1">
      <w:lvlJc w:val="left"/>
      <w:lvlText w:val="(%2)"/>
      <w:numFmt w:val="lowerRoman"/>
      <w:start w:val="1"/>
    </w:lvl>
  </w:abstractNum>
  <w:abstractNum w:abstractNumId="162">
    <w:nsid w:val="4DEFDFA0"/>
    <w:multiLevelType w:val="hybridMultilevel"/>
    <w:lvl w:ilvl="0">
      <w:lvlJc w:val="left"/>
      <w:lvlText w:val="(%1)"/>
      <w:numFmt w:val="lowerRoman"/>
      <w:start w:val="4"/>
    </w:lvl>
  </w:abstractNum>
  <w:abstractNum w:abstractNumId="163">
    <w:nsid w:val="2123D5F2"/>
    <w:multiLevelType w:val="hybridMultilevel"/>
    <w:lvl w:ilvl="0">
      <w:lvlJc w:val="left"/>
      <w:lvlText w:val="(%1)"/>
      <w:numFmt w:val="lowerLetter"/>
      <w:start w:val="5"/>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lowerLetter"/>
      <w:start w:val="3"/>
    </w:lvl>
    <w:lvl w:ilvl="1">
      <w:lvlJc w:val="left"/>
      <w:lvlText w:val="(%2)"/>
      <w:numFmt w:val="lowerRoman"/>
      <w:start w:val="1"/>
    </w:lvl>
  </w:abstractNum>
  <w:abstractNum w:abstractNumId="166">
    <w:nsid w:val="DCDF8F6"/>
    <w:multiLevelType w:val="hybridMultilevel"/>
    <w:lvl w:ilvl="0">
      <w:lvlJc w:val="left"/>
      <w:lvlText w:val="%1"/>
      <w:numFmt w:val="decimal"/>
      <w:start w:val="1"/>
    </w:lvl>
    <w:lvl w:ilvl="1">
      <w:lvlJc w:val="left"/>
      <w:lvlText w:val="(%2)"/>
      <w:numFmt w:val="lowerLetter"/>
      <w:start w:val="6"/>
    </w:lvl>
  </w:abstractNum>
  <w:abstractNum w:abstractNumId="167">
    <w:nsid w:val="52D7B105"/>
    <w:multiLevelType w:val="hybridMultilevel"/>
    <w:lvl w:ilvl="0">
      <w:lvlJc w:val="left"/>
      <w:lvlText w:val="%1."/>
      <w:numFmt w:val="decimal"/>
      <w:start w:val="5"/>
    </w:lvl>
    <w:lvl w:ilvl="1">
      <w:lvlJc w:val="left"/>
      <w:lvlText w:val="%2"/>
      <w:numFmt w:val="lowerLetter"/>
      <w:start w:val="1"/>
    </w:lvl>
  </w:abstractNum>
  <w:abstractNum w:abstractNumId="168">
    <w:nsid w:val="2E8A6394"/>
    <w:multiLevelType w:val="hybridMultilevel"/>
    <w:lvl w:ilvl="0">
      <w:lvlJc w:val="left"/>
      <w:lvlText w:val="%1."/>
      <w:numFmt w:val="decimal"/>
      <w:start w:val="1"/>
    </w:lvl>
  </w:abstractNum>
  <w:abstractNum w:abstractNumId="169">
    <w:nsid w:val="24E60401"/>
    <w:multiLevelType w:val="hybridMultilevel"/>
    <w:lvl w:ilvl="0">
      <w:lvlJc w:val="left"/>
      <w:lvlText w:val="%1."/>
      <w:numFmt w:val="decimal"/>
      <w:start w:val="5"/>
    </w:lvl>
  </w:abstractNum>
  <w:abstractNum w:abstractNumId="170">
    <w:nsid w:val="2A6AD9BE"/>
    <w:multiLevelType w:val="hybridMultilevel"/>
    <w:lvl w:ilvl="0">
      <w:lvlJc w:val="left"/>
      <w:lvlText w:val="%1."/>
      <w:numFmt w:val="decimal"/>
      <w:start w:val="1"/>
    </w:lvl>
  </w:abstractNum>
  <w:abstractNum w:abstractNumId="171">
    <w:nsid w:val="BAAC1B4"/>
    <w:multiLevelType w:val="hybridMultilevel"/>
    <w:lvl w:ilvl="0">
      <w:lvlJc w:val="left"/>
      <w:lvlText w:val="%1."/>
      <w:numFmt w:val="decimal"/>
      <w:start w:val="2"/>
    </w:lvl>
  </w:abstractNum>
  <w:abstractNum w:abstractNumId="172">
    <w:nsid w:val="36B2ACBC"/>
    <w:multiLevelType w:val="hybridMultilevel"/>
    <w:lvl w:ilvl="0">
      <w:lvlJc w:val="left"/>
      <w:lvlText w:val="%1."/>
      <w:numFmt w:val="decimal"/>
      <w:start w:val="1"/>
    </w:lvl>
    <w:lvl w:ilvl="1">
      <w:lvlJc w:val="left"/>
      <w:lvlText w:val="%2)"/>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2019-12-09T10:12:27Z</dcterms:created>
  <dcterms:modified xsi:type="dcterms:W3CDTF">2019-12-09T10:12:27Z</dcterms:modified>
</cp:coreProperties>
</file>