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201295</wp:posOffset>
            </wp:positionV>
            <wp:extent cx="1285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186055</wp:posOffset>
            </wp:positionV>
            <wp:extent cx="12858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3660" w:right="3640" w:hanging="3652"/>
        <w:spacing w:after="0" w:line="403" w:lineRule="auto"/>
        <w:tabs>
          <w:tab w:leader="none" w:pos="66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2022</w:t>
      </w:r>
    </w:p>
    <w:p>
      <w:pPr>
        <w:spacing w:after="0" w:line="30" w:lineRule="exact"/>
        <w:rPr>
          <w:sz w:val="24"/>
          <w:szCs w:val="24"/>
          <w:color w:val="auto"/>
        </w:rPr>
      </w:pPr>
    </w:p>
    <w:p>
      <w:pPr>
        <w:jc w:val="right"/>
        <w:ind w:left="3840" w:right="3800" w:hanging="3832"/>
        <w:spacing w:after="0" w:line="422" w:lineRule="auto"/>
        <w:tabs>
          <w:tab w:leader="none" w:pos="64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For the transition period from </w:t>
      </w:r>
      <w:r>
        <w:rPr>
          <w:rFonts w:ascii="Arial" w:cs="Arial" w:eastAsia="Arial" w:hAnsi="Arial"/>
          <w:sz w:val="16"/>
          <w:szCs w:val="16"/>
          <w:color w:val="auto"/>
        </w:rPr>
        <w:t>_____</w:t>
      </w:r>
      <w:r>
        <w:rPr>
          <w:rFonts w:ascii="Arial" w:cs="Arial" w:eastAsia="Arial" w:hAnsi="Arial"/>
          <w:sz w:val="16"/>
          <w:szCs w:val="16"/>
          <w:b w:val="1"/>
          <w:bCs w:val="1"/>
          <w:color w:val="auto"/>
        </w:rPr>
        <w:t xml:space="preserve"> to </w:t>
      </w:r>
      <w:r>
        <w:rPr>
          <w:rFonts w:ascii="Arial" w:cs="Arial" w:eastAsia="Arial" w:hAnsi="Arial"/>
          <w:sz w:val="16"/>
          <w:szCs w:val="16"/>
          <w:color w:val="auto"/>
        </w:rPr>
        <w:t>_____</w:t>
      </w:r>
      <w:r>
        <w:rPr>
          <w:rFonts w:ascii="Arial" w:cs="Arial" w:eastAsia="Arial" w:hAnsi="Arial"/>
          <w:sz w:val="16"/>
          <w:szCs w:val="16"/>
          <w:b w:val="1"/>
          <w:bCs w:val="1"/>
          <w:color w:val="auto"/>
        </w:rPr>
        <w:t>.</w:t>
      </w:r>
    </w:p>
    <w:p>
      <w:pPr>
        <w:ind w:left="42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231775</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American Superconductor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150495</wp:posOffset>
            </wp:positionV>
            <wp:extent cx="1285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340" w:type="dxa"/>
        <w:tblCellMar>
          <w:top w:w="0" w:type="dxa"/>
          <w:left w:w="0" w:type="dxa"/>
          <w:bottom w:w="0" w:type="dxa"/>
          <w:right w:w="0" w:type="dxa"/>
        </w:tblCellMar>
      </w:tblPr>
      <w:tr>
        <w:trPr>
          <w:trHeight w:val="212"/>
        </w:trPr>
        <w:tc>
          <w:tcPr>
            <w:tcW w:w="6220" w:type="dxa"/>
            <w:vAlign w:val="bottom"/>
          </w:tcPr>
          <w:p>
            <w:pPr>
              <w:jc w:val="center"/>
              <w:ind w:right="318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61"/>
              <w:spacing w:after="0"/>
              <w:rPr>
                <w:sz w:val="20"/>
                <w:szCs w:val="20"/>
                <w:color w:val="auto"/>
              </w:rPr>
            </w:pPr>
            <w:r>
              <w:rPr>
                <w:rFonts w:ascii="Arial" w:cs="Arial" w:eastAsia="Arial" w:hAnsi="Arial"/>
                <w:sz w:val="18"/>
                <w:szCs w:val="18"/>
                <w:b w:val="1"/>
                <w:bCs w:val="1"/>
                <w:color w:val="auto"/>
              </w:rPr>
              <w:t>04-2959321</w:t>
            </w:r>
          </w:p>
        </w:tc>
      </w:tr>
      <w:tr>
        <w:trPr>
          <w:trHeight w:val="148"/>
        </w:trPr>
        <w:tc>
          <w:tcPr>
            <w:tcW w:w="6220" w:type="dxa"/>
            <w:vAlign w:val="bottom"/>
          </w:tcPr>
          <w:p>
            <w:pPr>
              <w:jc w:val="center"/>
              <w:ind w:right="31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6"/>
              </w:rPr>
              <w:t>Identification No.)</w:t>
            </w:r>
          </w:p>
        </w:tc>
      </w:tr>
      <w:tr>
        <w:trPr>
          <w:trHeight w:val="327"/>
        </w:trPr>
        <w:tc>
          <w:tcPr>
            <w:tcW w:w="6220" w:type="dxa"/>
            <w:vAlign w:val="bottom"/>
          </w:tcPr>
          <w:p>
            <w:pPr>
              <w:jc w:val="center"/>
              <w:ind w:right="3200"/>
              <w:spacing w:after="0"/>
              <w:rPr>
                <w:sz w:val="20"/>
                <w:szCs w:val="20"/>
                <w:color w:val="auto"/>
              </w:rPr>
            </w:pPr>
            <w:r>
              <w:rPr>
                <w:rFonts w:ascii="Arial" w:cs="Arial" w:eastAsia="Arial" w:hAnsi="Arial"/>
                <w:sz w:val="18"/>
                <w:szCs w:val="18"/>
                <w:b w:val="1"/>
                <w:bCs w:val="1"/>
                <w:color w:val="auto"/>
                <w:w w:val="88"/>
              </w:rPr>
              <w:t>114 East Main St. Ayer, Massachusetts</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01432</w:t>
            </w:r>
          </w:p>
        </w:tc>
      </w:tr>
      <w:tr>
        <w:trPr>
          <w:trHeight w:val="186"/>
        </w:trPr>
        <w:tc>
          <w:tcPr>
            <w:tcW w:w="6220" w:type="dxa"/>
            <w:vAlign w:val="bottom"/>
          </w:tcPr>
          <w:p>
            <w:pPr>
              <w:jc w:val="center"/>
              <w:ind w:right="32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220" w:type="dxa"/>
            <w:vAlign w:val="bottom"/>
          </w:tcPr>
          <w:p>
            <w:pPr>
              <w:jc w:val="right"/>
              <w:ind w:right="1300"/>
              <w:spacing w:after="0"/>
              <w:rPr>
                <w:sz w:val="20"/>
                <w:szCs w:val="20"/>
                <w:color w:val="auto"/>
              </w:rPr>
            </w:pPr>
            <w:r>
              <w:rPr>
                <w:rFonts w:ascii="Arial" w:cs="Arial" w:eastAsia="Arial" w:hAnsi="Arial"/>
                <w:sz w:val="18"/>
                <w:szCs w:val="18"/>
                <w:b w:val="1"/>
                <w:bCs w:val="1"/>
                <w:color w:val="auto"/>
              </w:rPr>
              <w:t>(978) 842-3000</w:t>
            </w:r>
          </w:p>
        </w:tc>
        <w:tc>
          <w:tcPr>
            <w:tcW w:w="1440" w:type="dxa"/>
            <w:vAlign w:val="bottom"/>
          </w:tcPr>
          <w:p>
            <w:pPr>
              <w:spacing w:after="0"/>
              <w:rPr>
                <w:sz w:val="24"/>
                <w:szCs w:val="24"/>
                <w:color w:val="auto"/>
              </w:rPr>
            </w:pPr>
          </w:p>
        </w:tc>
      </w:tr>
      <w:tr>
        <w:trPr>
          <w:trHeight w:val="186"/>
        </w:trPr>
        <w:tc>
          <w:tcPr>
            <w:tcW w:w="6220" w:type="dxa"/>
            <w:vAlign w:val="bottom"/>
          </w:tcPr>
          <w:p>
            <w:pPr>
              <w:jc w:val="center"/>
              <w:ind w:left="22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1120" w:type="dxa"/>
        <w:tblCellMar>
          <w:top w:w="0" w:type="dxa"/>
          <w:left w:w="0" w:type="dxa"/>
          <w:bottom w:w="0" w:type="dxa"/>
          <w:right w:w="0" w:type="dxa"/>
        </w:tblCellMar>
      </w:tblPr>
      <w:tr>
        <w:trPr>
          <w:trHeight w:val="230"/>
        </w:trPr>
        <w:tc>
          <w:tcPr>
            <w:tcW w:w="32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2"/>
              </w:rPr>
              <w:t>Trading Symbol(s)</w:t>
            </w:r>
          </w:p>
        </w:tc>
        <w:tc>
          <w:tcPr>
            <w:tcW w:w="35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Name of each exchange on which registered</w:t>
            </w:r>
          </w:p>
        </w:tc>
      </w:tr>
      <w:tr>
        <w:trPr>
          <w:trHeight w:val="195"/>
        </w:trPr>
        <w:tc>
          <w:tcPr>
            <w:tcW w:w="320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0"/>
              </w:rPr>
              <w:t>Common Stock,</w:t>
            </w:r>
          </w:p>
        </w:tc>
        <w:tc>
          <w:tcPr>
            <w:tcW w:w="224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230"/>
        </w:trPr>
        <w:tc>
          <w:tcPr>
            <w:tcW w:w="32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7"/>
              </w:rPr>
              <w:t>$0.01 par value per share</w:t>
            </w:r>
          </w:p>
        </w:tc>
        <w:tc>
          <w:tcPr>
            <w:tcW w:w="22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6"/>
              </w:rPr>
              <w:t>AMSC</w:t>
            </w:r>
          </w:p>
        </w:tc>
        <w:tc>
          <w:tcPr>
            <w:tcW w:w="35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Nasdaq Global Select Market</w:t>
            </w:r>
          </w:p>
        </w:tc>
      </w:tr>
    </w:tbl>
    <w:p>
      <w:pPr>
        <w:spacing w:after="0" w:line="310"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47" w:right="339" w:bottom="298" w:gutter="0" w:footer="0" w:header="0"/>
        </w:sectPr>
      </w:pPr>
    </w:p>
    <w:p>
      <w:pPr>
        <w:spacing w:after="0" w:line="83"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5520" w:space="720"/>
            <w:col w:w="5000"/>
          </w:cols>
          <w:pgMar w:left="320" w:top="647" w:right="339" w:bottom="298"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5520" w:space="720"/>
            <w:col w:w="5000"/>
          </w:cols>
          <w:pgMar w:left="320" w:top="647" w:right="339" w:bottom="298" w:gutter="0" w:footer="0" w:header="0"/>
          <w:type w:val="continuous"/>
        </w:sectPr>
      </w:pPr>
    </w:p>
    <w:p>
      <w:pPr>
        <w:ind w:left="6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647" w:right="339" w:bottom="298" w:gutter="0" w:footer="0" w:header="0"/>
          <w:type w:val="continuous"/>
        </w:sectPr>
      </w:pPr>
    </w:p>
    <w:p>
      <w:pPr>
        <w:spacing w:after="0" w:line="21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Shares outstanding of the Registrant’s common stock:</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584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29,239,730</w:t>
            </w:r>
          </w:p>
        </w:tc>
      </w:tr>
      <w:tr>
        <w:trPr>
          <w:trHeight w:val="228"/>
        </w:trPr>
        <w:tc>
          <w:tcPr>
            <w:tcW w:w="5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c>
          <w:tcPr>
            <w:tcW w:w="440" w:type="dxa"/>
            <w:vAlign w:val="bottom"/>
          </w:tcPr>
          <w:p>
            <w:pPr>
              <w:spacing w:after="0"/>
              <w:rPr>
                <w:sz w:val="19"/>
                <w:szCs w:val="19"/>
                <w:color w:val="auto"/>
              </w:rPr>
            </w:pPr>
          </w:p>
        </w:tc>
        <w:tc>
          <w:tcPr>
            <w:tcW w:w="5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 as of October 28, 2022</w:t>
            </w:r>
          </w:p>
        </w:tc>
      </w:tr>
      <w:tr>
        <w:trPr>
          <w:trHeight w:val="252"/>
        </w:trPr>
        <w:tc>
          <w:tcPr>
            <w:tcW w:w="5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400" w:type="dxa"/>
            <w:vAlign w:val="bottom"/>
            <w:tcBorders>
              <w:bottom w:val="single" w:sz="8" w:color="auto"/>
            </w:tcBorders>
          </w:tcPr>
          <w:p>
            <w:pPr>
              <w:spacing w:after="0"/>
              <w:rPr>
                <w:sz w:val="21"/>
                <w:szCs w:val="21"/>
                <w:color w:val="auto"/>
              </w:rPr>
            </w:pPr>
          </w:p>
        </w:tc>
      </w:tr>
      <w:tr>
        <w:trPr>
          <w:trHeight w:val="68"/>
        </w:trPr>
        <w:tc>
          <w:tcPr>
            <w:tcW w:w="5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400" w:type="dxa"/>
            <w:vAlign w:val="bottom"/>
            <w:tcBorders>
              <w:bottom w:val="single" w:sz="8" w:color="auto"/>
            </w:tcBorders>
          </w:tcPr>
          <w:p>
            <w:pPr>
              <w:spacing w:after="0"/>
              <w:rPr>
                <w:sz w:val="5"/>
                <w:szCs w:val="5"/>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7" w:right="339" w:bottom="29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10"/>
            <w:vMerge w:val="restart"/>
          </w:tcPr>
          <w:p>
            <w:pPr>
              <w:spacing w:after="0"/>
              <w:rPr>
                <w:sz w:val="20"/>
                <w:szCs w:val="20"/>
                <w:color w:val="auto"/>
              </w:rPr>
            </w:pPr>
            <w:r>
              <w:rPr>
                <w:rFonts w:ascii="Arial" w:cs="Arial" w:eastAsia="Arial" w:hAnsi="Arial"/>
                <w:sz w:val="18"/>
                <w:szCs w:val="18"/>
                <w:color w:val="0000EE"/>
                <w:w w:val="98"/>
              </w:rPr>
              <w:t>PART I—FINANCIAL INFORMATION</w:t>
            </w:r>
          </w:p>
        </w:tc>
        <w:tc>
          <w:tcPr>
            <w:tcW w:w="7360" w:type="dxa"/>
            <w:vAlign w:val="bottom"/>
            <w:gridSpan w:val="5"/>
            <w:vMerge w:val="restart"/>
          </w:tcPr>
          <w:p>
            <w:pPr>
              <w:spacing w:after="0"/>
              <w:rPr>
                <w:sz w:val="20"/>
                <w:szCs w:val="20"/>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EE"/>
            </w:tcBorders>
            <w:gridSpan w:val="10"/>
            <w:vMerge w:val="continue"/>
          </w:tcPr>
          <w:p>
            <w:pPr>
              <w:spacing w:after="0"/>
              <w:rPr>
                <w:sz w:val="14"/>
                <w:szCs w:val="14"/>
                <w:color w:val="auto"/>
              </w:rPr>
            </w:pPr>
          </w:p>
        </w:tc>
        <w:tc>
          <w:tcPr>
            <w:tcW w:w="736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sz w:val="20"/>
                <w:szCs w:val="20"/>
                <w:color w:val="auto"/>
              </w:rPr>
            </w:pPr>
            <w:r>
              <w:rPr>
                <w:rFonts w:ascii="Arial" w:cs="Arial" w:eastAsia="Arial" w:hAnsi="Arial"/>
                <w:sz w:val="18"/>
                <w:szCs w:val="18"/>
                <w:color w:val="0000EE"/>
                <w:w w:val="88"/>
              </w:rPr>
              <w:t>Financial Statements</w:t>
            </w:r>
          </w:p>
        </w:tc>
        <w:tc>
          <w:tcPr>
            <w:tcW w:w="7920" w:type="dxa"/>
            <w:vAlign w:val="bottom"/>
            <w:gridSpan w:val="8"/>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EE"/>
              </w:rPr>
              <w:t>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3"/>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EE"/>
              </w:rPr>
              <w:t>23</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208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30</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3"/>
          </w:tcPr>
          <w:p>
            <w:pPr>
              <w:spacing w:after="0"/>
              <w:rPr>
                <w:sz w:val="20"/>
                <w:szCs w:val="20"/>
                <w:color w:val="auto"/>
              </w:rPr>
            </w:pPr>
            <w:r>
              <w:rPr>
                <w:rFonts w:ascii="Arial" w:cs="Arial" w:eastAsia="Arial" w:hAnsi="Arial"/>
                <w:sz w:val="18"/>
                <w:szCs w:val="18"/>
                <w:color w:val="0000EE"/>
              </w:rPr>
              <w:t>Controls and Procedures</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EE"/>
              </w:rPr>
              <w:t>30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15"/>
          </w:tcPr>
          <w:p>
            <w:pPr>
              <w:spacing w:after="0"/>
              <w:rPr>
                <w:sz w:val="20"/>
                <w:szCs w:val="20"/>
                <w:color w:val="auto"/>
              </w:rPr>
            </w:pPr>
            <w:r>
              <w:rPr>
                <w:rFonts w:ascii="Arial" w:cs="Arial" w:eastAsia="Arial" w:hAnsi="Arial"/>
                <w:sz w:val="18"/>
                <w:szCs w:val="18"/>
                <w:color w:val="0000EE"/>
              </w:rPr>
              <w:t>PART II—OTHER INFORMATION</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7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Legal Proceedings</w:t>
            </w:r>
          </w:p>
        </w:tc>
        <w:tc>
          <w:tcPr>
            <w:tcW w:w="7660" w:type="dxa"/>
            <w:vAlign w:val="bottom"/>
            <w:gridSpan w:val="6"/>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EE"/>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7"/>
              </w:rPr>
              <w:t>Risk Factors</w:t>
            </w:r>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Unregistered Sales of Equity Securities and Use of Proceeds</w:t>
            </w:r>
          </w:p>
        </w:tc>
        <w:tc>
          <w:tcPr>
            <w:tcW w:w="508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Defaults Upon Senior Securities</w:t>
            </w:r>
          </w:p>
        </w:tc>
        <w:tc>
          <w:tcPr>
            <w:tcW w:w="710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Mine Safety Disclosure</w:t>
            </w:r>
          </w:p>
        </w:tc>
        <w:tc>
          <w:tcPr>
            <w:tcW w:w="772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13"/>
          </w:tcPr>
          <w:p>
            <w:pPr>
              <w:spacing w:after="0"/>
              <w:rPr>
                <w:sz w:val="20"/>
                <w:szCs w:val="20"/>
                <w:color w:val="auto"/>
              </w:rPr>
            </w:pPr>
            <w:r>
              <w:rPr>
                <w:rFonts w:ascii="Arial" w:cs="Arial" w:eastAsia="Arial" w:hAnsi="Arial"/>
                <w:sz w:val="18"/>
                <w:szCs w:val="18"/>
                <w:color w:val="0000EE"/>
              </w:rPr>
              <w:t>Other Information</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EE"/>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1"/>
              </w:rPr>
              <w:t>Exhibits</w:t>
            </w:r>
          </w:p>
        </w:tc>
        <w:tc>
          <w:tcPr>
            <w:tcW w:w="700" w:type="dxa"/>
            <w:vAlign w:val="bottom"/>
            <w:tcBorders>
              <w:top w:val="single" w:sz="8" w:color="0000EE"/>
            </w:tcBorders>
            <w:gridSpan w:val="2"/>
          </w:tcPr>
          <w:p>
            <w:pPr>
              <w:spacing w:after="0"/>
              <w:rPr>
                <w:sz w:val="24"/>
                <w:szCs w:val="24"/>
                <w:color w:val="auto"/>
              </w:rPr>
            </w:pPr>
          </w:p>
        </w:tc>
        <w:tc>
          <w:tcPr>
            <w:tcW w:w="812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32</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0000EE"/>
              </w:rPr>
              <w:t>Signature</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453"/>
        </w:trPr>
        <w:tc>
          <w:tcPr>
            <w:tcW w:w="7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440" w:type="dxa"/>
            <w:vAlign w:val="bottom"/>
            <w:gridSpan w:val="12"/>
          </w:tcPr>
          <w:p>
            <w:pPr>
              <w:ind w:left="4660"/>
              <w:spacing w:after="0"/>
              <w:rPr>
                <w:sz w:val="20"/>
                <w:szCs w:val="20"/>
                <w:color w:val="auto"/>
              </w:rPr>
            </w:pPr>
            <w:r>
              <w:rPr>
                <w:rFonts w:ascii="Arial" w:cs="Arial" w:eastAsia="Arial" w:hAnsi="Arial"/>
                <w:sz w:val="18"/>
                <w:szCs w:val="18"/>
                <w:color w:val="auto"/>
              </w:rPr>
              <w:t>2</w:t>
            </w: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gridSpan w:val="4"/>
          </w:tcPr>
          <w:p>
            <w:pPr>
              <w:ind w:left="2920"/>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8000" w:type="dxa"/>
            <w:vAlign w:val="bottom"/>
          </w:tcPr>
          <w:p>
            <w:pPr>
              <w:ind w:left="506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5"/>
        </w:trPr>
        <w:tc>
          <w:tcPr>
            <w:tcW w:w="8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4"/>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March 31, 2022</w:t>
            </w:r>
          </w:p>
        </w:tc>
      </w:tr>
      <w:tr>
        <w:trPr>
          <w:trHeight w:val="209"/>
        </w:trPr>
        <w:tc>
          <w:tcPr>
            <w:tcW w:w="80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20,391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20,280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23,666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6,861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7,052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94,979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94,336</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12,798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13,656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Right-of-use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3,274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3,502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43,471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5,968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6,148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171,747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173,887</w:t>
            </w: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36,082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29,140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current portion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Debt, current portion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53,964</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long-term portion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Lease liability, long-term portion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2,572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2,900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Debt, long-term portion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76,364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64,498</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1,136,028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1,133,536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1,798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(1,039,097)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(1,020,506)</w:t>
            </w:r>
          </w:p>
        </w:tc>
      </w:tr>
      <w:tr>
        <w:trPr>
          <w:trHeight w:val="209"/>
        </w:trPr>
        <w:tc>
          <w:tcPr>
            <w:tcW w:w="800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95,383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109,389</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173,887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27,680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53,328</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46,698</w:t>
            </w: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6,630</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2,314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2,669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5,711</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7,350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13,838</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688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10,062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7,563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21,152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18,431</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(8,092)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(4,302)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(16,961)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(11,801)</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China dissolution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(9,895)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(11,784)</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(1,947)</w:t>
            </w:r>
          </w:p>
        </w:tc>
      </w:tr>
      <w:tr>
        <w:trPr>
          <w:trHeight w:val="210"/>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(9,881)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(9,837)</w:t>
            </w:r>
          </w:p>
        </w:tc>
      </w:tr>
      <w:tr>
        <w:trPr>
          <w:trHeight w:val="19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(0.36)</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(0.67)</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(0.36)</w:t>
            </w:r>
          </w:p>
        </w:tc>
      </w:tr>
      <w:tr>
        <w:trPr>
          <w:trHeight w:val="19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27,867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27,252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27,714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27,040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27,867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27,252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27,714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27,040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(9,881)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comprehensive (loss) gain, net of tax:</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China dissolution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Foreign currency translation (loss) gain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09"/>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 gain, net of tax</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(7,855)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(16,501)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(9,876)</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AMERICAN SUPERCONDUCTOR CORPORATION UNAUDITED CONSOLIDATED STATEMENTS OF STOCKHOLDERS’ EQUITY FOR THE THREE AND SIX MONTHS ENDED SEPTEMBER 30, 2022 AND 2021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10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1"/>
              <w:spacing w:after="0" w:line="191"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jc w:val="center"/>
              <w:ind w:right="20"/>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28,920</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289</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$ 1,133,536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7"/>
              </w:rPr>
              <w:t>(1,020,506)</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109,389</w:t>
            </w: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rPr>
              <w:t>Issuance of common stock -</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restricted shares, net of forfeited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shares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(8,710)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249"/>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$ 1,134,707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(1,029,216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120" w:type="dxa"/>
            <w:vAlign w:val="bottom"/>
          </w:tcPr>
          <w:p>
            <w:pPr>
              <w:ind w:left="340"/>
              <w:spacing w:after="0" w:line="196" w:lineRule="exact"/>
              <w:rPr>
                <w:sz w:val="20"/>
                <w:szCs w:val="20"/>
                <w:color w:val="auto"/>
              </w:rPr>
            </w:pPr>
            <w:r>
              <w:rPr>
                <w:rFonts w:ascii="Arial" w:cs="Arial" w:eastAsia="Arial" w:hAnsi="Arial"/>
                <w:sz w:val="18"/>
                <w:szCs w:val="18"/>
                <w:color w:val="auto"/>
                <w:w w:val="99"/>
              </w:rPr>
              <w:t>Issuance of common stock - ESPP</w:t>
            </w:r>
          </w:p>
        </w:tc>
        <w:tc>
          <w:tcPr>
            <w:tcW w:w="10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127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Issuance of common stock -</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Balance at September 30, 2022</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$ 1,136,028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(1,039,097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120" w:type="dxa"/>
            <w:vAlign w:val="bottom"/>
          </w:tcPr>
          <w:p>
            <w:pPr>
              <w:spacing w:after="0"/>
              <w:rPr>
                <w:sz w:val="24"/>
                <w:szCs w:val="24"/>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10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1"/>
              <w:spacing w:after="0" w:line="191"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jc w:val="center"/>
              <w:ind w:right="20"/>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27,988</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$ 1,121,495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(3,593)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7"/>
              </w:rPr>
              <w:t>(1,001,313)</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116,592</w:t>
            </w: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w w:val="99"/>
              </w:rPr>
              <w:t>Issuance of common stock - bonus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payout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1,681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Issuance of common stock -</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Neeltran acquisition</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4,384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treasury stock</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(5,403)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880" w:type="dxa"/>
            <w:vAlign w:val="bottom"/>
          </w:tcPr>
          <w:p>
            <w:pPr>
              <w:jc w:val="right"/>
              <w:spacing w:after="0"/>
              <w:rPr>
                <w:sz w:val="20"/>
                <w:szCs w:val="20"/>
                <w:color w:val="auto"/>
              </w:rPr>
            </w:pPr>
            <w:r>
              <w:rPr>
                <w:rFonts w:ascii="Arial" w:cs="Arial" w:eastAsia="Arial" w:hAnsi="Arial"/>
                <w:sz w:val="18"/>
                <w:szCs w:val="18"/>
                <w:color w:val="auto"/>
              </w:rPr>
              <w:t>28,726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287</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$ 1,128,961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(3,639)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w w:val="97"/>
              </w:rPr>
              <w:t>(1,006,716)</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118,553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w w:val="99"/>
              </w:rPr>
              <w:t>Issuance of common stock - ESPP</w:t>
            </w:r>
          </w:p>
        </w:tc>
        <w:tc>
          <w:tcPr>
            <w:tcW w:w="10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1"/>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1"/>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w w:val="99"/>
              </w:rPr>
              <w:t>Issuance of common stock - bonus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payout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(4,434)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$ 1,130,921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7"/>
              </w:rPr>
              <w:t>(1,011,150)</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116,104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6"/>
          </w:tcPr>
          <w:p>
            <w:pPr>
              <w:jc w:val="right"/>
              <w:ind w:right="321"/>
              <w:spacing w:after="0"/>
              <w:rPr>
                <w:sz w:val="20"/>
                <w:szCs w:val="20"/>
                <w:color w:val="auto"/>
              </w:rPr>
            </w:pPr>
            <w:r>
              <w:rPr>
                <w:rFonts w:ascii="Arial" w:cs="Arial" w:eastAsia="Arial" w:hAnsi="Arial"/>
                <w:sz w:val="18"/>
                <w:szCs w:val="18"/>
                <w:b w:val="1"/>
                <w:bCs w:val="1"/>
                <w:color w:val="auto"/>
                <w:w w:val="99"/>
              </w:rPr>
              <w:t>Six Months Ended September 30,</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9"/>
              </w:rPr>
              <w:t>(18,590)</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Adjustments to reconcile net loss to net cash used in operations: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2,799</w:t>
            </w:r>
          </w:p>
        </w:tc>
        <w:tc>
          <w:tcPr>
            <w:tcW w:w="8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2,631</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8"/>
                <w:szCs w:val="18"/>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2,052</w:t>
            </w:r>
          </w:p>
        </w:tc>
        <w:tc>
          <w:tcPr>
            <w:tcW w:w="8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2,393</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 for excess and obsolete inventory</w:t>
            </w:r>
          </w:p>
        </w:tc>
        <w:tc>
          <w:tcPr>
            <w:tcW w:w="9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1,015</w:t>
            </w:r>
          </w:p>
        </w:tc>
        <w:tc>
          <w:tcPr>
            <w:tcW w:w="8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1,203</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8"/>
                <w:szCs w:val="18"/>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(2,137)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fair value of contingent consideration</w:t>
            </w:r>
          </w:p>
        </w:tc>
        <w:tc>
          <w:tcPr>
            <w:tcW w:w="9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(120)</w:t>
            </w:r>
          </w:p>
        </w:tc>
        <w:tc>
          <w:tcPr>
            <w:tcW w:w="8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China dissolution</w:t>
            </w:r>
          </w:p>
        </w:tc>
        <w:tc>
          <w:tcPr>
            <w:tcW w:w="920" w:type="dxa"/>
            <w:vAlign w:val="bottom"/>
          </w:tcPr>
          <w:p>
            <w:pPr>
              <w:spacing w:after="0"/>
              <w:rPr>
                <w:sz w:val="18"/>
                <w:szCs w:val="18"/>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1,921</w:t>
            </w:r>
          </w:p>
        </w:tc>
        <w:tc>
          <w:tcPr>
            <w:tcW w:w="8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non-cash items</w:t>
            </w:r>
          </w:p>
        </w:tc>
        <w:tc>
          <w:tcPr>
            <w:tcW w:w="9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(134)</w:t>
            </w:r>
          </w:p>
        </w:tc>
        <w:tc>
          <w:tcPr>
            <w:tcW w:w="8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197</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Unrealized foreign exchange loss on cash and cash equivalents</w:t>
            </w:r>
          </w:p>
        </w:tc>
        <w:tc>
          <w:tcPr>
            <w:tcW w:w="920" w:type="dxa"/>
            <w:vAlign w:val="bottom"/>
          </w:tcPr>
          <w:p>
            <w:pPr>
              <w:spacing w:after="0"/>
              <w:rPr>
                <w:sz w:val="18"/>
                <w:szCs w:val="18"/>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 and liability accounts: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(8,657)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9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9"/>
              </w:rPr>
              <w:t>(13,749)</w:t>
            </w:r>
          </w:p>
        </w:tc>
        <w:tc>
          <w:tcPr>
            <w:tcW w:w="8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tcPr>
          <w:p>
            <w:pPr>
              <w:spacing w:after="0"/>
              <w:rPr>
                <w:sz w:val="18"/>
                <w:szCs w:val="18"/>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1,521</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6,885</w:t>
            </w:r>
          </w:p>
        </w:tc>
        <w:tc>
          <w:tcPr>
            <w:tcW w:w="8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3,475</w:t>
            </w:r>
          </w:p>
        </w:tc>
      </w:tr>
      <w:tr>
        <w:trPr>
          <w:trHeight w:val="233"/>
        </w:trPr>
        <w:tc>
          <w:tcPr>
            <w:tcW w:w="8000" w:type="dxa"/>
            <w:vAlign w:val="bottom"/>
          </w:tcPr>
          <w:p>
            <w:pPr>
              <w:ind w:left="660"/>
              <w:spacing w:after="0"/>
              <w:rPr>
                <w:sz w:val="20"/>
                <w:szCs w:val="20"/>
                <w:color w:val="auto"/>
              </w:rPr>
            </w:pPr>
            <w:r>
              <w:rPr>
                <w:rFonts w:ascii="Arial" w:cs="Arial" w:eastAsia="Arial" w:hAnsi="Arial"/>
                <w:sz w:val="18"/>
                <w:szCs w:val="18"/>
                <w:color w:val="auto"/>
              </w:rPr>
              <w:t>Deferred revenue</w:t>
            </w:r>
          </w:p>
        </w:tc>
        <w:tc>
          <w:tcPr>
            <w:tcW w:w="920" w:type="dxa"/>
            <w:vAlign w:val="bottom"/>
          </w:tcPr>
          <w:p>
            <w:pPr>
              <w:spacing w:after="0"/>
              <w:rPr>
                <w:sz w:val="20"/>
                <w:szCs w:val="20"/>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6,170</w:t>
            </w:r>
          </w:p>
        </w:tc>
        <w:tc>
          <w:tcPr>
            <w:tcW w:w="80" w:type="dxa"/>
            <w:vAlign w:val="bottom"/>
          </w:tcPr>
          <w:p>
            <w:pPr>
              <w:spacing w:after="0"/>
              <w:rPr>
                <w:sz w:val="20"/>
                <w:szCs w:val="20"/>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281</w:t>
            </w:r>
          </w:p>
        </w:tc>
      </w:tr>
      <w:tr>
        <w:trPr>
          <w:trHeight w:val="189"/>
        </w:trPr>
        <w:tc>
          <w:tcPr>
            <w:tcW w:w="800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Net cash used in operating activities</w:t>
            </w:r>
          </w:p>
        </w:tc>
        <w:tc>
          <w:tcPr>
            <w:tcW w:w="92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8"/>
              </w:rPr>
              <w:t>(11,572</w:t>
            </w:r>
          </w:p>
        </w:tc>
        <w:tc>
          <w:tcPr>
            <w:tcW w:w="240" w:type="dxa"/>
            <w:vAlign w:val="bottom"/>
            <w:tcBorders>
              <w:top w:val="single" w:sz="8" w:color="CCEEFF"/>
              <w:bottom w:val="single" w:sz="8" w:color="CCEEFF"/>
              <w:right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right w:val="single" w:sz="8" w:color="auto"/>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(11,734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3"/>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Purchase of property, plant and equipment</w:t>
            </w:r>
          </w:p>
        </w:tc>
        <w:tc>
          <w:tcPr>
            <w:tcW w:w="920" w:type="dxa"/>
            <w:vAlign w:val="bottom"/>
          </w:tcPr>
          <w:p>
            <w:pPr>
              <w:spacing w:after="0"/>
              <w:rPr>
                <w:sz w:val="18"/>
                <w:szCs w:val="18"/>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paid for acquisition, net of cash acquired</w:t>
            </w:r>
          </w:p>
        </w:tc>
        <w:tc>
          <w:tcPr>
            <w:tcW w:w="9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Proceeds from the maturity of marketable securities</w:t>
            </w:r>
          </w:p>
        </w:tc>
        <w:tc>
          <w:tcPr>
            <w:tcW w:w="920" w:type="dxa"/>
            <w:vAlign w:val="bottom"/>
          </w:tcPr>
          <w:p>
            <w:pPr>
              <w:spacing w:after="0"/>
              <w:rPr>
                <w:sz w:val="18"/>
                <w:szCs w:val="18"/>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5,189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other assets</w:t>
            </w:r>
          </w:p>
        </w:tc>
        <w:tc>
          <w:tcPr>
            <w:tcW w:w="9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(99)</w:t>
            </w:r>
          </w:p>
        </w:tc>
        <w:tc>
          <w:tcPr>
            <w:tcW w:w="8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Repurchase of treasury stock</w:t>
            </w:r>
          </w:p>
        </w:tc>
        <w:tc>
          <w:tcPr>
            <w:tcW w:w="9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Repayment of debt</w:t>
            </w:r>
          </w:p>
        </w:tc>
        <w:tc>
          <w:tcPr>
            <w:tcW w:w="920" w:type="dxa"/>
            <w:vAlign w:val="bottom"/>
          </w:tcPr>
          <w:p>
            <w:pPr>
              <w:spacing w:after="0"/>
              <w:rPr>
                <w:sz w:val="18"/>
                <w:szCs w:val="18"/>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exercise of employee stock options and ESPP</w:t>
            </w:r>
          </w:p>
        </w:tc>
        <w:tc>
          <w:tcPr>
            <w:tcW w:w="9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128</w:t>
            </w:r>
          </w:p>
        </w:tc>
        <w:tc>
          <w:tcPr>
            <w:tcW w:w="8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125</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tcPr>
          <w:p>
            <w:pPr>
              <w:spacing w:after="0"/>
              <w:rPr>
                <w:sz w:val="18"/>
                <w:szCs w:val="18"/>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920" w:type="dxa"/>
            <w:vAlign w:val="bottom"/>
          </w:tcPr>
          <w:p>
            <w:pPr>
              <w:spacing w:after="0"/>
              <w:rPr>
                <w:sz w:val="18"/>
                <w:szCs w:val="18"/>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w w:val="89"/>
              </w:rPr>
              <w:t>(12,132)</w:t>
            </w: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(18,550)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8"/>
              </w:rPr>
              <w:t>49,486</w:t>
            </w:r>
          </w:p>
        </w:tc>
        <w:tc>
          <w:tcPr>
            <w:tcW w:w="8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75,539</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37,354</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56,989</w:t>
            </w: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schedule of cash flow information:</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 net of refunds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152</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Issuance of common stock to settle liabilities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317</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2,529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Operations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 and Operations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American Superconductor Corporation (together with its subsidiaries, “AMSC®” or the “Company”) was founded on April 9, 1987. The Company is a leading system provider of megawatt-scale power resiliency solutions that Orchestrate the Rhythm and Harmony of Power on the Grid™ and that protect and expand the capability of the Navy’s fleet. The Company’s system level products leverage its proprietary “smart materials” and “smart software and controls” to provide enhanced resiliency and improved performance of megawatt-scale power flow.</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These unaudited condensed consolidated financial statements of the Company have been prepared on a going concern basis in accordance with United States generally accepted accounting principles (“GAAP”) and the Securities and Exchange Commission’s (“SEC”) instructions to Form 10-Q. The going concern basis of presentation assumes that the Company will continue operations and will be able to realize its assets and discharge its liabilities and commitments in the normal course of business. Certain information and footnote disclosures normally included in the financial statements prepared in accordance with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September 30, 2022 and 2021 and the financial position at September 30, 2022; however, these results are not necessarily indicative of results which may be expected for the full year. The interim condensed consolidated financial statements, and notes thereto, should be read in conjunction with the audited consolidated financial statements for the year ended March 31, 2022, and notes thereto, included in the Company’s Annual Report on Form 10-K for the year ended March 31, 2022 filed with the SEC on June 1,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historically experienced recurring operating losses and as of September 30, 2022, the Company had an accumulated deficit of $1,039 million. In addition, the Company has historically experienced recurring negative operating cash flows. At September 30, 2022, the Company had cash and cash equivalents of $27.8 million. Cash used in operations for the six months ended September 30, 2022 was $11.6 million.</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February 2021, the Company filed a shelf registration statement on Form S-3 that will expire in February 2024 (the “Form S-3”). The Form S-3 allows the Company to offer and sell from time-to-time up to $250 million of common stock, debt securities, warrants or units comprised of any combination of these securities. The Form S-3 is intended to provide the Company flexibility to conduct registered sales of the Company's securities, subject to market conditions, in order to fund the Company's future capital needs. The terms of any future offering under the Form S-3 will be established at the time of such offering and will be described in a prospectus supplement filed with the SEC prior to the completion of any such offering.</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COVID-19 pandemic continues to rapidly evolve. While the COVID-19 pandemic has not materially disrupted the Company's business to date, any future actions necessitated by the COVID-19 pandemic may result in disruption to the Company's business. In addition, the Company is experiencing substantial inflationary pressure in its supply chain, some delays in sourcing materials needed for its products and some production disruption resulting from higher than typical employee absenteeism, all of which have increased the Company’s cost of revenues and decreased gross margin. The extent to which the pandemic impacts the Company’s business, liquidity, results of operations and financial condition will depend on future developments, which are highly uncertain and cannot be predicted with confidence. Changes in macroeconomic conditions arising from the COVID-19 pandemic or for other reasons, such as the ongoing war between Russia and Ukraine, inflation, rising interest rates, labor force availability, sourcing, material delays and global supply chain disruptions could have a material adverse effect on the Company’s business, financial condition and results of operation.</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believes that based on the information presented above and its quarterly management assessment, it has sufficient liquidity to fund its operations and capital expenditures for the next twelve months following the issuance of the financial statements for the six months ended September 30, 2022. The Company’s liquidity is highly dependent on its ability to increase revenues, its ability to control its operating costs, and its ability to raise additional capital, if necessary. The impact of the COVID-19 pandemic and other sources of instability, including the war between Russia and Ukraine, on the global financing markets may reduce the Company's ability to raise additional capital, if necessary, which could negatively impact the Company's liquidity. There can be no assurance that the Company will be able to continue to raise additional capital, on favorable terms or at all, from other sources or execute on any other means of improving liquidity described above.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 of Neeltran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6, 2021, the Company entered into a Purchase and Sale Agreement (the "Real Property Purchase Agreement") and a Stock Purchase Agreement (the "Neeltran Stock Purchase Agreement") with the selling equity holders named therein. Also on May 6, 2021</w:t>
      </w:r>
      <w:r>
        <w:rPr>
          <w:rFonts w:ascii="Arial" w:cs="Arial" w:eastAsia="Arial" w:hAnsi="Arial"/>
          <w:sz w:val="18"/>
          <w:szCs w:val="18"/>
          <w:i w:val="1"/>
          <w:iCs w:val="1"/>
          <w:color w:val="auto"/>
        </w:rPr>
        <w:t>,</w:t>
      </w:r>
      <w:r>
        <w:rPr>
          <w:rFonts w:ascii="Arial" w:cs="Arial" w:eastAsia="Arial" w:hAnsi="Arial"/>
          <w:sz w:val="18"/>
          <w:szCs w:val="18"/>
          <w:color w:val="auto"/>
        </w:rPr>
        <w:t xml:space="preserve"> pursuant to the terms of the Real Property Purchase Agreement, the Company's wholly-owned Connecticut limited liability company, AMSC Husky LLC ("AMSC Husky"), purchased the real property that serves as Neeltran's headquarters for $4.3 million, of which (a) $2.4 million was paid in immediately available funds by AMSC Husky to the owners of such real property, and (b) $1.9 million was paid directly to TD Bank as full payment for the outstanding indebtedness secured by the mortgage on such real property.</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terms of the Neeltran Stock Purchase Agreement, the Company purchased all of the issued and outstanding shares of capital stock of Neeltran, Inc., a Connecticut corporation ("Neeltran") and Neeltran International, Inc., a Connecticut corporation ("International") for $1.0 million in cash and 301,556 shares of the Company's common stock, $.01 par value per share ("AMSC Shares"), that were paid and issued, respectively, to the Neeltran selling stockholders. The Company also paid $1.1 million to International selling stockholders to pay off previous loans made by them to Neeltran.</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Additionally, the Company paid approximately $7.6 million, including $1.9 million of indebtedness secured by the mortgage on the real property as described above, directly to Neeltran lenders at closing to extinguish outstanding Neeltran indebtedness to third parties. The total purchase price of $16.4 million includes cash paid, the fair value of the AMSC Shares issued at closing and the debt payoff on behalf of the sellers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Issuance of 301,556 shares of Company's common stock</w:t>
            </w:r>
          </w:p>
        </w:tc>
        <w:tc>
          <w:tcPr>
            <w:tcW w:w="2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payment to third party lenders on behalf of sellers</w:t>
            </w:r>
          </w:p>
        </w:tc>
        <w:tc>
          <w:tcPr>
            <w:tcW w:w="28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880" w:type="dxa"/>
            <w:vAlign w:val="bottom"/>
          </w:tcPr>
          <w:p>
            <w:pPr>
              <w:spacing w:after="0"/>
              <w:rPr>
                <w:sz w:val="20"/>
                <w:szCs w:val="20"/>
                <w:color w:val="auto"/>
              </w:rPr>
            </w:pPr>
            <w:r>
              <w:rPr>
                <w:rFonts w:ascii="Arial" w:cs="Arial" w:eastAsia="Arial" w:hAnsi="Arial"/>
                <w:sz w:val="18"/>
                <w:szCs w:val="18"/>
                <w:color w:val="auto"/>
              </w:rPr>
              <w:t>Total consideration</w:t>
            </w:r>
          </w:p>
        </w:tc>
        <w:tc>
          <w:tcPr>
            <w:tcW w:w="3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Neeltran Acquisition completed by the Company during the fiscal year ended March 31, 2022 has been accounted for under the purchase method of accounting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The Company allocated the purchase price to the assets acquired and liabilities assumed at their estimated fair values as of the date of Neeltran Acquisition. The excess of the purchase price paid by the Company over the estimated fair value of net assets acquired has been recorded as goodwill. As Neeltran was previously a private company, the adoption of Accounting Standards Codification 842 ("ASC 842") was completed as part of the Neeltran Acquisition. See Note 15, "Leases" for further details. Neeltran had previously adopted Accounting Standards Codification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as part of prior year audited financial statements.</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 of the assets acquired and liabilities assumed in connection with the Neeltran Acquisition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09"/>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3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ind w:right="80" w:firstLine="675"/>
        <w:spacing w:after="0" w:line="257" w:lineRule="auto"/>
        <w:rPr>
          <w:sz w:val="20"/>
          <w:szCs w:val="20"/>
          <w:color w:val="auto"/>
        </w:rPr>
      </w:pPr>
      <w:r>
        <w:rPr>
          <w:rFonts w:ascii="Arial" w:cs="Arial" w:eastAsia="Arial" w:hAnsi="Arial"/>
          <w:sz w:val="18"/>
          <w:szCs w:val="18"/>
          <w:color w:val="auto"/>
        </w:rPr>
        <w:t>Inventory include s a $0.6 million adjustment to step up the inventory balance to fair value consistent with the purchase price allocation. The fair value was based on the estimated selling price of the inventory, less the remaining manufacturing and selling cost and a normal profit margin on those manufacturing and selling efforts. The inventory step up adjustment increased cost of revenue by $0.6 million in the twelve month period ended March 31, 2022 as the inventory was sold. This increase is not reflected in the pro forma condensed combined statements of operations because it does not have a continuing impact beyond the first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Backlog of $0.1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184" w:lineRule="exact"/>
        <w:rPr>
          <w:sz w:val="20"/>
          <w:szCs w:val="20"/>
          <w:color w:val="auto"/>
        </w:rPr>
      </w:pPr>
    </w:p>
    <w:p>
      <w:pPr>
        <w:jc w:val="both"/>
        <w:ind w:firstLine="698"/>
        <w:spacing w:after="0" w:line="263" w:lineRule="auto"/>
        <w:rPr>
          <w:sz w:val="20"/>
          <w:szCs w:val="20"/>
          <w:color w:val="auto"/>
        </w:rPr>
      </w:pPr>
      <w:r>
        <w:rPr>
          <w:rFonts w:ascii="Arial" w:cs="Arial" w:eastAsia="Arial" w:hAnsi="Arial"/>
          <w:sz w:val="18"/>
          <w:szCs w:val="18"/>
          <w:color w:val="auto"/>
        </w:rPr>
        <w:t>Customer relationships of $3.5 million relates to customers currently under contract and was determined based on a multi period excess earnings method under the income approach. The method of amortization being utilized is the economic consumption over 7 years with the expense being allocated to SG&amp;A.</w:t>
      </w:r>
    </w:p>
    <w:p>
      <w:pPr>
        <w:spacing w:after="0" w:line="184" w:lineRule="exact"/>
        <w:rPr>
          <w:sz w:val="20"/>
          <w:szCs w:val="20"/>
          <w:color w:val="auto"/>
        </w:rPr>
      </w:pPr>
    </w:p>
    <w:p>
      <w:pPr>
        <w:jc w:val="both"/>
        <w:ind w:firstLine="698"/>
        <w:spacing w:after="0" w:line="308" w:lineRule="auto"/>
        <w:rPr>
          <w:sz w:val="20"/>
          <w:szCs w:val="20"/>
          <w:color w:val="auto"/>
        </w:rPr>
      </w:pPr>
      <w:r>
        <w:rPr>
          <w:rFonts w:ascii="Arial" w:cs="Arial" w:eastAsia="Arial" w:hAnsi="Arial"/>
          <w:sz w:val="17"/>
          <w:szCs w:val="17"/>
          <w:color w:val="auto"/>
        </w:rPr>
        <w:t>Trade names and trademarks of $1.2 million were reviewed using the assumption that the Company would continue to utilize the Neeltran trade name indefinitely. The relief from royalty method was utilized using a 1% royalty rate on revenues with a 24.5% discount rate over 15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38" w:gutter="0" w:footer="0" w:header="0"/>
        </w:sectPr>
      </w:pPr>
    </w:p>
    <w:bookmarkStart w:id="9" w:name="page10"/>
    <w:bookmarkEnd w:id="9"/>
    <w:p>
      <w:pPr>
        <w:jc w:val="both"/>
        <w:ind w:firstLine="648"/>
        <w:spacing w:after="0" w:line="259" w:lineRule="auto"/>
        <w:rPr>
          <w:sz w:val="20"/>
          <w:szCs w:val="20"/>
          <w:color w:val="auto"/>
        </w:rPr>
      </w:pPr>
      <w:r>
        <w:rPr>
          <w:rFonts w:ascii="Arial" w:cs="Arial" w:eastAsia="Arial" w:hAnsi="Arial"/>
          <w:sz w:val="18"/>
          <w:szCs w:val="18"/>
          <w:color w:val="auto"/>
        </w:rPr>
        <w:t>The goodwill represents the value associated with the acquired workforce and expected synergies related to the business combinations of the two companies. Goodwill resulting from the Neeltran Acquisition was assigned to the Company's Grid business segment. Goodwill recognized in the Neeltran Acquisition is not deductible for tax purposes. The Company has finalized its purchase price allocation for the Neeltran Acquisition, and there were no changes to the net assets and goodwill recorded by the Company as of May 6, 2021.</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Unaudited Pro Forma Operating Results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unaudited pro forma condensed consolidated statement of operations for the three and six months ended September 30, 2022 and 2021 is presented as if the Neeltran Acquisition had occurred on April 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Six Months Ended September</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27,680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56,158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(8,092)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(4,302)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(16,975)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(11,686)</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(0.45)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Shares - basic</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27,867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27,252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27,714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27,101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 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27,101</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pro forma amounts include the historical operating results of the Company, and Neeltran, with appropriate adjustments that give effect to acquisition related costs, income taxes, intangible amortization resulting from the Neeltran Acquisition and certain conforming accounting policies of the Company. The pro forma amounts are not necessarily indicative of the operating results that would have occurred if the Neeltran Acquisition and related transactions had been completed at the beginning of the applicable periods presented. In addition, the pro forma amounts are not necessarily indicative of operating results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NEPSI</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1, 2020 (the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Northeast Power Systems, Inc., a New York corporation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Prior to the NEPSI Acquisition, the Company had purchased $0.4 million of products from NEPSI in fiscal year 2019 for which NEPSI was paid and had recorded revenue.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NEPSI Stock Purchase Agreement, the Company acquired all of the issued and outstanding shares of NEPSI, and membership interest in the realty entity, for which the Company paid $26.0 million in cash and issued 873,657 restricted shares of the Company’s common stock. Additionally, the Company may issue to the selling stockholders up to an additional 1,000,000 shares of common stock upon NEPSI’s achievement of specified revenue objectives during varying periods of up to four years following closing of the NEPSI Acquisition. This contingent consideration is recorded as a derivative liability based on a Monte Carlo simulation to determine fair value at the time of issuance. NEPSI is now a wholly-owned subsidiary of the Company and is operated and reported as a component of its Grid business unit.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NEPSI Acquisition completed by the Company during the fiscal year ended March 31, 2021 has been accounted for under the purchase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allocated the purchase price to the assets acquired and liabilities assumed at their estimated fair values as of the date of NEPSI Acquisition. The excess of the purchase price paid by the Company over the estimated fair value of net assets acquired has been recorded as goodwill. As NEPSI was previously a private company, the adoption of ASC 606 was completed as part of the NEPSI Acquisition. See Note 3, "Revenue Recognition" for further details. There were no leases acquired and the NEPSI Acquisition had no impact to the Company's reporting under ASC 842.</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total purchase price of approximately $42.4 million includes the fair value of shares of the Company’s common stock issued at closing, cash paid, and contingent consideration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Issuance of 873,657 shares of Company’s common stock</w:t>
            </w: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7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900" w:type="dxa"/>
            <w:vAlign w:val="bottom"/>
          </w:tcPr>
          <w:p>
            <w:pPr>
              <w:spacing w:after="0"/>
              <w:rPr>
                <w:sz w:val="20"/>
                <w:szCs w:val="20"/>
                <w:color w:val="auto"/>
              </w:rPr>
            </w:pPr>
            <w:r>
              <w:rPr>
                <w:rFonts w:ascii="Arial" w:cs="Arial" w:eastAsia="Arial" w:hAnsi="Arial"/>
                <w:sz w:val="18"/>
                <w:szCs w:val="18"/>
                <w:color w:val="auto"/>
              </w:rPr>
              <w:t>Total consideration</w:t>
            </w:r>
          </w:p>
        </w:tc>
        <w:tc>
          <w:tcPr>
            <w:tcW w:w="3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consideration consists of (a) cash of $26.0 million, (b) issuance of the Company's common stock, using $14.23 per share, which was the closing price on the day that the Company acquired NEPSI, and (c) $4.0 million of contingent consideration for the earnout liability valued as of the NEPSI Acquisition Date. NEPSI Acquisition costs of $0.3 million were recorded in selling, general and administrative ("SG&amp;A") costs for the fiscal year ended March 31, 2021.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 contingent consideration was determined using a Monte Carlo model and is accounted for as a derivative liability which is revalued at the fair value determined at each subsequent balance sheet date until the contingencies are resolved and the shares to be issued are determined, with the change in fair value recorded in the current period operating loss or (income). See Note 13, "Contingent Consideration" for further details and a summary of key assumptions used to determine fair value in each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33" w:gutter="0" w:footer="0" w:header="0"/>
        </w:sectPr>
      </w:pPr>
    </w:p>
    <w:bookmarkStart w:id="10" w:name="page11"/>
    <w:bookmarkEnd w:id="10"/>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values of the assets acquired and liabilities assumed and related deferred income taxes in connection with the NEPSI Acquisition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Inventory</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revenue</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09"/>
        </w:trPr>
        <w:tc>
          <w:tcPr>
            <w:tcW w:w="7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Backlog</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09"/>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09"/>
        </w:trPr>
        <w:tc>
          <w:tcPr>
            <w:tcW w:w="71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Inventory includes a $1.0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$1.0 million step up adjustment increased cost of revenue in the fiscal year ended March 31, 2021 as the inventory was sold. This increase is not reflected in the pro forma condensed combined statements of operations because it does not have a continuing impact beyond the first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Backlog of $0.6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Customer relationships of $6.1 million relates to customers currently under contract and was determined based on a multi period excess earnings method under the income approach. The method of amortization being utilized is the economic consumption over 7 years with the expense being allocated to SG&amp;A.</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Trade names and trademarks of $0.6 million were reviewed, using the assumption that the Company would continue to utilize the NEPSI trade name indefinitely. The relief from royalty method was utilized using an 8% royalty rate on revenues with a 13% discount rate over 8 years.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Goodwill represents the value associated with the acquired workforce and expected synergies related to the business combination of the two companies. Goodwill resulting from the NEPSI Acquisition was assigned to the Company’s Grid business segment. Goodwill recognized in the NEPSI Acquisition is not deductible for tax purposes. The $1.7 million of deferred tax liability is primarily related to inventory step up and intangibles.</w:t>
      </w:r>
    </w:p>
    <w:p>
      <w:pPr>
        <w:spacing w:after="0" w:line="38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revenues in its Grid business segment are derived primarily through enabling the transmission and distribution of power, providing planning services that allow it to identify power grid needs and risks, and developing ship protection systems for the U.S. Navy. The Company’s revenues in its Wind business segment are derived primarily through supplying advanced power electronics and control systems, licensing its highly engineered wind turbine designs, and providing extensive customer support services to wind turbine manufacturers. The Company records revenue based on a five-step model in accordance with ASC 606.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In the three and six months ended September 30, 2022, 83% and 77% of revenue, respectively, was recognized at the point in time when control transferred to the customer, with the remainder being recognized over time. In the three and six months ended September 30, 2021, 86% and 82% of revenue, respectively, was recognized at the point in time when control transferred to the customer, with the remainder being recognized over time.</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equipment and system product line includes certain contracts which do not meet the requirements of an exchange transaction and therefore do not fall within the scope of ASC 606. As these non-exchange transaction contracts are considered grant revenue and do not fall within any specific accounting literature, the Company follows guidance within ASC 606 by analogy to recognize grant revenue over time. The Company recorded no grant revenue in each of the three and six months ended September 30, 2022. In the three and six months ended September 30, 2021, the Company recorded $0.3 million and $0.8 million in grant revenue, respectively, which is included in the Company’s Grid business segment revenue.</w:t>
      </w:r>
    </w:p>
    <w:p>
      <w:pPr>
        <w:spacing w:after="0" w:line="16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the Company's service and technology development product line, there are several different types of transactions and each begins with a contract with a customer that summarizes each product sold to a customer, which typically represent distinct performance obligations. The technology development transactions are primarily for activities that have no alternative use and for which a profit can be expected throughout the life of the contract. In these cases, the revenue is recognized over time, but in the instances where a reasonable profit margin cannot be assured throughout the entire contract,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not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not assured and a contract does not exist under ASC 606, revenue is deferred until a non-refundable payment has been received for substantially all the amount that is due and there are no further remaining performance obligations.</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policy is not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twelve months; in such cases the long-term amount will be assessed for materiality. The Company has elected not to adjust the promised amount of consideration for the effects of a significant financing component if the period of financing is twelve months or less.</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contracts with customers do not typically include extended payment terms and may include milestone billing over the life of the contract. Payment terms vary by contract type and type of customer and generally range from 30 to 60 days from delivery.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578"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The following tables disaggregate the Company’s revenue by product line and by shipment destination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Six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30, 2022</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1"/>
              </w:rPr>
              <w:t>30, 2022</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Grid</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Grid</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24,128</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42,204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1,570</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3,323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25,698</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96"/>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18,021</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34,923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EMEA</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1,499</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1,749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49"/>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25,698</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394"/>
        </w:trPr>
        <w:tc>
          <w:tcPr>
            <w:tcW w:w="5980" w:type="dxa"/>
            <w:vAlign w:val="bottom"/>
          </w:tcPr>
          <w:p>
            <w:pPr>
              <w:spacing w:after="0"/>
              <w:rPr>
                <w:sz w:val="24"/>
                <w:szCs w:val="24"/>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Six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30, 2021</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1"/>
              </w:rPr>
              <w:t>30, 2021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Grid</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Grid</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23,031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44,189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1,588</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1,463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3,930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2,349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24,619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48,119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5,209</w:t>
            </w:r>
          </w:p>
        </w:tc>
      </w:tr>
      <w:tr>
        <w:trPr>
          <w:trHeight w:val="19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18,115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40,760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EMEA</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3,235</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3,492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24,619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48,119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September 30, 2022, and 2021,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8, “Accounts Receivable” and Note 9,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Unbilled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Accounts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6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Receivable</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Program 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c>
          <w:tcPr>
            <w:tcW w:w="100" w:type="dxa"/>
            <w:vAlign w:val="bottom"/>
          </w:tcPr>
          <w:p>
            <w:pPr>
              <w:spacing w:after="0"/>
              <w:rPr>
                <w:sz w:val="20"/>
                <w:szCs w:val="20"/>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6,492</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due to customer billings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33,141</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Increase (decrease) due to recognition of revenue based on transfer of control of performance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7,342</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(26,857)</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Other changes and FX impact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(863)</w:t>
            </w:r>
          </w:p>
        </w:tc>
      </w:tr>
      <w:tr>
        <w:trPr>
          <w:trHeight w:val="249"/>
        </w:trPr>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as of September 30, 2022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Unbilled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Accounts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Receivable</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Program 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5,765</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Increase for balance acquired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Increase (decrease) due to customer billings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(4,807)</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34,344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1"/>
              </w:rPr>
              <w:t>Increase (decrease) due to recognition of revenue based on transfer of control of performance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obligations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7,838</w:t>
            </w: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(34,169)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changes and FX impact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6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tcPr>
          <w:p>
            <w:pPr>
              <w:spacing w:after="0"/>
              <w:rPr>
                <w:sz w:val="20"/>
                <w:szCs w:val="20"/>
                <w:color w:val="auto"/>
              </w:rPr>
            </w:pPr>
            <w:r>
              <w:rPr>
                <w:rFonts w:ascii="Arial" w:cs="Arial" w:eastAsia="Arial" w:hAnsi="Arial"/>
                <w:sz w:val="18"/>
                <w:szCs w:val="18"/>
                <w:color w:val="auto"/>
              </w:rPr>
              <w:t>Ending balance as of September 30, 2021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8,796</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830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31,518</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55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13" w:name="page14"/>
    <w:bookmarkEnd w:id="13"/>
    <w:p>
      <w:pPr>
        <w:jc w:val="both"/>
        <w:ind w:firstLine="648"/>
        <w:spacing w:after="0" w:line="289" w:lineRule="auto"/>
        <w:rPr>
          <w:sz w:val="20"/>
          <w:szCs w:val="20"/>
          <w:color w:val="auto"/>
        </w:rPr>
      </w:pPr>
      <w:r>
        <w:rPr>
          <w:rFonts w:ascii="Arial" w:cs="Arial" w:eastAsia="Arial" w:hAnsi="Arial"/>
          <w:sz w:val="16"/>
          <w:szCs w:val="16"/>
          <w:color w:val="auto"/>
        </w:rPr>
        <w:t>The Company’s remaining performance obligations represent the unrecognized revenue value of the Company’s contractual commitments. The Company’s performance obligations may vary significantly each reporting period based on the timing of major new contractual commitments. As of September 30, 2022, the Company had outstanding performance obligations on existing contracts under ASC 606 to be recognized in the next twelve months of approximately $101.0 million. There are also approximately $18.1 million of outstanding performance obligations to be recognized over a period of thirteen to sixty months. The remaining performance obligations are subject to customer actions and therefore the timing of revenue recognition cannot be reasonably estimated. The twelve-month performance obligations include anticipated shipments to Inox based on the twelve-month rolling forecast provided by Inox on the multi-year supply contract. The quantities specified in any forecast provided by Inox related to the multi-year supply contract are firm and irrevocable for the first three months of a twelve-month rolling forecast. The timing of the performance obligations beyond the twelve-month forecast provided by Inox are not determinable and therefore are not included in the total remaining performance obligations.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customers who represented 10% or more of the Company’s total revenues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2640" w:type="dxa"/>
            <w:vAlign w:val="bottom"/>
            <w:gridSpan w:val="4"/>
          </w:tcPr>
          <w:p>
            <w:pPr>
              <w:ind w:left="5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080" w:type="dxa"/>
            <w:vAlign w:val="bottom"/>
          </w:tcPr>
          <w:p>
            <w:pPr>
              <w:spacing w:after="0"/>
              <w:rPr>
                <w:sz w:val="20"/>
                <w:szCs w:val="20"/>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Reportable</w:t>
            </w:r>
          </w:p>
        </w:tc>
        <w:tc>
          <w:tcPr>
            <w:tcW w:w="2760" w:type="dxa"/>
            <w:vAlign w:val="bottom"/>
            <w:gridSpan w:val="4"/>
          </w:tcPr>
          <w:p>
            <w:pPr>
              <w:ind w:left="700"/>
              <w:spacing w:after="0"/>
              <w:rPr>
                <w:sz w:val="20"/>
                <w:szCs w:val="20"/>
                <w:color w:val="auto"/>
              </w:rPr>
            </w:pPr>
            <w:r>
              <w:rPr>
                <w:rFonts w:ascii="Arial" w:cs="Arial" w:eastAsia="Arial" w:hAnsi="Arial"/>
                <w:sz w:val="18"/>
                <w:szCs w:val="18"/>
                <w:b w:val="1"/>
                <w:bCs w:val="1"/>
                <w:color w:val="auto"/>
              </w:rPr>
              <w:t>September 30,</w:t>
            </w:r>
          </w:p>
        </w:tc>
        <w:tc>
          <w:tcPr>
            <w:tcW w:w="2640" w:type="dxa"/>
            <w:vAlign w:val="bottom"/>
            <w:gridSpan w:val="4"/>
          </w:tcPr>
          <w:p>
            <w:pPr>
              <w:ind w:left="68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3080" w:type="dxa"/>
            <w:vAlign w:val="bottom"/>
          </w:tcPr>
          <w:p>
            <w:pPr>
              <w:spacing w:after="0"/>
              <w:rPr>
                <w:sz w:val="18"/>
                <w:szCs w:val="18"/>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209"/>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Inox Wind Limited</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Wind</w:t>
            </w: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&lt;10%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3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&lt;10%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&lt;10%</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Fuji Bridex Pte Ltd</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Grid</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17%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&lt;10%</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13%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&lt;10%</w:t>
            </w: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Tri-State Generation and Transmission</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Association,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Grid</w:t>
            </w: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&lt;10%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&lt;10%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&lt;10%</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Micron Technology</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Grid</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&lt;10%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&lt;10%</w:t>
            </w: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rPr>
              <w:t>&lt;10%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4"/>
              </w:rPr>
              <w:t>Ascend Performance Materials Ops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Grid</w:t>
            </w:r>
          </w:p>
        </w:tc>
        <w:tc>
          <w:tcPr>
            <w:tcW w:w="13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&lt;10%</w:t>
            </w:r>
          </w:p>
        </w:tc>
        <w:tc>
          <w:tcPr>
            <w:tcW w:w="13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&lt;10%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&lt;10%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accounts for its stock-based compensation at fair value. The following table summarizes stock-based compensation expense by financial statement line item for the three and six months ended September 30, 2022 and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9"/>
              </w:rPr>
              <w:t>Three Months Ended</w:t>
            </w:r>
          </w:p>
        </w:tc>
        <w:tc>
          <w:tcPr>
            <w:tcW w:w="254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Six Months Ended September</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3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w:t>
            </w: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issued 338,500 shares of restricted stock awards during the three and six months ended September 30, 2022, and 25,806 shares of immediately vested common stock during the six months ended September 30, 2022. The Company issued 47,604 shares of immediately vested common stock, all of which were issued in lieu of cash bonuses, during the three months ended September 30, 2021, and 166,648 shares of immediately vested common stock, of which 158,356 shares were issued in-lieu of cash bonuses, and 309,700 shares of restricted stock awards during the six months ended September 30, 2021.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estimated fair value of the Company’s stock-based awards, less expected annual forfeitures, is amortized over the awards’ service period. The total unrecognized compensation cost for unvested stock options was less than $0.1 million during the six months ended September 30, 2022. This expense will be recognized over a weighted average of approximately 1.7 years. The total unrecognized compensation cost for unvested outstanding restricted stock was $5.2 million at September 30, 2022. This expense will be recognized over a weighted-average expense period of approximately 1.6 years.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granted 20,564 stock options during the six months ended September 30, 2022. The Company did not grant any stock options during the three months ended September 30, 2022 or the three and six months ended September 30, 2021. The stock options granted during the six months ended September 30, 2022 will vest over 2 years. The weighted average assumptions used in the Black Scholes valuation model for stock options granted during the six months ended September 30, 2022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20" w:type="dxa"/>
            <w:vAlign w:val="bottom"/>
            <w:gridSpan w:val="4"/>
          </w:tcPr>
          <w:p>
            <w:pPr>
              <w:ind w:left="400"/>
              <w:spacing w:after="0"/>
              <w:rPr>
                <w:sz w:val="20"/>
                <w:szCs w:val="20"/>
                <w:color w:val="auto"/>
              </w:rPr>
            </w:pPr>
            <w:r>
              <w:rPr>
                <w:rFonts w:ascii="Arial" w:cs="Arial" w:eastAsia="Arial" w:hAnsi="Arial"/>
                <w:sz w:val="18"/>
                <w:szCs w:val="18"/>
                <w:b w:val="1"/>
                <w:bCs w:val="1"/>
                <w:color w:val="auto"/>
                <w:w w:val="95"/>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Six Months Ended September</w:t>
            </w:r>
          </w:p>
        </w:tc>
      </w:tr>
      <w:tr>
        <w:trPr>
          <w:trHeight w:val="234"/>
        </w:trPr>
        <w:tc>
          <w:tcPr>
            <w:tcW w:w="5980" w:type="dxa"/>
            <w:vAlign w:val="bottom"/>
          </w:tcPr>
          <w:p>
            <w:pPr>
              <w:spacing w:after="0"/>
              <w:rPr>
                <w:sz w:val="20"/>
                <w:szCs w:val="20"/>
                <w:color w:val="auto"/>
              </w:rPr>
            </w:pPr>
          </w:p>
        </w:tc>
        <w:tc>
          <w:tcPr>
            <w:tcW w:w="212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4"/>
              </w:rPr>
              <w:t>2022</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71.40%</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3.10%</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N/A</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None</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Computation of Net Loss per Common Share</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Basic net loss per share (“EPS”) is computed by dividing net loss by the weighted-average number of common shares outstanding for the period. Where applicable,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not met are excluded from the computation of diluted EPS as the effect of their inclusion would be anti-dilutive. For each of the three and six months ended September 30, 2022, and 2021, 1.1 million shares were not included in the calculation of diluted EPS. Of these, 1.0 million relate to shares tied to the derivative liability for which the contingency has not yet been met, and 0.1 million relate to outstanding stock options as they were considered anti-dilutive.</w:t>
      </w:r>
    </w:p>
    <w:p>
      <w:pPr>
        <w:sectPr>
          <w:pgSz w:w="11900" w:h="16838" w:orient="portrait"/>
          <w:cols w:equalWidth="0" w:num="1">
            <w:col w:w="11240"/>
          </w:cols>
          <w:pgMar w:left="320" w:top="611" w:right="339" w:bottom="0" w:gutter="0" w:footer="0" w:header="0"/>
        </w:sectPr>
      </w:pPr>
    </w:p>
    <w:bookmarkStart w:id="14" w:name="page15"/>
    <w:bookmarkEnd w:id="14"/>
    <w:p>
      <w:pPr>
        <w:ind w:left="660"/>
        <w:spacing w:after="0"/>
        <w:rPr>
          <w:sz w:val="20"/>
          <w:szCs w:val="20"/>
          <w:color w:val="auto"/>
        </w:rPr>
      </w:pPr>
      <w:r>
        <w:rPr>
          <w:rFonts w:ascii="Arial" w:cs="Arial" w:eastAsia="Arial" w:hAnsi="Arial"/>
          <w:sz w:val="17"/>
          <w:szCs w:val="17"/>
          <w:color w:val="auto"/>
        </w:rPr>
        <w:t>The following table reconciles the numerators and denominators of the earnings per share calculation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Six Months Ended September</w:t>
            </w:r>
          </w:p>
        </w:tc>
      </w:tr>
      <w:tr>
        <w:trPr>
          <w:trHeight w:val="234"/>
        </w:trPr>
        <w:tc>
          <w:tcPr>
            <w:tcW w:w="4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(9,881)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(18,590)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(9,837)</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Weighted-average shares of common stock outstanding</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28,775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28,360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28,648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28,141</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subject to repurchase</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(1,101)</w:t>
            </w:r>
          </w:p>
        </w:tc>
      </w:tr>
      <w:tr>
        <w:trPr>
          <w:trHeight w:val="209"/>
        </w:trPr>
        <w:tc>
          <w:tcPr>
            <w:tcW w:w="4760" w:type="dxa"/>
            <w:vAlign w:val="bottom"/>
          </w:tcPr>
          <w:p>
            <w:pPr>
              <w:spacing w:after="0"/>
              <w:rPr>
                <w:sz w:val="20"/>
                <w:szCs w:val="20"/>
                <w:color w:val="auto"/>
              </w:rPr>
            </w:pPr>
            <w:r>
              <w:rPr>
                <w:rFonts w:ascii="Arial" w:cs="Arial" w:eastAsia="Arial" w:hAnsi="Arial"/>
                <w:sz w:val="18"/>
                <w:szCs w:val="18"/>
                <w:color w:val="auto"/>
              </w:rPr>
              <w:t>Shares used in per-share calculation ― basic</w:t>
            </w:r>
          </w:p>
        </w:tc>
        <w:tc>
          <w:tcPr>
            <w:tcW w:w="1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27,867</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27,040</w:t>
            </w:r>
          </w:p>
        </w:tc>
        <w:tc>
          <w:tcPr>
            <w:tcW w:w="100" w:type="dxa"/>
            <w:vAlign w:val="bottom"/>
          </w:tcPr>
          <w:p>
            <w:pPr>
              <w:spacing w:after="0"/>
              <w:rPr>
                <w:sz w:val="18"/>
                <w:szCs w:val="18"/>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 ― diluted</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27,040</w:t>
            </w:r>
          </w:p>
        </w:tc>
      </w:tr>
      <w:tr>
        <w:trPr>
          <w:trHeight w:val="20"/>
        </w:trPr>
        <w:tc>
          <w:tcPr>
            <w:tcW w:w="47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760" w:type="dxa"/>
            <w:vAlign w:val="bottom"/>
          </w:tcPr>
          <w:p>
            <w:pPr>
              <w:spacing w:after="0"/>
              <w:rPr>
                <w:sz w:val="20"/>
                <w:szCs w:val="20"/>
                <w:color w:val="auto"/>
              </w:rPr>
            </w:pPr>
            <w:r>
              <w:rPr>
                <w:rFonts w:ascii="Arial" w:cs="Arial" w:eastAsia="Arial" w:hAnsi="Arial"/>
                <w:sz w:val="18"/>
                <w:szCs w:val="18"/>
                <w:color w:val="auto"/>
              </w:rPr>
              <w:t>Net loss per share ― basic</w:t>
            </w:r>
          </w:p>
        </w:tc>
        <w:tc>
          <w:tcPr>
            <w:tcW w:w="14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(0.36)</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diluted</w:t>
            </w:r>
          </w:p>
        </w:tc>
        <w:tc>
          <w:tcPr>
            <w:tcW w:w="14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r>
      <w:tr>
        <w:trPr>
          <w:trHeight w:val="432"/>
        </w:trPr>
        <w:tc>
          <w:tcPr>
            <w:tcW w:w="4760" w:type="dxa"/>
            <w:vAlign w:val="bottom"/>
          </w:tcPr>
          <w:p>
            <w:pPr>
              <w:spacing w:after="0"/>
              <w:rPr>
                <w:sz w:val="24"/>
                <w:szCs w:val="24"/>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Goodwill and Other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left="140" w:right="220" w:firstLine="486"/>
        <w:spacing w:after="0" w:line="257" w:lineRule="auto"/>
        <w:rPr>
          <w:sz w:val="20"/>
          <w:szCs w:val="20"/>
          <w:color w:val="auto"/>
        </w:rPr>
      </w:pPr>
      <w:r>
        <w:rPr>
          <w:rFonts w:ascii="Arial" w:cs="Arial" w:eastAsia="Arial" w:hAnsi="Arial"/>
          <w:sz w:val="18"/>
          <w:szCs w:val="18"/>
          <w:color w:val="auto"/>
        </w:rPr>
        <w:t>Goodwill represents the difference between the purchase price and the fair value of the identifiable tangible and intangible net assets when accounted for using the purchase method of accounting. The Company's goodwill balance relates to the Neeltran Acquisition in fiscal 2021, the NEPSI Acquisition in fiscal 2020, and the acquisition of Infinia Technology Corporation in fiscal 2017 and is reported in the Grid business segment. Goodwill is not amortized but reviewed for impairment. Goodwill is reviewed annually and whenever events or changes in circumstances indicate that the carrying value of the goodwill might not be recoverable.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tcPr>
          <w:p>
            <w:pPr>
              <w:ind w:left="620"/>
              <w:spacing w:after="0"/>
              <w:rPr>
                <w:sz w:val="20"/>
                <w:szCs w:val="20"/>
                <w:color w:val="auto"/>
              </w:rPr>
            </w:pPr>
            <w:r>
              <w:rPr>
                <w:rFonts w:ascii="Arial" w:cs="Arial" w:eastAsia="Arial" w:hAnsi="Arial"/>
                <w:sz w:val="18"/>
                <w:szCs w:val="18"/>
                <w:color w:val="auto"/>
                <w:w w:val="94"/>
              </w:rPr>
              <w:t>The following table provides a roll forward of the changes in the Company's Grid business segment goodwill balance:</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Goodwill</w:t>
            </w:r>
          </w:p>
        </w:tc>
        <w:tc>
          <w:tcPr>
            <w:tcW w:w="100" w:type="dxa"/>
            <w:vAlign w:val="bottom"/>
          </w:tcPr>
          <w:p>
            <w:pPr>
              <w:spacing w:after="0"/>
              <w:rPr>
                <w:sz w:val="24"/>
                <w:szCs w:val="24"/>
                <w:color w:val="auto"/>
              </w:rPr>
            </w:pPr>
          </w:p>
        </w:tc>
      </w:tr>
      <w:tr>
        <w:trPr>
          <w:trHeight w:val="209"/>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34,634</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Neeltran Acquisition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8,837</w:t>
            </w:r>
          </w:p>
        </w:tc>
      </w:tr>
      <w:tr>
        <w:trPr>
          <w:trHeight w:val="210"/>
        </w:trPr>
        <w:tc>
          <w:tcPr>
            <w:tcW w:w="9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2022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Less impairment loss</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9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2022</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Company did not identify any triggering events in the three and six months ended September 30, 2022 that would require interim impairment testing of goodwill.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at September 30, 2022 and March 31, 2022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rPr>
              <w:t>September 30, 2022</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 2022</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6"/>
                <w:szCs w:val="16"/>
                <w:color w:val="auto"/>
              </w:rPr>
            </w:pPr>
          </w:p>
        </w:tc>
        <w:tc>
          <w:tcPr>
            <w:tcW w:w="11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8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Net Book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8"/>
              </w:rPr>
              <w:t>Net Book</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50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Backlog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681</w:t>
            </w: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681</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Trade name and trademarks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5,755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(2,723)</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6,877</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Core technology and know-how</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2,584</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21,661</w:t>
            </w: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(11,750)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9,911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21,661</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(10,350)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11,311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55" w:lineRule="auto"/>
        <w:rPr>
          <w:sz w:val="20"/>
          <w:szCs w:val="20"/>
          <w:color w:val="auto"/>
        </w:rPr>
      </w:pPr>
      <w:r>
        <w:rPr>
          <w:rFonts w:ascii="Arial" w:cs="Arial" w:eastAsia="Arial" w:hAnsi="Arial"/>
          <w:sz w:val="18"/>
          <w:szCs w:val="18"/>
          <w:color w:val="auto"/>
        </w:rPr>
        <w:t>The Company recorded intangible amortization expense related to customer relationship and core technology and know-how of $0.7 million and $1.4 million, in the three and six months ended September 30, 2022, respectively, and $0.6 million and $1.2 million in the three and six months ended September 30, 2021, respectively. Additionally, the Company recorded no intangible amortization related to backlog in the three months ended September 30, 2022 and the Company recorded less than $0.1 million related to backlog that is reported in cost of revenues in the six months ended September 30, 2022. The Company recorded intangible amortization related to backlog that is reported in cost of revenues of less than $0.1 million and $0.1 million in the three and six months ended September 30, 2021,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Expected future amortization expense related to intangible assets is as follows (in thousands):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40" w:type="dxa"/>
            <w:vAlign w:val="bottom"/>
          </w:tcPr>
          <w:p>
            <w:pPr>
              <w:spacing w:after="0"/>
              <w:rPr>
                <w:sz w:val="20"/>
                <w:szCs w:val="20"/>
                <w:color w:val="auto"/>
              </w:rPr>
            </w:pPr>
            <w:r>
              <w:rPr>
                <w:rFonts w:ascii="Arial" w:cs="Arial" w:eastAsia="Arial" w:hAnsi="Arial"/>
                <w:sz w:val="18"/>
                <w:szCs w:val="18"/>
                <w:b w:val="1"/>
                <w:bCs w:val="1"/>
                <w:color w:val="auto"/>
              </w:rPr>
              <w:t>Years ended March 31,</w:t>
            </w:r>
          </w:p>
        </w:tc>
        <w:tc>
          <w:tcPr>
            <w:tcW w:w="1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2024</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2,158</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2026</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Thereafter</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r>
      <w:tr>
        <w:trPr>
          <w:trHeight w:val="249"/>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relate entirely to the Grid business segment operations in the United States.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660" w:type="dxa"/>
            <w:vAlign w:val="bottom"/>
          </w:tcPr>
          <w:p>
            <w:pPr>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Inputs are unadjusted quoted prices in active markets for identical assets or liabilities that the Company has the ability to access at</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rPr>
              <w:t>the measurement date.</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7"/>
              </w:rPr>
              <w:t>Inputs include quoted prices for similar assets and liabilities in active markets, quoted prices for identical or similar assets or</w:t>
            </w: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liabilities in markets that are not active, inputs other than quoted prices that are observable for the asset or liability, and inputs that</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are derived principally from or corroborated by observable market data by correlation or other means (market corroborated inputs).</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Unobservable inputs that reflect the Company’s assumptions that market participants would use in pricing the asset or liability. The</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rPr>
              <w:t>Company develops these inputs based on the best information available, including its own data.</w:t>
            </w:r>
          </w:p>
        </w:tc>
      </w:tr>
    </w:tbl>
    <w:p>
      <w:pPr>
        <w:sectPr>
          <w:pgSz w:w="11900" w:h="16838" w:orient="portrait"/>
          <w:cols w:equalWidth="0" w:num="1">
            <w:col w:w="11320"/>
          </w:cols>
          <w:pgMar w:left="320" w:top="850" w:right="259" w:bottom="0" w:gutter="0" w:footer="0" w:header="0"/>
        </w:sectPr>
      </w:pPr>
    </w:p>
    <w:bookmarkStart w:id="16" w:name="page17"/>
    <w:bookmarkEnd w:id="16"/>
    <w:p>
      <w:pPr>
        <w:jc w:val="both"/>
        <w:ind w:firstLine="648"/>
        <w:spacing w:after="0" w:line="257" w:lineRule="auto"/>
        <w:rPr>
          <w:sz w:val="20"/>
          <w:szCs w:val="20"/>
          <w:color w:val="auto"/>
        </w:rPr>
      </w:pPr>
      <w:r>
        <w:rPr>
          <w:rFonts w:ascii="Arial" w:cs="Arial" w:eastAsia="Arial" w:hAnsi="Arial"/>
          <w:sz w:val="18"/>
          <w:szCs w:val="18"/>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 total cash and investments. The Company did not have any transfers of assets and liabilities from Level 1, Level 2 or Level 3 of the fair value measurement hierarchy during the six months ended September 30, 2022.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both"/>
        <w:ind w:right="20" w:firstLine="648"/>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are measured using such inputs as quoted prices and are classified within Level 1 of the valuation hierarchy. Cash equivalents consist principally of certificates of deposits and money market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Marketable securities consist of certificates of deposit that are measured using such inputs as quoted prices and are classified within Level 1 of the valuation hierarchy. The Company determines the appropriate classification of its marketable securities at the time of purchase and re-evaluates such classification as of each balance sheet date. All marketable securities are considered available for sale and are carried at fair value. Changes in fair value are recorded to other income (expense), net. The Company had no outstanding marketable securities as of September 30, 2022 and the Company recognized no change in the three and six months ended September 30, 2022. The Company recognized $0.1 million in unrealized losses on marketable securities, which is recorded in other income (expense), net, for the three and six months ended September 30, 2021. The Company periodically reviews the realizability of each short and long term marketable security when impairment indicators exist with respect to the security. If other than temporary impairment of value of the security exists, the carrying value of the security is written down to its estimated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Contingent consideration relates to the earnout payment set forth in the NEPSI Stock Purchase Agreement that provides that the selling stockholders may receive up to an additional 1,000,000 shares of common stock of the Company upon the achievement of certain specified revenue objectives over varying periods of up to four years following the NEPSI Acquisition Date. See Note 13, "Contingent Consideration" and Note 2, “Acquisitions” for further discussion. The Company relied on a Monte Carlo method to determine the fair value of the contingent consideration on the NEPSI Acquisition Date and will continue to revalue the fair value of the contingent consideration using the same method at each subsequent balance sheet date until the contingencies are resolved and the shares to be issued are determined, with the change in fair value recorded in the current period operating loss.</w:t>
      </w:r>
    </w:p>
    <w:p>
      <w:pPr>
        <w:spacing w:after="0" w:line="1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on a recurring basis, measured as of September 30, 2022 and March 31,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Quoted Prices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2)</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3)</w:t>
            </w: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2022:</w:t>
            </w:r>
          </w:p>
        </w:tc>
        <w:tc>
          <w:tcPr>
            <w:tcW w:w="1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r>
      <w:tr>
        <w:trPr>
          <w:trHeight w:val="414"/>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Quoted Prices</w:t>
            </w: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2)</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3)</w:t>
            </w: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March 31, 2022:</w:t>
            </w:r>
          </w:p>
        </w:tc>
        <w:tc>
          <w:tcPr>
            <w:tcW w:w="1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17,641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r>
        <w:trPr>
          <w:trHeight w:val="432"/>
        </w:trPr>
        <w:tc>
          <w:tcPr>
            <w:tcW w:w="3840" w:type="dxa"/>
            <w:vAlign w:val="bottom"/>
          </w:tcPr>
          <w:p>
            <w:pPr>
              <w:spacing w:after="0"/>
              <w:rPr>
                <w:sz w:val="24"/>
                <w:szCs w:val="24"/>
                <w:color w:val="auto"/>
              </w:rPr>
            </w:pPr>
          </w:p>
        </w:tc>
        <w:tc>
          <w:tcPr>
            <w:tcW w:w="1980" w:type="dxa"/>
            <w:vAlign w:val="bottom"/>
            <w:gridSpan w:val="2"/>
          </w:tcPr>
          <w:p>
            <w:pPr>
              <w:ind w:left="1700"/>
              <w:spacing w:after="0"/>
              <w:rPr>
                <w:sz w:val="20"/>
                <w:szCs w:val="20"/>
                <w:color w:val="auto"/>
              </w:rPr>
            </w:pPr>
            <w:r>
              <w:rPr>
                <w:rFonts w:ascii="Arial" w:cs="Arial" w:eastAsia="Arial" w:hAnsi="Arial"/>
                <w:sz w:val="18"/>
                <w:szCs w:val="18"/>
                <w:color w:val="auto"/>
              </w:rPr>
              <w:t>16</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8" w:name="page19"/>
    <w:bookmarkEnd w:id="18"/>
    <w:p>
      <w:pPr>
        <w:ind w:left="640"/>
        <w:spacing w:after="0"/>
        <w:rPr>
          <w:sz w:val="20"/>
          <w:szCs w:val="20"/>
          <w:color w:val="auto"/>
        </w:rPr>
      </w:pPr>
      <w:r>
        <w:rPr>
          <w:rFonts w:ascii="Arial" w:cs="Arial" w:eastAsia="Arial" w:hAnsi="Arial"/>
          <w:sz w:val="18"/>
          <w:szCs w:val="18"/>
          <w:color w:val="auto"/>
        </w:rPr>
        <w:t>The table below reflects the activity for the Company’s derivative liability measured at fair value on a recurring basis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Acquisition</w:t>
            </w:r>
          </w:p>
        </w:tc>
      </w:tr>
      <w:tr>
        <w:trPr>
          <w:trHeight w:val="216"/>
        </w:trPr>
        <w:tc>
          <w:tcPr>
            <w:tcW w:w="41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Contingent</w:t>
            </w:r>
          </w:p>
        </w:tc>
      </w:tr>
      <w:tr>
        <w:trPr>
          <w:trHeight w:val="234"/>
        </w:trPr>
        <w:tc>
          <w:tcPr>
            <w:tcW w:w="41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Consideration</w:t>
            </w:r>
          </w:p>
        </w:tc>
        <w:tc>
          <w:tcPr>
            <w:tcW w:w="100" w:type="dxa"/>
            <w:vAlign w:val="bottom"/>
          </w:tcPr>
          <w:p>
            <w:pPr>
              <w:spacing w:after="0"/>
              <w:rPr>
                <w:sz w:val="20"/>
                <w:szCs w:val="20"/>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Change in fair value</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(5,850)</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Change in fair value</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r>
      <w:tr>
        <w:trPr>
          <w:trHeight w:val="24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2022</w:t>
            </w: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656"/>
        </w:trPr>
        <w:tc>
          <w:tcPr>
            <w:tcW w:w="4180" w:type="dxa"/>
            <w:vAlign w:val="bottom"/>
          </w:tcPr>
          <w:p>
            <w:pPr>
              <w:spacing w:after="0"/>
              <w:rPr>
                <w:sz w:val="20"/>
                <w:szCs w:val="20"/>
                <w:color w:val="auto"/>
              </w:rPr>
            </w:pPr>
            <w:r>
              <w:rPr>
                <w:rFonts w:ascii="Arial" w:cs="Arial" w:eastAsia="Arial" w:hAnsi="Arial"/>
                <w:sz w:val="18"/>
                <w:szCs w:val="18"/>
                <w:b w:val="1"/>
                <w:bCs w:val="1"/>
                <w:color w:val="auto"/>
              </w:rPr>
              <w:t>8. Accounts Receivable</w:t>
            </w: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180" w:type="dxa"/>
            <w:vAlign w:val="bottom"/>
          </w:tcPr>
          <w:p>
            <w:pPr>
              <w:ind w:left="660"/>
              <w:spacing w:after="0"/>
              <w:rPr>
                <w:sz w:val="20"/>
                <w:szCs w:val="20"/>
                <w:color w:val="auto"/>
              </w:rPr>
            </w:pPr>
            <w:r>
              <w:rPr>
                <w:rFonts w:ascii="Arial" w:cs="Arial" w:eastAsia="Arial" w:hAnsi="Arial"/>
                <w:sz w:val="18"/>
                <w:szCs w:val="18"/>
                <w:color w:val="auto"/>
                <w:w w:val="91"/>
              </w:rPr>
              <w:t>Accounts receivable at September 30, 2022 and</w:t>
            </w:r>
          </w:p>
        </w:tc>
        <w:tc>
          <w:tcPr>
            <w:tcW w:w="5400" w:type="dxa"/>
            <w:vAlign w:val="bottom"/>
            <w:gridSpan w:val="4"/>
          </w:tcPr>
          <w:p>
            <w:pPr>
              <w:ind w:left="40"/>
              <w:spacing w:after="0"/>
              <w:rPr>
                <w:sz w:val="20"/>
                <w:szCs w:val="20"/>
                <w:color w:val="auto"/>
              </w:rPr>
            </w:pPr>
            <w:r>
              <w:rPr>
                <w:rFonts w:ascii="Arial" w:cs="Arial" w:eastAsia="Arial" w:hAnsi="Arial"/>
                <w:sz w:val="18"/>
                <w:szCs w:val="18"/>
                <w:color w:val="auto"/>
              </w:rPr>
              <w:t>March 31, 2022 consisted of the following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1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1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20"/>
                <w:szCs w:val="20"/>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6,492</w:t>
            </w:r>
          </w:p>
        </w:tc>
      </w:tr>
      <w:tr>
        <w:trPr>
          <w:trHeight w:val="250"/>
        </w:trPr>
        <w:tc>
          <w:tcPr>
            <w:tcW w:w="4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net of reserves, at September 30, 2022 and March 31, 2022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14,591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10,462</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Deferred program costs</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r>
      <w:tr>
        <w:trPr>
          <w:trHeight w:val="250"/>
        </w:trPr>
        <w:tc>
          <w:tcPr>
            <w:tcW w:w="8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inventory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recorded inventory write-downs of $0.7 million and $0.6 million for the three months ended September 30, 2022 and 2021, respectively. The Company recorded inventory write-downs of $1.0 million and $1.2 million for the six months ended September 30, 2022 and 2021, respectively. These write-downs were based on the Company's evaluation of its inventory on hand for excess quantities and obsolescence.</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Deferred program costs as of September 30, 2022 and March 31, 2022, primarily represent costs incurred on programs where the Company needs to complete performance obligations before the related revenue and costs will be recognized.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10. Property, Plant and Equipment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 and accumulated depreciation of property, plant and equipment at September 30, 2022 and March 31, 2022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Land</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Equipment and software</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43,652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43,668</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 right of use asset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6,634</w:t>
            </w: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58,512</w:t>
            </w: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(45,966)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(44,856)</w:t>
            </w: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13,656</w:t>
            </w:r>
          </w:p>
        </w:tc>
        <w:tc>
          <w:tcPr>
            <w:tcW w:w="10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expense was $0.7 million for each of the three months ended September 30, 2022 and 2021, respectively. Depreciation expense was $1.4 million and $1.3 million for the six months ended September 30, 2022 and 2021,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Accounts Payable and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at September 30, 2022 and March 31, 2022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13,192</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Accrued inventories in-transit</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2,212</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miscellaneous expenses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Advanced deposits</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2,965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3,021</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4,642</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product warranty</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w:t>
            </w: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36,082</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29,140</w:t>
            </w:r>
          </w:p>
        </w:tc>
        <w:tc>
          <w:tcPr>
            <w:tcW w:w="10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660"/>
              <w:spacing w:after="0"/>
              <w:rPr>
                <w:sz w:val="20"/>
                <w:szCs w:val="20"/>
                <w:color w:val="auto"/>
              </w:rPr>
            </w:pPr>
            <w:r>
              <w:rPr>
                <w:rFonts w:ascii="Arial" w:cs="Arial" w:eastAsia="Arial" w:hAnsi="Arial"/>
                <w:sz w:val="18"/>
                <w:szCs w:val="18"/>
                <w:color w:val="auto"/>
              </w:rPr>
              <w:t>Product warranty activity was as follows (in thousands):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Three Months Ended</w:t>
            </w:r>
          </w:p>
        </w:tc>
        <w:tc>
          <w:tcPr>
            <w:tcW w:w="25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Six Months Ended September</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3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Acquired warranty obligations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Change in accruals for warranties during the period</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Settlements during the period</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r>
      <w:tr>
        <w:trPr>
          <w:trHeight w:val="25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recorded an income tax benefit of less than $0.1 million and an income tax expense of less than $0.1 million in the three and six months ended September 30, 2022, respectively. The Company recorded an income tax expense of $0.2 million and income tax benefit of $1.9 million in the three and six months ended September 30, 2021, respectively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a difference in book and tax basis related to the intangible assets acquired in the Neeltran Acquisition (see Note 2, "Acquisitions"), the Company recorded a deferred tax liability of $2.3 million during the six months ended September 30, 2021. As a result, the Company was able to benefit from additional deferred tax assets and therefore released a corresponding valuation allowance of $2.3 million during the six months ended September 30, 2021. Goodwill recognized in the Neeltran Acquisition is not deductible for tax purposes.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0" w:name="page21"/>
    <w:bookmarkEnd w:id="20"/>
    <w:p>
      <w:pPr>
        <w:spacing w:after="0" w:line="1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Accounting for income taxes requires a two-step approach to recognizing and measuring uncertain tax positions. The first step is to evaluate the tax position for recognition by determining if, based on the technical merits, it is more likely than not the position will be sustained upon audit, including resolution of related appeals or litigation processes, if any. The second step is to measure the tax benefit as the largest amount that is more than 50% likely to be realized upon ultimate settlement. The Company re-evaluates these uncertain tax positions on a quarterly basis. The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six months ended September 30, 2022 and did not have any gross unrecognized tax benefits as of September 30, 2022.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Contingent Consideration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evaluated the NEPSI Acquisition earnout payment set forth in the NEPSI Stock Purchase Agreement (see Note 2, "Acquisitions" for further details), which may require settlement in the Company's common stock, and determined the contingent consideration qualified for liability classification and derivative treatment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a result, for each period, the fair value of the contingent consideration will be remeasured and the resulting gain or loss will be recognized in operating expenses until the share amount is fixed.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Following is a summary of the key assumptions used in a Monte Carlo simulation to calculate the fair value of the contingent consideration related to the NEPSI Acquisition: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5240" w:type="dxa"/>
            <w:vAlign w:val="bottom"/>
            <w:gridSpan w:val="2"/>
          </w:tcPr>
          <w:p>
            <w:pPr>
              <w:jc w:val="center"/>
              <w:ind w:right="444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4460" w:type="dxa"/>
            <w:vAlign w:val="bottom"/>
          </w:tcPr>
          <w:p>
            <w:pPr>
              <w:spacing w:after="0"/>
              <w:rPr>
                <w:sz w:val="20"/>
                <w:szCs w:val="20"/>
                <w:color w:val="auto"/>
              </w:rPr>
            </w:pPr>
            <w:r>
              <w:rPr>
                <w:rFonts w:ascii="Arial" w:cs="Arial" w:eastAsia="Arial" w:hAnsi="Arial"/>
                <w:sz w:val="18"/>
                <w:szCs w:val="18"/>
                <w:color w:val="auto"/>
              </w:rPr>
              <w:t>Fiscal Year 2022</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4300" w:type="dxa"/>
            <w:vAlign w:val="bottom"/>
          </w:tcPr>
          <w:p>
            <w:pPr>
              <w:spacing w:after="0"/>
              <w:rPr>
                <w:sz w:val="20"/>
                <w:szCs w:val="20"/>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 risk premium</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jc w:val="right"/>
              <w:ind w:right="4140"/>
              <w:spacing w:after="0"/>
              <w:rPr>
                <w:sz w:val="20"/>
                <w:szCs w:val="20"/>
                <w:color w:val="auto"/>
              </w:rPr>
            </w:pPr>
            <w:r>
              <w:rPr>
                <w:rFonts w:ascii="Arial" w:cs="Arial" w:eastAsia="Arial" w:hAnsi="Arial"/>
                <w:sz w:val="18"/>
                <w:szCs w:val="18"/>
                <w:color w:val="auto"/>
              </w:rPr>
              <w:t>6.60%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Revenue volatility</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5240" w:type="dxa"/>
            <w:vAlign w:val="bottom"/>
            <w:gridSpan w:val="2"/>
          </w:tcPr>
          <w:p>
            <w:pPr>
              <w:jc w:val="right"/>
              <w:ind w:right="4140"/>
              <w:spacing w:after="0"/>
              <w:rPr>
                <w:sz w:val="20"/>
                <w:szCs w:val="20"/>
                <w:color w:val="auto"/>
              </w:rPr>
            </w:pPr>
            <w:r>
              <w:rPr>
                <w:rFonts w:ascii="Arial" w:cs="Arial" w:eastAsia="Arial" w:hAnsi="Arial"/>
                <w:sz w:val="18"/>
                <w:szCs w:val="18"/>
                <w:color w:val="auto"/>
              </w:rPr>
              <w:t>30%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40" w:type="dxa"/>
            <w:vAlign w:val="bottom"/>
            <w:gridSpan w:val="2"/>
            <w:shd w:val="clear" w:color="auto" w:fill="CCEEFF"/>
          </w:tcPr>
          <w:p>
            <w:pPr>
              <w:jc w:val="right"/>
              <w:ind w:right="4300"/>
              <w:spacing w:after="0"/>
              <w:rPr>
                <w:sz w:val="20"/>
                <w:szCs w:val="20"/>
                <w:color w:val="auto"/>
              </w:rPr>
            </w:pPr>
            <w:r>
              <w:rPr>
                <w:rFonts w:ascii="Arial" w:cs="Arial" w:eastAsia="Arial" w:hAnsi="Arial"/>
                <w:sz w:val="18"/>
                <w:szCs w:val="18"/>
                <w:color w:val="auto"/>
              </w:rPr>
              <w:t>5.18</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Payment delay (days)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5240" w:type="dxa"/>
            <w:vAlign w:val="bottom"/>
            <w:gridSpan w:val="2"/>
          </w:tcPr>
          <w:p>
            <w:pPr>
              <w:jc w:val="right"/>
              <w:ind w:right="4300"/>
              <w:spacing w:after="0"/>
              <w:rPr>
                <w:sz w:val="20"/>
                <w:szCs w:val="20"/>
                <w:color w:val="auto"/>
              </w:rPr>
            </w:pPr>
            <w:r>
              <w:rPr>
                <w:rFonts w:ascii="Arial" w:cs="Arial" w:eastAsia="Arial" w:hAnsi="Arial"/>
                <w:sz w:val="18"/>
                <w:szCs w:val="18"/>
                <w:color w:val="auto"/>
              </w:rPr>
              <w:t>80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Fair value (millions)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40" w:type="dxa"/>
            <w:vAlign w:val="bottom"/>
            <w:gridSpan w:val="2"/>
            <w:shd w:val="clear" w:color="auto" w:fill="CCEEFF"/>
          </w:tcPr>
          <w:p>
            <w:pPr>
              <w:jc w:val="right"/>
              <w:ind w:right="4300"/>
              <w:spacing w:after="0"/>
              <w:rPr>
                <w:sz w:val="20"/>
                <w:szCs w:val="20"/>
                <w:color w:val="auto"/>
              </w:rPr>
            </w:pPr>
            <w:r>
              <w:rPr>
                <w:rFonts w:ascii="Arial" w:cs="Arial" w:eastAsia="Arial" w:hAnsi="Arial"/>
                <w:sz w:val="18"/>
                <w:szCs w:val="18"/>
                <w:color w:val="auto"/>
              </w:rPr>
              <w:t>1.4</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3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September 30,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6"/>
              </w:rPr>
              <w:t>March 31,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Fiscal Year 2021</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 risk premium</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Revenue volatility</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Payment delay (days)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Fair value (millions)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recorded a net gain of $0.3 and $0.1 million resulting from the decrease in the fair value of the contingent consideration in the three and six months ended September 30, 2022. The Company recorded a net gain of $2.4 million and $2.3 million resulting from the decrease in the fair value of the contingent consideration in the three and six months ended September 30, 2021,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229"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As part of the Neeltran Acquisition, the Company identified four equipment financing agreements that Neeltran had entered into prior to the acquisition on May 6, 2021. The Company determined to account for these agreements as a debt transaction and recorded current and long-term debt liabilities of $0.1 million each during the three months ended June 30, 2021. The current and long-term debt balance is $0.1 million each as of September 30,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determines whether a contract is or contains a lease at inception of a contract. The Company defines a lease as a contract, or part of a contract, that conveys the right to control the use of identified property or equipment (an identified asset) for a period of time in exchange for consideration. Control over the use of the identified asset means that the Company has both the right to obtain substantially all of the economic benefits from the use of the asset and the right to direct the use of the asset.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discount rate was calculated using an incremental borrowing rate based on an assessment prepared by the Company through the use of Company credit ratings, consideration of its lease populations potential risk to its total capital structure, and a market rate for a collateralized loan for its risk profile, calculated by a third party. The Company elected to apply the discount rate using the remaining lease term at the date of adoption for Neeltran lease contracts.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Following the Neeltran Acquisition, the Company evaluated all open Neeltran contracts at the date of the acquisition to determine if any applied under ASC 842 as Neeltran, a private company, had deferred adopting ASC 842 prior to the Neeltran Acquisition, as permitted. The Company identified nine lease contracts with terms greater than twelve months and evaluated them under ASC 842 guidance. As part of the implementation, the Company identified one lease contract that classified as a financing lease. The Company does not expect a material impact to the financial statements on an ongoing basis resulting from the adoption of the ASC 842 standard for the Neeltran business and Neeltran will follow the existing policies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one or more renewal options that</w:t>
      </w:r>
    </w:p>
    <w:p>
      <w:pPr>
        <w:sectPr>
          <w:pgSz w:w="11900" w:h="16958" w:orient="portrait"/>
          <w:cols w:equalWidth="0" w:num="1">
            <w:col w:w="11240"/>
          </w:cols>
          <w:pgMar w:left="320" w:top="611" w:right="339" w:bottom="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allow the Company, at its discretion, to renew the lease for varying periods up to five years or to terminate the lease. Only renewal options or termination rights that the Company believed were likely to be exercised were included in the lease calculations.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also enters into leases for vehicles, IT equipment and service agreements, and other leases related to its manufacturing operations that are also included in the right-of-use assets and lease liability accounts if they are for a term of longer than twelve months. However, many of these leases are either short-term in nature or immaterial. The Company has made the policy election to exclude short-term leases from the balance sheet.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b w:val="1"/>
          <w:bCs w:val="1"/>
          <w:i w:val="1"/>
          <w:iCs w:val="1"/>
          <w:color w:val="auto"/>
        </w:rPr>
        <w:t>Finance Leases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part of the adoption of ASC 842 at Neeltran, the Company identified one lease contract that is classified as a finance lease. In February 2020, Neeltran entered into a contract to lease a copy machine for an initial term of 39 months, or through May 2023. The Company concluded that the lease should be classified and accounted for as a finance lease as the total value of the lease payments are greater than fair value of the asset. Accordingly, on May 6, 2021, the Company recognized a finance lease right-of-use asset and a finance lease liability of $13.2 thousand on the Neeltran opening balance sheet. As of September 30, 2022, the right-of-use asset related to the finance lease was $4.2 thousand, net of accumulated amortization of $9.0 thousand, and is included in the property and equipment, net on the Company's consolidated balance sheet.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Finance lease right-of-use assets and lease liabilities are recognized similar to an operating lease, at the lease commencement date or the date the lessor makes the leased asset available for use. Finance lease right-of-use assets are generally amortized on a straight-line basis over the lease term, and the carrying amount of the finance lease liabilities are (1) accreted to reflect interest using the incremental borrowing rate if the rate implicit in the lease is not readily determinable, and (2) reduced to reflect lease payments made during the period. Amortization expense for finance lease right-of-use assets and interest accretion on finance lease liabilities are recorded to depreciation expense and interest expense, respectively in the Company's consolidated statement of operations.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leases at September 30, 2022, and March 31, 2022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September 30,</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Leases:</w:t>
            </w: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March 31, 2022</w:t>
            </w:r>
          </w:p>
        </w:tc>
        <w:tc>
          <w:tcPr>
            <w:tcW w:w="0" w:type="dxa"/>
            <w:vAlign w:val="bottom"/>
          </w:tcPr>
          <w:p>
            <w:pPr>
              <w:spacing w:after="0"/>
              <w:rPr>
                <w:sz w:val="1"/>
                <w:szCs w:val="1"/>
                <w:color w:val="auto"/>
              </w:rPr>
            </w:pPr>
          </w:p>
        </w:tc>
      </w:tr>
      <w:tr>
        <w:trPr>
          <w:trHeight w:val="209"/>
        </w:trPr>
        <w:tc>
          <w:tcPr>
            <w:tcW w:w="792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 Financing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Right-of-use assets - Operating</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3,274</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right-of-use assets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ST Financing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ST Operating</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818</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LT Financing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LT Operating</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2,572</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50"/>
        </w:trPr>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4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6.37%</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costs related to the Company's finance lease are not material. The costs related to the Company's operating leases for the three and six months ended September 30, 2022 and 2021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lease costs - fixed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 - variable</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Short-term lease costs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5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ectPr>
          <w:pgSz w:w="11900" w:h="16838" w:orient="portrait"/>
          <w:cols w:equalWidth="0" w:num="1">
            <w:col w:w="11240"/>
          </w:cols>
          <w:pgMar w:left="320" w:top="611" w:right="339" w:bottom="0" w:gutter="0" w:footer="0" w:header="0"/>
        </w:sectPr>
      </w:pPr>
    </w:p>
    <w:p>
      <w:pPr>
        <w:jc w:val="center"/>
        <w:ind w:left="8180"/>
        <w:spacing w:after="0"/>
        <w:rPr>
          <w:sz w:val="20"/>
          <w:szCs w:val="20"/>
          <w:color w:val="auto"/>
        </w:rPr>
      </w:pPr>
      <w:r>
        <w:rPr>
          <w:rFonts w:ascii="Arial" w:cs="Arial" w:eastAsia="Arial" w:hAnsi="Arial"/>
          <w:sz w:val="16"/>
          <w:szCs w:val="16"/>
          <w:b w:val="1"/>
          <w:bCs w:val="1"/>
          <w:color w:val="auto"/>
        </w:rPr>
        <w:t>Three Months</w:t>
      </w:r>
    </w:p>
    <w:p>
      <w:pPr>
        <w:spacing w:after="0" w:line="50" w:lineRule="exact"/>
        <w:rPr>
          <w:sz w:val="20"/>
          <w:szCs w:val="20"/>
          <w:color w:val="auto"/>
        </w:rPr>
      </w:pPr>
    </w:p>
    <w:p>
      <w:pPr>
        <w:jc w:val="center"/>
        <w:ind w:left="818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8180"/>
        <w:spacing w:after="0"/>
        <w:rPr>
          <w:sz w:val="20"/>
          <w:szCs w:val="20"/>
          <w:color w:val="auto"/>
        </w:rPr>
      </w:pPr>
      <w:r>
        <w:rPr>
          <w:rFonts w:ascii="Arial" w:cs="Arial" w:eastAsia="Arial" w:hAnsi="Arial"/>
          <w:sz w:val="16"/>
          <w:szCs w:val="16"/>
          <w:b w:val="1"/>
          <w:bCs w:val="1"/>
          <w:color w:val="auto"/>
        </w:rPr>
        <w:t>September 30,</w:t>
      </w:r>
    </w:p>
    <w:p>
      <w:pPr>
        <w:spacing w:after="0" w:line="32" w:lineRule="exact"/>
        <w:rPr>
          <w:sz w:val="20"/>
          <w:szCs w:val="20"/>
          <w:color w:val="auto"/>
        </w:rPr>
      </w:pPr>
    </w:p>
    <w:p>
      <w:pPr>
        <w:jc w:val="center"/>
        <w:ind w:left="818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20"/>
        <w:spacing w:after="0" w:line="298" w:lineRule="auto"/>
        <w:rPr>
          <w:sz w:val="20"/>
          <w:szCs w:val="20"/>
          <w:color w:val="auto"/>
        </w:rPr>
      </w:pPr>
      <w:r>
        <w:rPr>
          <w:rFonts w:ascii="Arial" w:cs="Arial" w:eastAsia="Arial" w:hAnsi="Arial"/>
          <w:sz w:val="16"/>
          <w:szCs w:val="16"/>
          <w:b w:val="1"/>
          <w:bCs w:val="1"/>
          <w:color w:val="auto"/>
        </w:rPr>
        <w:t>Six Months Ended September 30, 2021</w:t>
      </w:r>
    </w:p>
    <w:p>
      <w:pPr>
        <w:spacing w:after="0" w:line="1" w:lineRule="exact"/>
        <w:rPr>
          <w:sz w:val="20"/>
          <w:szCs w:val="20"/>
          <w:color w:val="auto"/>
        </w:rPr>
      </w:pPr>
    </w:p>
    <w:p>
      <w:pPr>
        <w:sectPr>
          <w:pgSz w:w="11900" w:h="16838" w:orient="portrait"/>
          <w:cols w:equalWidth="0" w:num="2">
            <w:col w:w="9280" w:space="420"/>
            <w:col w:w="1540"/>
          </w:cols>
          <w:pgMar w:left="320" w:top="611" w:right="339" w:bottom="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line="190" w:lineRule="exact"/>
              <w:rPr>
                <w:sz w:val="20"/>
                <w:szCs w:val="20"/>
                <w:color w:val="auto"/>
              </w:rPr>
            </w:pPr>
            <w:r>
              <w:rPr>
                <w:rFonts w:ascii="Arial" w:cs="Arial" w:eastAsia="Arial" w:hAnsi="Arial"/>
                <w:sz w:val="18"/>
                <w:szCs w:val="18"/>
                <w:b w:val="1"/>
                <w:bCs w:val="1"/>
                <w:color w:val="auto"/>
              </w:rPr>
              <w:t>Operating Leases:</w:t>
            </w:r>
          </w:p>
        </w:tc>
        <w:tc>
          <w:tcPr>
            <w:tcW w:w="40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 - fixed</w:t>
            </w:r>
          </w:p>
        </w:tc>
        <w:tc>
          <w:tcPr>
            <w:tcW w:w="4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lease costs - variable</w:t>
            </w:r>
          </w:p>
        </w:tc>
        <w:tc>
          <w:tcPr>
            <w:tcW w:w="4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lease costs</w:t>
            </w:r>
          </w:p>
        </w:tc>
        <w:tc>
          <w:tcPr>
            <w:tcW w:w="40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Total lease costs</w:t>
            </w:r>
          </w:p>
        </w:tc>
        <w:tc>
          <w:tcPr>
            <w:tcW w:w="40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580" w:type="dxa"/>
            <w:vAlign w:val="bottom"/>
            <w:gridSpan w:val="5"/>
          </w:tcPr>
          <w:p>
            <w:pPr>
              <w:ind w:left="660"/>
              <w:spacing w:after="0"/>
              <w:rPr>
                <w:sz w:val="20"/>
                <w:szCs w:val="20"/>
                <w:color w:val="auto"/>
              </w:rPr>
            </w:pPr>
            <w:r>
              <w:rPr>
                <w:rFonts w:ascii="Arial" w:cs="Arial" w:eastAsia="Arial" w:hAnsi="Arial"/>
                <w:sz w:val="18"/>
                <w:szCs w:val="18"/>
                <w:color w:val="auto"/>
                <w:w w:val="93"/>
              </w:rPr>
              <w:t>The Company’s estimated minimum future lease obligations under the Company's leases are as follows (in thousands):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20" w:type="dxa"/>
            <w:vAlign w:val="bottom"/>
            <w:vMerge w:val="restart"/>
          </w:tcPr>
          <w:p>
            <w:pPr>
              <w:spacing w:after="0"/>
              <w:rPr>
                <w:sz w:val="20"/>
                <w:szCs w:val="20"/>
                <w:color w:val="auto"/>
              </w:rPr>
            </w:pPr>
            <w:r>
              <w:rPr>
                <w:rFonts w:ascii="Arial" w:cs="Arial" w:eastAsia="Arial" w:hAnsi="Arial"/>
                <w:sz w:val="18"/>
                <w:szCs w:val="18"/>
                <w:color w:val="auto"/>
              </w:rPr>
              <w:t>Year ended March 31,</w:t>
            </w:r>
          </w:p>
        </w:tc>
        <w:tc>
          <w:tcPr>
            <w:tcW w:w="4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209"/>
        </w:trPr>
        <w:tc>
          <w:tcPr>
            <w:tcW w:w="3920" w:type="dxa"/>
            <w:vAlign w:val="bottom"/>
            <w:vMerge w:val="continue"/>
          </w:tcPr>
          <w:p>
            <w:pPr>
              <w:spacing w:after="0"/>
              <w:rPr>
                <w:sz w:val="18"/>
                <w:szCs w:val="18"/>
                <w:color w:val="auto"/>
              </w:rPr>
            </w:pPr>
          </w:p>
        </w:tc>
        <w:tc>
          <w:tcPr>
            <w:tcW w:w="4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2024</w:t>
            </w:r>
          </w:p>
        </w:tc>
        <w:tc>
          <w:tcPr>
            <w:tcW w:w="4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2026</w:t>
            </w:r>
          </w:p>
        </w:tc>
        <w:tc>
          <w:tcPr>
            <w:tcW w:w="4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Thereafter</w:t>
            </w:r>
          </w:p>
        </w:tc>
        <w:tc>
          <w:tcPr>
            <w:tcW w:w="4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0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Less: interest</w:t>
            </w:r>
          </w:p>
        </w:tc>
        <w:tc>
          <w:tcPr>
            <w:tcW w:w="4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0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412"/>
        </w:trPr>
        <w:tc>
          <w:tcPr>
            <w:tcW w:w="3920" w:type="dxa"/>
            <w:vAlign w:val="bottom"/>
            <w:tcBorders>
              <w:top w:val="single" w:sz="8" w:color="CCEEFF"/>
            </w:tcBorders>
          </w:tcPr>
          <w:p>
            <w:pPr>
              <w:spacing w:after="0"/>
              <w:rPr>
                <w:sz w:val="24"/>
                <w:szCs w:val="24"/>
                <w:color w:val="auto"/>
              </w:rPr>
            </w:pPr>
          </w:p>
        </w:tc>
        <w:tc>
          <w:tcPr>
            <w:tcW w:w="408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20</w:t>
            </w:r>
          </w:p>
        </w:tc>
        <w:tc>
          <w:tcPr>
            <w:tcW w:w="64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2022, the Company had $6.0 million of restricted cash included in long-term assets and $3.6 million of restricted cash included in current assets. As of March 31, 2022, the Company had $6.1 million of restricted cash included in long term assets and $2.8 million of restricted cash included in current assets. These amounts included in restricted cash primarily represent deposits to secure letters of credit for various supply contracts and long-term projects, including the irrevocable letter of credit in the amount of $5.0 million to secure certain of the Company's obligations under a subcontract agreement with ComEd. These deposits are held in interest bearing accounts.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Business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reports its financial results in two reportable business segments: Grid and Wind.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the Company’s power grid offerings, the Grid business segment enables electric utilities, industrial facilities, and renewable energy project developers to connect, transmit and distribute power with exceptional efficiency, reliability, security and affordability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the Company’s wind power offerings, the Wind business segment enables manufacturers to field wind turbines with exceptional power output, reliability and affordability. The Company provides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drivetrains and power ratings of 2 megawatts ("MWs") and higher. The Company provides a broad range of power electronics and software-based control systems that are highly integrated and designed for optimized performance, efficiency, and grid compatibility.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7"/>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Six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25,698</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24,619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45,527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48,119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5,209</w:t>
            </w: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27,680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27,908</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50,360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53,328</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Six Months Ended September</w:t>
            </w:r>
          </w:p>
        </w:tc>
      </w:tr>
      <w:tr>
        <w:trPr>
          <w:trHeight w:val="234"/>
        </w:trPr>
        <w:tc>
          <w:tcPr>
            <w:tcW w:w="39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Grid</w:t>
            </w:r>
          </w:p>
        </w:tc>
        <w:tc>
          <w:tcPr>
            <w:tcW w:w="230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(6,495)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(13,776)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(11,180)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Unallocated corporate expenses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(729)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1,329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(1,931)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49"/>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12"/>
        </w:trPr>
        <w:tc>
          <w:tcPr>
            <w:tcW w:w="3920" w:type="dxa"/>
            <w:vAlign w:val="bottom"/>
          </w:tcPr>
          <w:p>
            <w:pPr>
              <w:spacing w:after="0"/>
              <w:rPr>
                <w:sz w:val="24"/>
                <w:szCs w:val="24"/>
                <w:color w:val="auto"/>
              </w:rPr>
            </w:pP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24" w:name="page25"/>
    <w:bookmarkEnd w:id="24"/>
    <w:p>
      <w:pPr>
        <w:jc w:val="both"/>
        <w:ind w:firstLine="648"/>
        <w:spacing w:after="0" w:line="254"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loss.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Unallocated corporate expenses consist of a gain on contingent consideration of $0.3 million and $0.1 million in the three and six months ended September 30, 2022. Unallocated corporate expenses consist of a gain on contingent consideration of $2.4 million and $2.3 million in the three and six months ended September 30, 2021. Additionally, unallocated corporate expenses consist of stock-based compensation expense of $1.0 million and $1.1 million in the three months ended September 30, 2022, and 2021, respectively and $2.1 million and $2.4 million in the six months ended September 30, 2022 and 2021,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assets for the two business segments as of September 30, 2022, and March 31, 2022,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March 31, 2022</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121,227</w:t>
            </w: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114,053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Wind</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9,716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gridSpan w:val="2"/>
          </w:tcPr>
          <w:p>
            <w:pPr>
              <w:jc w:val="right"/>
              <w:ind w:right="100"/>
              <w:spacing w:after="0"/>
              <w:rPr>
                <w:sz w:val="20"/>
                <w:szCs w:val="20"/>
                <w:color w:val="auto"/>
              </w:rPr>
            </w:pPr>
            <w:r>
              <w:rPr>
                <w:rFonts w:ascii="Arial" w:cs="Arial" w:eastAsia="Arial" w:hAnsi="Arial"/>
                <w:sz w:val="18"/>
                <w:szCs w:val="18"/>
                <w:color w:val="auto"/>
              </w:rPr>
              <w:t>9,866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40,804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49,968</w:t>
            </w:r>
          </w:p>
        </w:tc>
      </w:tr>
      <w:tr>
        <w:trPr>
          <w:trHeight w:val="209"/>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171,747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173,887</w:t>
            </w:r>
          </w:p>
        </w:tc>
        <w:tc>
          <w:tcPr>
            <w:tcW w:w="10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Recent Accounting Pronouncements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amendments in ASU 2016-13 will provide more decision-useful information about the expected credit losses on financial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commitments to extend credit held by a reporting entity at each reporting date. Following the release of ASU 2019-10 in November 2019, the new effective date, as long as the Company remains a smaller reporting company, would be annual reporting periods beginning after December 15, 2022.The Company evaluated the impact of the adoption of ASU 2016-13, and does not expect it to have a material impact on its consolidated financial statements.</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The amendments in ASU 2021-08 will improve the accounting for acquired revenue contracts with customers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Following the release of ASU 2021-08 in October 2021, the new effective date will be annual reporting periods beginning after December 15, 2022. The Company is currently evaluating the impact, if any, that the adoption of ASU 2021-08 may have on its consolidated financial statements.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w:t>
      </w:r>
      <w:r>
        <w:rPr>
          <w:rFonts w:ascii="Arial" w:cs="Arial" w:eastAsia="Arial" w:hAnsi="Arial"/>
          <w:sz w:val="18"/>
          <w:szCs w:val="18"/>
          <w:color w:val="auto"/>
        </w:rPr>
        <w:t>. The amendments in ASU 2021-10 will improve financial reporting by requiring disclosures that increase the transparency of transactions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accounted for by applying a grant or contribution accounting model by analogy. Following the release of ASU 2021-10 in November 2021, the new effective date will be annual reporting periods beginning after December 15, 2021. As of April 1, 2022, the Company has adopted ASU 2021-10 and noted no material impact on its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performed an evaluation of subsequent events through the time of filing this Quarterly Report on Form 10-Q with the SEC and has determined that there are no such events to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prospective results of operations or financial position, the benefits of our acquisition of Northeast Power Systems, Inc. ("NEPSI") and Neeltran, Inc. ("Neeltran"), changes in macroeconomic and market conditions, including increasing inflation and impacts from the COVID-19 pandemic, sourcing, production disruption, material delays and global supply chain disruptions and adoption of accounting changes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a history of operating losses, which may continue in the future. Our operating results may fluctuate significantly from quarter to quarter and may fall below expectations in any particular fiscal quarter; We have a history of negative operating cash flows, and we may require additional financing in the future, which may not be available to us; We may be required to issue performance bonds or provide letters of credit, which restricts our ability to access any cash used as collateral for the bonds or letters of credit; Changes in exchange rates could adversely affect our results of operations; If we fail to maintain proper and effective internal control over financial reporting, our ability to produce accurate and timely financial statements could be impaired and may lead investors and other users to lose confidence in our financial data; We may not realize all of the sales expected from our backlog of orders and contracts;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The COVID-19 pandemic could adversely impact our business, financial condition and results of operations; Changes in U.S. government defense spending could negatively impact our financial position, results of operations, liquidity and overall business; We rely upon third-party suppliers for the components and subassemblies of many of our Grid and Wind products, making us vulnerable to supply shortages and price fluctuations, which could harm our business; Uncertainty surrounding our prospects and financial condition may have an adverse effect on our customer and supplier relationships; We have not manufactured our Amperium wire in commercial quantities, and a failure to manufacture our Amperium wire in commercial quantities at acceptable cost and quality levels would substantially limit our future revenue and profit potential; Our success is dependent upon attracting and retaining qualified personnel and our inability to do so could significantly damage our business and prospects; A significant portion of our Wind segment revenues are derived from a single customer. If this customer's business is negatively affected, it could adversely impact our business; Our success in addressing the wind energy market is dependent on the manufacturers that license our designs; Our business and operations would be adversely impacted in the event of a failure or security breach of our or any critical third parties information technology infrastructure and networks; Failure to comply with evolving data privacy and data protection laws and regulations or to otherwise protect personal data, may adversely impact our business and financial results;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may acquire additional complementary businesses or technologies, which may require us to incur substantial costs for which we may never realize the anticipated benefits; Our success depends upon the commercial adoption of the REG system, which is currently limited, and a widespread commercial market for our products may not develop; Adverse changes in domestic and global economic conditions could adversely affect our operating results; We have operations in, and depend on sales in, emerging markets, including India, and global conditions could negatively affect our operating results or limit our ability to expand our operations outside of these markets. Changes in India</w:t>
      </w:r>
      <w:r>
        <w:rPr>
          <w:rFonts w:ascii="Arial" w:cs="Arial" w:eastAsia="Arial" w:hAnsi="Arial"/>
          <w:sz w:val="16"/>
          <w:szCs w:val="16"/>
          <w:color w:val="auto"/>
        </w:rPr>
        <w:t>’</w:t>
      </w:r>
      <w:r>
        <w:rPr>
          <w:rFonts w:ascii="Arial" w:cs="Arial" w:eastAsia="Arial" w:hAnsi="Arial"/>
          <w:sz w:val="16"/>
          <w:szCs w:val="16"/>
          <w:i w:val="1"/>
          <w:iCs w:val="1"/>
          <w:color w:val="auto"/>
        </w:rPr>
        <w:t>s political, social, regulatory and economic environment may affect our financial performance; Our products face competition, which could limit our ability to acquire or retain customers; Our international operations are subject to risks that we do not face in the United States, which could have an adverse effect on our operating results; Growth of the wind energy market depends largely on the availability and size of government subsidies, economic incentives and legislative programs designed to support the growth of wind energy; Lower prices for other fuel sources may reduce the demand for wind energy development, which could have a material adverse effect on our ability to grow our Wind business; The increasing focus on environmental sustainability and social initiatives could increase our costs, and inaction could harm our reputation and adversely impact our financial results; We may be unable to adequately prevent disclosure of trade secrets and other proprietary information; Our patents may not provide meaningful protection for our technology, which could result in us losing some or all of our market position;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Third parties have or may acquire patents that cover the materials, processes and technologies we use or may use in the future to manufacture our Amperium products, and our success depends on our ability to license such patents or other proprietary rights; Our technology and products could infringe intellectual property rights of others, which may require costly litigation and, if we are not successful, could cause us to pay substantial damages and disrupt our business; We face risks related to our legal proceedings; We face risks related to our common stock; and the other important factors discussed under the caption "Risk Factors" in Part 1. Item 1A of our Annual Report on Form 10-K for the fiscal year ended March 31, 2022,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American Superconductor®, Amperium®, AMSC®, D-VAR®, PowerModule™, D-VAR VVO</w:t>
      </w:r>
      <w:r>
        <w:rPr>
          <w:rFonts w:ascii="Arial" w:cs="Arial" w:eastAsia="Arial" w:hAnsi="Arial"/>
          <w:sz w:val="16"/>
          <w:szCs w:val="16"/>
          <w:i w:val="1"/>
          <w:iCs w:val="1"/>
          <w:color w:val="auto"/>
        </w:rPr>
        <w:t>®,</w:t>
      </w:r>
      <w:r>
        <w:rPr>
          <w:rFonts w:ascii="Arial" w:cs="Arial" w:eastAsia="Arial" w:hAnsi="Arial"/>
          <w:sz w:val="16"/>
          <w:szCs w:val="16"/>
          <w:color w:val="auto"/>
        </w:rPr>
        <w:t xml:space="preserve"> PQ-IVR®, SeaTitan®, Gridtec™ Solutions, Windtec™ Solutions, Smarter, Cleaner...Better Energy™, Orchestrate the Rhythm and Harmony of Power on the Grid™, actiVAR®, armorVAR™, NEPSI™ and Neeltran™ and SafetyLOCK™ are trademarks or registered trademarks of American Superconductor Corporation or our subsidiaries. We reserve all of our rights with respect to our trademarks or registered trademarks regardless of whether they are so designated in this Quarterly Report on</w:t>
      </w:r>
    </w:p>
    <w:p>
      <w:pPr>
        <w:sectPr>
          <w:pgSz w:w="11900" w:h="16838" w:orient="portrait"/>
          <w:cols w:equalWidth="0" w:num="1">
            <w:col w:w="11240"/>
          </w:cols>
          <w:pgMar w:left="320" w:top="904" w:right="339" w:bottom="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Form 10-Q by an ® or ™ symbol. All other brand names, product names, trademarks or service marks appearing in this Quarterly Report on Form 10-Q are the property of their respective 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leading system provider of megawatt-scale resiliency solutions that orchestrate the rhythm and harmony of power on the grid™, and that protect and expand the capability of the U.S. Navy's fleet.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operate our business under two market-facing business units: Grid and Wind. We believe this market-centric structure enables us to more effectively anticipate and meet the needs of the U.S. Navy, electric utilities, industrial facilities, power generation project developers and wind turbine manufacturers.</w:t>
      </w:r>
    </w:p>
    <w:p>
      <w:pPr>
        <w:spacing w:after="0" w:line="184" w:lineRule="exact"/>
        <w:rPr>
          <w:sz w:val="20"/>
          <w:szCs w:val="20"/>
          <w:color w:val="auto"/>
        </w:rPr>
      </w:pPr>
    </w:p>
    <w:p>
      <w:pPr>
        <w:ind w:left="800" w:hanging="239"/>
        <w:spacing w:after="0" w:line="255" w:lineRule="auto"/>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Through our Gridtec™ Solutions, our Grid business segment enables electric utilities, industrial facilities, and renewable energy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259" w:lineRule="exact"/>
        <w:rPr>
          <w:rFonts w:ascii="Arial" w:cs="Arial" w:eastAsia="Arial" w:hAnsi="Arial"/>
          <w:sz w:val="18"/>
          <w:szCs w:val="18"/>
          <w:color w:val="auto"/>
        </w:rPr>
      </w:pPr>
    </w:p>
    <w:p>
      <w:pPr>
        <w:ind w:left="800" w:right="180" w:hanging="252"/>
        <w:spacing w:after="0" w:line="275"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Wind. </w:t>
      </w:r>
      <w:r>
        <w:rPr>
          <w:rFonts w:ascii="Arial" w:cs="Arial" w:eastAsia="Arial" w:hAnsi="Arial"/>
          <w:sz w:val="17"/>
          <w:szCs w:val="17"/>
          <w:color w:val="auto"/>
        </w:rPr>
        <w:t>Through our Windtec™ Solutions, our Wind business segment enables manufacturers to field wind turbines with exceptional power</w:t>
      </w:r>
      <w:r>
        <w:rPr>
          <w:rFonts w:ascii="Arial" w:cs="Arial" w:eastAsia="Arial" w:hAnsi="Arial"/>
          <w:sz w:val="17"/>
          <w:szCs w:val="17"/>
          <w:i w:val="1"/>
          <w:iCs w:val="1"/>
          <w:color w:val="auto"/>
        </w:rPr>
        <w:t xml:space="preserve"> </w:t>
      </w:r>
      <w:r>
        <w:rPr>
          <w:rFonts w:ascii="Arial" w:cs="Arial" w:eastAsia="Arial" w:hAnsi="Arial"/>
          <w:sz w:val="17"/>
          <w:szCs w:val="17"/>
          <w:color w:val="auto"/>
        </w:rPr>
        <w:t>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MW and higher. We provide a broad range of power electronics and software-based control systems that are highly integrated and designed for optimized performance, efficiency, and grid compatibility.</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that began on April 1 of that same year. For example, fiscal 2022 refers to the fiscal year that began on April 1, 2022. Other fiscal years follow similarly.</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October 31, 2018, we entered into a Subcontract Agreement with Commonwealth Edison Company (“ComEd”) (the “Subcontract Agreement”) for the manufacture and installation of the Company’s resilient electric grid ("REG") system within ComEd’s electric grid in Chicago, Illinois (the “Project”). As provided in the Subcontract Agreement, the Subcontract Agreement became effective upon the signing of an amendment by us and the U.S. Department of Homeland Security (“DHS”) to the existing contract (the “Prime Contract”) between us and DHS on June 20, 2019. Unless terminated earlier by us, ComEd or DHS according to the terms of the Subcontract Agreement, the term of the Subcontract Agreement will continue until we complete our warranty obligations under the Subcontract Agreement. Under the terms of the Subcontract Agreement, we agreed, among other things, to provide the REG system and to supervise ComEd’s installation of the REG system in Chicago. As part of our separate cost sharing arrangement with DHS under the Prime Contract, we received funding provided by DHS in connection with the Subcontract Agreement of approximately $10.0 million, which represents the total amount of revenue we recognized over the term of the Subcontract Agreement and includes $1.0 million that we have agreed to reimburse ComEd for costs incurred by ComEd while undertaking its tasks under the Subcontract Agreement (the “Reimbursement Amount”). In addition, we are required to deliver an irrevocable letter of credit in the amount of $5.0 million to secure certain Company obligations under the Subcontract Agreement, which we have done, and deposited $5.0 million in an escrow account as collateral to secure such letter of credit. ComEd has agreed to provide the site and provide all civil engineering work required to support the operation and integration of the REG system into ComEd’s electric grid. Other than the Reimbursement Amount, ComEd is responsible for its own costs and expenses. DHS’s approval to commence with construction was obtained on June 20, 2019. Substation work on the project began in late 2019 and we successfully integrated the REG system on Com Ed's electric power grid and the REG system became fully operational in August 2021.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jc w:val="both"/>
        <w:ind w:firstLine="648"/>
        <w:spacing w:after="0" w:line="254" w:lineRule="auto"/>
        <w:rPr>
          <w:sz w:val="20"/>
          <w:szCs w:val="20"/>
          <w:color w:val="auto"/>
        </w:rPr>
      </w:pPr>
      <w:r>
        <w:rPr>
          <w:rFonts w:ascii="Arial" w:cs="Arial" w:eastAsia="Arial" w:hAnsi="Arial"/>
          <w:sz w:val="18"/>
          <w:szCs w:val="18"/>
          <w:color w:val="auto"/>
        </w:rPr>
        <w:t>The COVID-19 pandemic continues to rapidly evolve. We are experiencing substantial inflationary pressure in our supply chain, some delays in sourcing materials needed for our products and some production disruption resulting from higher than typical employee absenteeism which have increased our cost of revenues and decreased gross margin. The extent to which the pandemic impacts our business, liquidity, results of operations and financial condition will depend on future developments, which are highly uncertain and cannot be predicted with confidence. Changes in macroeconomic and market conditions arising from the COVID-19 pandemic, or for other reasons, such as the ongoing war between Russia and Ukraine, inflation, rising interest rates, labor force availability, sourcing, material delays and global supply chain disruptions could have a material adverse effect on our business, financial condition and results of operation.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critical accounting policies that were disclosed in our Annual Report on Form 10-K for the fiscal year ended March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September 30, 2022, compared to the three and six months ended September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revenues decreased 1% to $27.7 million for the three months ended September 30, 2022 and total revenues decreased 6% to $50.4 million for the six months ended September 30, 2022, compared to $27.9 million and $53.3 million for the three and six months ended September 30, 2021, respectively. Our revenues are summarized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Six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25,698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24,619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45,527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48,119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5,209</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27,680</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27,908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50,360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53,328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Grid business unit accounted for 93% and 90% of total revenues for the three and six months ended September 30, 2022, respectively, compared to 88% and 90% for the three and six months ended September 30, 2021, respectively. Our Grid business unit revenues increased 4% to $25.7 million in the three months ended September 30, 2022, from $24.6 million in the three months ended September 30, 2021. Our Grid business unit revenues decreased 5% to $45.5 million in the six months ended September 30, 2022, from $48.1 million in the six months ended September 30, 2021. The increase in the Grid business unit revenue in the three months ended September 30, 2022, was primarily driven by higher NEPSI revenues than in the prior year period. The decrease in the Grid business unit revenue in the six months ended September 30, 2022, was primarily driven by lower D-VAR revenues than in the prior year period.</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Wind business unit accounted for 7% and 10% of total revenues for the three and six months ended September 30, 2022, respectively, compared to 12% and 10% for the three and six months ended September 30, 2021, respectively. Revenues in the Wind business unit decreased 40% and 7% to $2.0 million and $4.8 million in the three and six months ended September 30, 2022, from $3.3 million and $5.2 million in the three and six months ended September 30, 2021, respectively. The decrease in the three months ended September 30, 2022, was driven by fewer royalty collections and shipments of electrical control systems ("ECS") to Inox in the three months ended September 30, 2022. The decrease in the six months ended September 30, 2022 was driven by lower license and development revenue as well as fewer royalty collections than in the prior year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Cost of revenues increased by 4% to $25.7 million for the three months ended September 30, 2022, compared to $24.6 for the three months ended September 30, 2021. Cost of revenues decreased by 1% to $46.2 million for the six months ended September 30, 2022, compared to $46.7 million for the six months ended September 30, 2021. Gross margin was 7% and 8% for the three and six months ended September 30, 2022, respectively compared to 12% and 13% for the three and six months ended September 30, 2021. The decrease in gross margin in the three and six months ended September 30, 2022, was due to lower revenues, an unfavorable product mix and inflation pressure in our supply chain.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Research and development ("R&amp;D") expense decreased 13% in each of the three and six months ended September 30, 2022, to $2.3 million from $2.7 million in the three months ended September 30, 2021, and to $5.0 million from $5.7 million in the six months ended September 30, 2021. The decrease in R&amp;D expense was due to an increase in cost share revenues and a higher utilization of our research engineers supporting funded projects.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Selling, general and administrative ("SG&amp;A") expenses increased 10% in the three months ended September 30, 2022, to $7.3 million from $6.7 million in the three months ended September 30, 2021. The increase in SG&amp;A expense in the three months ended September 30, 2022, was due to higher overall compensation expense than in the prior year period. SG&amp;A expenses increased 8% to $14.9 million in the six months ended September 30, 2022, compared to $13.8 million in the six months ended September 30, 2021. The increase in SG&amp;A expense in the six months ended September 30, 2022, was due to higher overall compensation expense than in the prior year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recorded amortization expense related to our core technology and know-how, customer relationships, and other intangible assets of $0.7 million and $1.4 million in the three and six months ended September 30, 2022, respectively, and $0.6 million and $1.2 million in the three and six months ended September 30, 2021, respectively. The increase in amortization expense is a result of additional expense tied to the acquisition of Neeltran.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change in fair value of our contingent consideration for the earnout payment on the NEPSI Acquisition resulted in a gain of $0.3 million and $0.1 million in the three and six months ended September 30, 2022, respectively, compared to a gain of $2.4 million and $2.3 million in the three and six months ended September 30, 2021, respectively. The change in the fair value was primarily driven by a decreased likelihood of achieving certain revenue targets and a decline in the Company's stock price.</w:t>
      </w:r>
    </w:p>
    <w:p>
      <w:pPr>
        <w:sectPr>
          <w:pgSz w:w="11900" w:h="16838" w:orient="portrait"/>
          <w:cols w:equalWidth="0" w:num="1">
            <w:col w:w="11240"/>
          </w:cols>
          <w:pgMar w:left="320" w:top="584"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Our operating loss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Unallocated corporate expenses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0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2"/>
              </w:rPr>
              <w:t>Six Months Ended September</w:t>
            </w:r>
          </w:p>
        </w:tc>
      </w:tr>
      <w:tr>
        <w:trPr>
          <w:trHeight w:val="234"/>
        </w:trPr>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r>
      <w:tr>
        <w:trPr>
          <w:trHeight w:val="41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(6,495)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(13,776)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(11,180)</w:t>
            </w: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(868)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(1,254)</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(558)</w:t>
            </w:r>
          </w:p>
        </w:tc>
      </w:tr>
      <w:tr>
        <w:trPr>
          <w:trHeight w:val="230"/>
        </w:trPr>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(729)</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1,329</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(1,931)</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09"/>
        </w:trPr>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(8,092)</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(11,801)</w:t>
            </w:r>
          </w:p>
        </w:tc>
        <w:tc>
          <w:tcPr>
            <w:tcW w:w="6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584" w:right="339" w:bottom="1440" w:gutter="0" w:footer="0" w:header="0"/>
          <w:type w:val="continuous"/>
        </w:sectPr>
      </w:pPr>
    </w:p>
    <w:p>
      <w:pPr>
        <w:spacing w:after="0" w:line="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Grid business segment generated operating losses of $6.5 million and $13.8 million in the three and six months ended September 30, 2022, compared to $5.8 million and $11.2 million in the three and six months ended September 30, 2021. The increase in the Grid business unit operating loss in the three months ended September 30, 2022, was due to lower gross margins due to an unfavorable product mix, and higher operating expenses. The increase in the grid business unit operating loss in the six months ended September 30, 2022 was due to lower revenues and gross margins due to an unfavorable product mix, and higher operating expenses.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Wind business segment generated operating losses of $0.9 million and $1.3 million in the three and six months ended September 30, 2022, compared to an operating profit of $0.2 million and an operating loss of $0.6 million in the three and six months ended September 30, 2021, respectively. The increase in the Wind business unit operating loss was due to lower revenues and gross margins, and higher operating expenses.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Unallocated corporate expenses included a gain on contingent consideration of $0.3 million and $0.1 million in the three and six months ended September 30, 2022. Additionally, unallocated corporate expenses primarily consisted of stock-based compensation expense of $1.0 million and $1.1 million in the three months ended September 30, 2022 and 2021, respectively, and $2.1 million and $2.4 million in the six months ended September 30, 2022 and 2021,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income, net, was less than $0.1 million in both the three and six months ended September 30, 2022 and September 30, 2021,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dissolution</w:t>
      </w:r>
    </w:p>
    <w:p>
      <w:pPr>
        <w:spacing w:after="0" w:line="225" w:lineRule="exact"/>
        <w:rPr>
          <w:sz w:val="20"/>
          <w:szCs w:val="20"/>
          <w:color w:val="auto"/>
        </w:rPr>
      </w:pPr>
    </w:p>
    <w:p>
      <w:pPr>
        <w:ind w:right="20" w:firstLine="630"/>
        <w:spacing w:after="0" w:line="301" w:lineRule="auto"/>
        <w:rPr>
          <w:sz w:val="20"/>
          <w:szCs w:val="20"/>
          <w:color w:val="auto"/>
        </w:rPr>
      </w:pPr>
      <w:r>
        <w:rPr>
          <w:rFonts w:ascii="Arial" w:cs="Arial" w:eastAsia="Arial" w:hAnsi="Arial"/>
          <w:sz w:val="16"/>
          <w:szCs w:val="16"/>
          <w:color w:val="auto"/>
        </w:rPr>
        <w:t>China dissolution, was $1.9 million in each of the three and six months ended September 30, 2022, respectively, compared to no activity in each of the three and six months ended September 30, 2021 . The increase in China dissolution during the three and six months ended September 30, 2022, was driven by the liquidation of our China entity, resulting in a foreign currency gain/loss from the cumulative translation release of $1.9 million in the three and six months ended September 30, 2022 in which there was no similar transaction in the three and six months ended September 30,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income, net, was $0.1 million and $0.2 million in the three and six months ended September 30, 2022, respectively, compared to other income, net, of less than $0.1 million in the three months ended September 30, 2021 and other expense, net of less than $0.1 million in the six months ended September 30, 2021. The decrease in other expense during the three and six months ended September 30, 2022, was driven by the impacts of favorable fluctuations in foreign currencies during the respective period.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Income tax benefit was less than $0.1 million in the three months ended September 30, 2022 and income tax expense was less than $0.1 million in the six months ended September 30, 2022. Income tax expense was $0.2 million in the three months ended September 30, 2021 and income tax benefit was $1.9 million in the six months ended September 30, 2021. The increase in income tax benefit in the three months ended September 30, 2022 compared to the same period in fiscal 2021 was primarily due to lower withholding taxes from foreign jurisdictions in the three months ended September 30, 2022. The increase in income tax expense in the six months ended September 30, 2022 compared to the same period in fiscal 2021 was a result of the release of the valuation allowance to offset the recording of the deferred tax liability from the Neeltran Acquisition in the six months ended September 30,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loss was $9.9 million and $18.6 million in the three and six months ended September 30, 2022, compared to $4.4 million and $9.8 million in the three and six months ended September 30, 2021. The increase in net loss was driven primarily by the increased operating loss due to lower revenues and gross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 - Non-GAAP 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Quarterly Report on Form 10-Q, however, should be considered in addition to, and not as a substitute for or superior to the comparable measures prepared in accordance with GAAP.</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define non-GAAP net loss as net loss before China dissolution, stock-based compensation, amortization of acquisition-related intangibles, acquisition costs, change in fair value of contingent consideration, and other non-cash or unusual charges. We believe non-GAAP net loss assists management and investors in comparing our performance across reporting periods on a consistent basis by excluding these non-cash charges and other items that we do not believe are indicative of our core operating performance. In addition, we use non-GAAP net loss as a factor to evaluate the effectiveness of our business strategies. A reconciliation of GAAP to non-GAAP net loss is set forth in the table below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Six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(9,881)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(9,837)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China dissolution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(2,430)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Non-GAAP 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(7,804)</w:t>
            </w:r>
          </w:p>
        </w:tc>
      </w:tr>
      <w:tr>
        <w:trPr>
          <w:trHeight w:val="196"/>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Non-GAAP net loss per share - basic</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Weighted average shares outstanding - basic</w:t>
            </w: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27,867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27,252</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27,714</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27,040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incurred non-GAAP net losses of $6.5 million and $13.3 million, or $0.23 and $0.48 per share, for the three and six months ended September 30, 2022, compared to $5.1 million and $7.8 million, or $0.19 and $0.29 per share, for the three and six months ended September 30, 2021. The increase in the non-GAAP net loss for the three and six months ended September 30, 2022 was due to a higher operating loss driven by lower gross margin and higher operating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848"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experienced recurring operating losses and, as of September 30, 2022, had an accumulated deficit of $1,039 million.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cash requirements depend on numerous factors, including the successful completion of our product development activities, our ability to commercialize our REG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reduce our operating and capital spending to enhance liquidity.</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2021, we filed a shelf registration statement on Form S-3 that will expire in February 2024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2022, we had cash, cash equivalents and restricted cash of $37.4 million, compared to $49.5 million as of March 31, 2022, a decrease of $12.1 million. As of September 30, 2022, we had approximately $1.9 million of cash, cash equivalents, and restricted cash in foreign bank accounts. Our cash, cash equivalents, and restricted cash are summarized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49,486</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September 30, 2022, net cash used in operating activities was $11.6 million, compared to $11.7 million for the six months ended September 30, 2021. The decrease in net cash used in operations was due primarily to an increase in inventory purchases offset by accounts receivable collections in the six months ended September 30, 2022 as compared to September 30, 2021.</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six months ended September 30, 2022, net cash used in investing activities was $0.7 million, compared to $6.8 million for the six months ended September 30, 2021. The decrease in net cash used in investing activities was primarily due to the cash that was used to pay for the Neeltran Acquisition in the six months ended September 30, 2021. There was no such transaction in the six months ended September 30, 2022.</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six months ended September 30, 2022 and 2021, respectively, net cash provided by financing activities remained consistent at less than $0.1 million.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2022, we had $6.0 million of restricted cash included in long-term assets and $3.6 million of restricted cash included in current assets. These amounts of restricted cash primarily represent deposits to secure letters of credit for various supply contracts and long-term projects, including the irrevocable letter of credit in the amount of $5.0 million to secure certain of our obligations under the Subcontract Agreement with ComEd. These deposits are held in interest bearing accounts.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September 30, 2022, while others are considered future commitments. We have various contractual arrangements, under which we have committed to purchase certain minimum quantities of goods or services on an annual basis. For information regarding our other contractual obligations, refer to Note 13, "Contingent Consideration," Note 14, "Debt," Note 15, "Leases" and Note 16, "Commitments and Contingencies" to our condensed consolidated financial statements included elsewhere in this Quarterly Report on Form 10-Q.</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we have sufficient available liquidity to fund our operations and capital expenditures for the next twelve months. In addition, we may seek to raise additional capital, which could be in the form of loans, convertible debt or equity, to fund our operating requirements and capital expenditures. Our liquidity is highly dependent on our ability to increase revenues, improve upon gross margins, control our operating costs, and raise additional capital, if necessary. There can be no assurance that we will be able to raise additional capital on favorable terms or at all, or execute on any other means of improving our liquidity as described above. Additionally, the impact of the COVID-19 pandemic and adverse macroeconomic conditions on the global financial markets may reduce our ability to raise additional capital, if necessary, which could negatively impact our liquidity.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involved in legal and administrative proceedings and claims of various types. See Part II, Item 1, “Legal Proceedings,” for additional information.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consolidated financial statements not misleading. If the loss is not probable or cannot be reasonably estimated, a liability is not recorded in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amendments in ASU 2016-13 will provide more decision-useful information about the expected credit losses on financial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commitments to extend credit held by a reporting entity at each reporting date. Following the release of ASU 2019-10 in November 2019, the new effective date, as long as we remain a smaller reporting company, would be annual reporting periods beginning after December 15, 2022. We have evaluated the impact of the adoption of ASU 2016-13, and do not expect it to have a material impact on our consolidated financial statements.</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The amendments in ASU 2021-08 will improve the accounting for acquired revenue contracts with customers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Following the release of ASU 2021-08 in October 2021, the new effective date will be annual reporting periods beginning after December 15, 2022. We are currently evaluating the impact, if any, that the adoption of ASU 2021-08 may have on our consolidated financial statements.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w:t>
      </w:r>
      <w:r>
        <w:rPr>
          <w:rFonts w:ascii="Arial" w:cs="Arial" w:eastAsia="Arial" w:hAnsi="Arial"/>
          <w:sz w:val="18"/>
          <w:szCs w:val="18"/>
          <w:color w:val="auto"/>
        </w:rPr>
        <w:t>. The amendments in ASU 2021-10 improve financial reporting by requiring disclosures that increase the transparency of transactions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accounted for by applying a grant or contribution accounting model by analogy. Following the release of ASU 2021-10 in November 2021, the effective date was annual reporting periods beginning after December 15, 2021. As of April 1, 2022, we have adopted ASU 2021-10 and noted no material impact on our consolidated financial statements.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believe that, outside of those disclosed here, there are any other recently issued accounting pronouncements that will have a material impact on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during the quarter ended September 30, 2022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have been no material changes to the risk factors described in Part I, Item 1A of our Annual Report on Form 10-K for the fiscal year ended March 31, 2022, filed with the SEC on June 1, 2022.</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stock repurchase activity during the three months ended September 30, 2022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the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Plans or</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2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Month</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r>
              <w:rPr>
                <w:rFonts w:ascii="Arial" w:cs="Arial" w:eastAsia="Arial" w:hAnsi="Arial"/>
                <w:sz w:val="14"/>
                <w:szCs w:val="14"/>
                <w:b w:val="1"/>
                <w:bCs w:val="1"/>
                <w:color w:val="auto"/>
                <w:w w:val="89"/>
              </w:rPr>
              <w:t>(a)</w:t>
            </w:r>
          </w:p>
        </w:tc>
        <w:tc>
          <w:tcPr>
            <w:tcW w:w="2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2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millions)</w:t>
            </w: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2022 - July 31, 2022</w:t>
            </w:r>
          </w:p>
        </w:tc>
        <w:tc>
          <w:tcPr>
            <w:tcW w:w="1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August 31, 2022 - August 31, 2022</w:t>
            </w:r>
          </w:p>
        </w:tc>
        <w:tc>
          <w:tcPr>
            <w:tcW w:w="120" w:type="dxa"/>
            <w:vAlign w:val="bottom"/>
          </w:tcPr>
          <w:p>
            <w:pPr>
              <w:spacing w:after="0"/>
              <w:rPr>
                <w:sz w:val="18"/>
                <w:szCs w:val="18"/>
                <w:color w:val="auto"/>
              </w:rPr>
            </w:pPr>
          </w:p>
        </w:tc>
        <w:tc>
          <w:tcPr>
            <w:tcW w:w="1360" w:type="dxa"/>
            <w:vAlign w:val="bottom"/>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2022 - September 30, 2022</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3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 During the three months ended September 30, 2022, we did not repurchase shares in connection with our stock-based compensation plans.</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240" w:type="dxa"/>
            <w:vAlign w:val="bottom"/>
            <w:gridSpan w:val="18"/>
          </w:tcPr>
          <w:p>
            <w:pPr>
              <w:ind w:left="300"/>
              <w:spacing w:after="0"/>
              <w:rPr>
                <w:sz w:val="20"/>
                <w:szCs w:val="20"/>
                <w:color w:val="auto"/>
              </w:rPr>
            </w:pPr>
            <w:r>
              <w:rPr>
                <w:rFonts w:ascii="Arial" w:cs="Arial" w:eastAsia="Arial" w:hAnsi="Arial"/>
                <w:sz w:val="18"/>
                <w:szCs w:val="18"/>
                <w:b w:val="1"/>
                <w:bCs w:val="1"/>
                <w:color w:val="auto"/>
              </w:rPr>
              <w:t>EXHIBITS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gridSpan w:val="13"/>
          </w:tcPr>
          <w:p>
            <w:pPr>
              <w:ind w:left="1020"/>
              <w:spacing w:after="0"/>
              <w:rPr>
                <w:sz w:val="20"/>
                <w:szCs w:val="20"/>
                <w:color w:val="auto"/>
              </w:rPr>
            </w:pPr>
            <w:r>
              <w:rPr>
                <w:rFonts w:ascii="Arial" w:cs="Arial" w:eastAsia="Arial" w:hAnsi="Arial"/>
                <w:sz w:val="18"/>
                <w:szCs w:val="18"/>
                <w:b w:val="1"/>
                <w:bCs w:val="1"/>
                <w:color w:val="auto"/>
              </w:rPr>
              <w:t>EXHIBIT INDEX</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ind w:left="36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91"/>
        </w:trPr>
        <w:tc>
          <w:tcPr>
            <w:tcW w:w="1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1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Filed/Furnished</w:t>
            </w:r>
          </w:p>
        </w:tc>
        <w:tc>
          <w:tcPr>
            <w:tcW w:w="0" w:type="dxa"/>
            <w:vAlign w:val="bottom"/>
          </w:tcPr>
          <w:p>
            <w:pPr>
              <w:spacing w:after="0"/>
              <w:rPr>
                <w:sz w:val="1"/>
                <w:szCs w:val="1"/>
                <w:color w:val="auto"/>
              </w:rPr>
            </w:pPr>
          </w:p>
        </w:tc>
      </w:tr>
      <w:tr>
        <w:trPr>
          <w:trHeight w:val="234"/>
        </w:trPr>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40" w:type="dxa"/>
            <w:vAlign w:val="bottom"/>
            <w:gridSpan w:val="15"/>
          </w:tcPr>
          <w:p>
            <w:pPr>
              <w:ind w:left="680"/>
              <w:spacing w:after="0"/>
              <w:rPr>
                <w:sz w:val="20"/>
                <w:szCs w:val="20"/>
                <w:color w:val="auto"/>
              </w:rPr>
            </w:pPr>
            <w:r>
              <w:rPr>
                <w:rFonts w:ascii="Arial" w:cs="Arial" w:eastAsia="Arial" w:hAnsi="Arial"/>
                <w:sz w:val="18"/>
                <w:szCs w:val="18"/>
                <w:b w:val="1"/>
                <w:bCs w:val="1"/>
                <w:color w:val="auto"/>
              </w:rPr>
              <w:t>Exhibit Description</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00" w:type="dxa"/>
            <w:vAlign w:val="bottom"/>
          </w:tcPr>
          <w:p>
            <w:pPr>
              <w:spacing w:after="0"/>
              <w:rPr>
                <w:sz w:val="20"/>
                <w:szCs w:val="20"/>
                <w:color w:val="auto"/>
              </w:rPr>
            </w:pP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w w:val="95"/>
              </w:rPr>
              <w:t>File No.</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95"/>
        </w:trPr>
        <w:tc>
          <w:tcPr>
            <w:tcW w:w="6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000-</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8/5/22</w:t>
            </w: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20" w:type="dxa"/>
            <w:vAlign w:val="bottom"/>
            <w:gridSpan w:val="16"/>
          </w:tcPr>
          <w:p>
            <w:pPr>
              <w:spacing w:after="0" w:line="190" w:lineRule="exact"/>
              <w:rPr>
                <w:rFonts w:ascii="Arial" w:cs="Arial" w:eastAsia="Arial" w:hAnsi="Arial"/>
                <w:sz w:val="18"/>
                <w:szCs w:val="18"/>
                <w:color w:val="0000EE"/>
              </w:rPr>
            </w:pPr>
            <w:hyperlink r:id="rId41">
              <w:r>
                <w:rPr>
                  <w:rFonts w:ascii="Arial" w:cs="Arial" w:eastAsia="Arial" w:hAnsi="Arial"/>
                  <w:sz w:val="18"/>
                  <w:szCs w:val="18"/>
                  <w:color w:val="0000EE"/>
                </w:rPr>
                <w:t>2022 Stock Incentive Plan.</w:t>
              </w:r>
            </w:hyperlink>
          </w:p>
        </w:tc>
        <w:tc>
          <w:tcPr>
            <w:tcW w:w="660" w:type="dxa"/>
            <w:vAlign w:val="bottom"/>
          </w:tcPr>
          <w:p>
            <w:pPr>
              <w:spacing w:after="0"/>
              <w:rPr>
                <w:sz w:val="16"/>
                <w:szCs w:val="16"/>
                <w:color w:val="auto"/>
              </w:rPr>
            </w:pPr>
          </w:p>
        </w:tc>
        <w:tc>
          <w:tcPr>
            <w:tcW w:w="780" w:type="dxa"/>
            <w:vAlign w:val="bottom"/>
            <w:gridSpan w:val="2"/>
          </w:tcPr>
          <w:p>
            <w:pPr>
              <w:jc w:val="center"/>
              <w:ind w:left="10"/>
              <w:spacing w:after="0" w:line="190" w:lineRule="exact"/>
              <w:rPr>
                <w:sz w:val="20"/>
                <w:szCs w:val="20"/>
                <w:color w:val="auto"/>
              </w:rPr>
            </w:pPr>
            <w:r>
              <w:rPr>
                <w:rFonts w:ascii="Arial" w:cs="Arial" w:eastAsia="Arial" w:hAnsi="Arial"/>
                <w:sz w:val="18"/>
                <w:szCs w:val="18"/>
                <w:color w:val="auto"/>
                <w:w w:val="87"/>
              </w:rPr>
              <w:t>19672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4940" w:type="dxa"/>
            <w:vAlign w:val="bottom"/>
            <w:tcBorders>
              <w:bottom w:val="single" w:sz="8" w:color="0000EE"/>
            </w:tcBorders>
            <w:gridSpan w:val="11"/>
          </w:tcPr>
          <w:p>
            <w:pPr>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Form of Time-Based Restricted Stock Agreement Under 2022 Stock</w:t>
              </w:r>
            </w:hyperlink>
          </w:p>
        </w:tc>
        <w:tc>
          <w:tcPr>
            <w:tcW w:w="18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000-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6"/>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Incentive Plan.</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78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87"/>
              </w:rPr>
              <w:t>19672</w:t>
            </w:r>
          </w:p>
        </w:tc>
        <w:tc>
          <w:tcPr>
            <w:tcW w:w="76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85"/>
              </w:rPr>
              <w:t>10.2</w:t>
            </w:r>
          </w:p>
        </w:tc>
        <w:tc>
          <w:tcPr>
            <w:tcW w:w="76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91"/>
              </w:rPr>
              <w:t>8/5/22</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5120" w:type="dxa"/>
            <w:vAlign w:val="bottom"/>
            <w:gridSpan w:val="16"/>
          </w:tcPr>
          <w:p>
            <w:pPr>
              <w:spacing w:after="0"/>
              <w:rPr>
                <w:rFonts w:ascii="Arial" w:cs="Arial" w:eastAsia="Arial" w:hAnsi="Arial"/>
                <w:sz w:val="18"/>
                <w:szCs w:val="18"/>
                <w:color w:val="0000EE"/>
                <w:w w:val="99"/>
              </w:rPr>
            </w:pPr>
            <w:hyperlink r:id="rId43">
              <w:r>
                <w:rPr>
                  <w:rFonts w:ascii="Arial" w:cs="Arial" w:eastAsia="Arial" w:hAnsi="Arial"/>
                  <w:sz w:val="18"/>
                  <w:szCs w:val="18"/>
                  <w:color w:val="0000EE"/>
                  <w:w w:val="99"/>
                </w:rPr>
                <w:t>Form of Performance-Based Restricted Stock Agreement Under</w:t>
              </w:r>
            </w:hyperlink>
          </w:p>
        </w:tc>
        <w:tc>
          <w:tcPr>
            <w:tcW w:w="660" w:type="dxa"/>
            <w:vAlign w:val="bottom"/>
          </w:tcPr>
          <w:p>
            <w:pPr>
              <w:spacing w:after="0"/>
              <w:rPr>
                <w:sz w:val="24"/>
                <w:szCs w:val="24"/>
                <w:color w:val="auto"/>
              </w:rPr>
            </w:pP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000-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2022 Stock Incentive Plan.</w:t>
              </w:r>
            </w:hyperlink>
          </w:p>
        </w:tc>
        <w:tc>
          <w:tcPr>
            <w:tcW w:w="500" w:type="dxa"/>
            <w:vAlign w:val="bottom"/>
            <w:gridSpan w:val="7"/>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78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87"/>
              </w:rPr>
              <w:t>19672</w:t>
            </w:r>
          </w:p>
        </w:tc>
        <w:tc>
          <w:tcPr>
            <w:tcW w:w="76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85"/>
              </w:rPr>
              <w:t>10.3</w:t>
            </w:r>
          </w:p>
        </w:tc>
        <w:tc>
          <w:tcPr>
            <w:tcW w:w="76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91"/>
              </w:rPr>
              <w:t>8/5/22</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000-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20" w:type="dxa"/>
            <w:vAlign w:val="bottom"/>
            <w:gridSpan w:val="16"/>
          </w:tcPr>
          <w:p>
            <w:pPr>
              <w:spacing w:after="0" w:line="190" w:lineRule="exact"/>
              <w:rPr>
                <w:rFonts w:ascii="Arial" w:cs="Arial" w:eastAsia="Arial" w:hAnsi="Arial"/>
                <w:sz w:val="18"/>
                <w:szCs w:val="18"/>
                <w:color w:val="0000EE"/>
              </w:rPr>
            </w:pPr>
            <w:hyperlink r:id="rId44">
              <w:r>
                <w:rPr>
                  <w:rFonts w:ascii="Arial" w:cs="Arial" w:eastAsia="Arial" w:hAnsi="Arial"/>
                  <w:sz w:val="18"/>
                  <w:szCs w:val="18"/>
                  <w:color w:val="0000EE"/>
                </w:rPr>
                <w:t>Form of Option Agreement Under 2022 Stock Incentive Plan.</w:t>
              </w:r>
            </w:hyperlink>
          </w:p>
        </w:tc>
        <w:tc>
          <w:tcPr>
            <w:tcW w:w="66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780" w:type="dxa"/>
            <w:vAlign w:val="bottom"/>
            <w:gridSpan w:val="2"/>
          </w:tcPr>
          <w:p>
            <w:pPr>
              <w:jc w:val="center"/>
              <w:ind w:left="10"/>
              <w:spacing w:after="0" w:line="190" w:lineRule="exact"/>
              <w:rPr>
                <w:sz w:val="20"/>
                <w:szCs w:val="20"/>
                <w:color w:val="auto"/>
              </w:rPr>
            </w:pPr>
            <w:r>
              <w:rPr>
                <w:rFonts w:ascii="Arial" w:cs="Arial" w:eastAsia="Arial" w:hAnsi="Arial"/>
                <w:sz w:val="18"/>
                <w:szCs w:val="18"/>
                <w:color w:val="auto"/>
                <w:w w:val="87"/>
              </w:rPr>
              <w:t>19672</w:t>
            </w:r>
          </w:p>
        </w:tc>
        <w:tc>
          <w:tcPr>
            <w:tcW w:w="760" w:type="dxa"/>
            <w:vAlign w:val="bottom"/>
            <w:gridSpan w:val="2"/>
          </w:tcPr>
          <w:p>
            <w:pPr>
              <w:jc w:val="center"/>
              <w:ind w:left="10"/>
              <w:spacing w:after="0" w:line="190" w:lineRule="exact"/>
              <w:rPr>
                <w:sz w:val="20"/>
                <w:szCs w:val="20"/>
                <w:color w:val="auto"/>
              </w:rPr>
            </w:pPr>
            <w:r>
              <w:rPr>
                <w:rFonts w:ascii="Arial" w:cs="Arial" w:eastAsia="Arial" w:hAnsi="Arial"/>
                <w:sz w:val="18"/>
                <w:szCs w:val="18"/>
                <w:color w:val="auto"/>
                <w:w w:val="85"/>
              </w:rPr>
              <w:t>10.4</w:t>
            </w:r>
          </w:p>
        </w:tc>
        <w:tc>
          <w:tcPr>
            <w:tcW w:w="760" w:type="dxa"/>
            <w:vAlign w:val="bottom"/>
            <w:gridSpan w:val="2"/>
          </w:tcPr>
          <w:p>
            <w:pPr>
              <w:jc w:val="center"/>
              <w:ind w:left="10"/>
              <w:spacing w:after="0" w:line="190" w:lineRule="exact"/>
              <w:rPr>
                <w:sz w:val="20"/>
                <w:szCs w:val="20"/>
                <w:color w:val="auto"/>
              </w:rPr>
            </w:pPr>
            <w:r>
              <w:rPr>
                <w:rFonts w:ascii="Arial" w:cs="Arial" w:eastAsia="Arial" w:hAnsi="Arial"/>
                <w:sz w:val="18"/>
                <w:szCs w:val="18"/>
                <w:color w:val="auto"/>
                <w:w w:val="91"/>
              </w:rPr>
              <w:t>8/5/22</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000-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20" w:type="dxa"/>
            <w:vAlign w:val="bottom"/>
            <w:gridSpan w:val="16"/>
          </w:tcPr>
          <w:p>
            <w:pPr>
              <w:spacing w:after="0" w:line="190" w:lineRule="exact"/>
              <w:rPr>
                <w:rFonts w:ascii="Arial" w:cs="Arial" w:eastAsia="Arial" w:hAnsi="Arial"/>
                <w:sz w:val="18"/>
                <w:szCs w:val="18"/>
                <w:color w:val="0000EE"/>
              </w:rPr>
            </w:pPr>
            <w:hyperlink r:id="rId45">
              <w:r>
                <w:rPr>
                  <w:rFonts w:ascii="Arial" w:cs="Arial" w:eastAsia="Arial" w:hAnsi="Arial"/>
                  <w:sz w:val="18"/>
                  <w:szCs w:val="18"/>
                  <w:color w:val="0000EE"/>
                </w:rPr>
                <w:t>Amended and Restated 2007 Director Stock Plan.</w:t>
              </w:r>
            </w:hyperlink>
          </w:p>
        </w:tc>
        <w:tc>
          <w:tcPr>
            <w:tcW w:w="66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780" w:type="dxa"/>
            <w:vAlign w:val="bottom"/>
            <w:gridSpan w:val="2"/>
          </w:tcPr>
          <w:p>
            <w:pPr>
              <w:jc w:val="center"/>
              <w:ind w:left="10"/>
              <w:spacing w:after="0" w:line="190" w:lineRule="exact"/>
              <w:rPr>
                <w:sz w:val="20"/>
                <w:szCs w:val="20"/>
                <w:color w:val="auto"/>
              </w:rPr>
            </w:pPr>
            <w:r>
              <w:rPr>
                <w:rFonts w:ascii="Arial" w:cs="Arial" w:eastAsia="Arial" w:hAnsi="Arial"/>
                <w:sz w:val="18"/>
                <w:szCs w:val="18"/>
                <w:color w:val="auto"/>
                <w:w w:val="87"/>
              </w:rPr>
              <w:t>19672</w:t>
            </w:r>
          </w:p>
        </w:tc>
        <w:tc>
          <w:tcPr>
            <w:tcW w:w="760" w:type="dxa"/>
            <w:vAlign w:val="bottom"/>
            <w:gridSpan w:val="2"/>
          </w:tcPr>
          <w:p>
            <w:pPr>
              <w:jc w:val="center"/>
              <w:ind w:left="10"/>
              <w:spacing w:after="0" w:line="190" w:lineRule="exact"/>
              <w:rPr>
                <w:sz w:val="20"/>
                <w:szCs w:val="20"/>
                <w:color w:val="auto"/>
              </w:rPr>
            </w:pPr>
            <w:r>
              <w:rPr>
                <w:rFonts w:ascii="Arial" w:cs="Arial" w:eastAsia="Arial" w:hAnsi="Arial"/>
                <w:sz w:val="18"/>
                <w:szCs w:val="18"/>
                <w:color w:val="auto"/>
                <w:w w:val="85"/>
              </w:rPr>
              <w:t>10.5</w:t>
            </w:r>
          </w:p>
        </w:tc>
        <w:tc>
          <w:tcPr>
            <w:tcW w:w="760" w:type="dxa"/>
            <w:vAlign w:val="bottom"/>
            <w:gridSpan w:val="2"/>
          </w:tcPr>
          <w:p>
            <w:pPr>
              <w:jc w:val="center"/>
              <w:ind w:left="10"/>
              <w:spacing w:after="0" w:line="190" w:lineRule="exact"/>
              <w:rPr>
                <w:sz w:val="20"/>
                <w:szCs w:val="20"/>
                <w:color w:val="auto"/>
              </w:rPr>
            </w:pPr>
            <w:r>
              <w:rPr>
                <w:rFonts w:ascii="Arial" w:cs="Arial" w:eastAsia="Arial" w:hAnsi="Arial"/>
                <w:sz w:val="18"/>
                <w:szCs w:val="18"/>
                <w:color w:val="auto"/>
                <w:w w:val="91"/>
              </w:rPr>
              <w:t>8/5/22</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0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2"/>
              </w:rPr>
              <w:t>Chief Executive Officer—Certification pursuant to Rule 13a-14(a) or</w:t>
            </w:r>
          </w:p>
        </w:tc>
        <w:tc>
          <w:tcPr>
            <w:tcW w:w="12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6"/>
          </w:tcPr>
          <w:p>
            <w:pPr>
              <w:spacing w:after="0" w:line="196" w:lineRule="exact"/>
              <w:rPr>
                <w:sz w:val="20"/>
                <w:szCs w:val="20"/>
                <w:color w:val="auto"/>
              </w:rPr>
            </w:pPr>
            <w:r>
              <w:rPr>
                <w:rFonts w:ascii="Arial" w:cs="Arial" w:eastAsia="Arial" w:hAnsi="Arial"/>
                <w:sz w:val="18"/>
                <w:szCs w:val="18"/>
                <w:color w:val="0000EE"/>
                <w:w w:val="95"/>
              </w:rPr>
              <w:t>Rule 15d-14(a) of the Securities Exchange Act of 1934, as adopted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pursuant to Section 302 of the Sarbanes-Oxley Act of 2002.</w:t>
            </w:r>
          </w:p>
        </w:tc>
        <w:tc>
          <w:tcPr>
            <w:tcW w:w="500" w:type="dxa"/>
            <w:vAlign w:val="bottom"/>
            <w:tcBorders>
              <w:top w:val="single" w:sz="8" w:color="0000EE"/>
            </w:tcBorders>
            <w:gridSpan w:val="5"/>
          </w:tcPr>
          <w:p>
            <w:pPr>
              <w:spacing w:after="0"/>
              <w:rPr>
                <w:sz w:val="17"/>
                <w:szCs w:val="17"/>
                <w:color w:val="auto"/>
              </w:rPr>
            </w:pPr>
          </w:p>
        </w:tc>
        <w:tc>
          <w:tcPr>
            <w:tcW w:w="3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0000EE"/>
                <w:w w:val="96"/>
              </w:rPr>
              <w:t>Chief Financial Officer—Certification pursuant to Rule 13a-14(a) or</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2"/>
              </w:rPr>
              <w:t>Rule 15d-14(a) of the Securities Exchange Act of 1934, as adopted</w:t>
            </w:r>
          </w:p>
        </w:tc>
        <w:tc>
          <w:tcPr>
            <w:tcW w:w="1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pursuant to Section 302 of the Sarbanes-Oxley Act of 2002.</w:t>
            </w:r>
          </w:p>
        </w:tc>
        <w:tc>
          <w:tcPr>
            <w:tcW w:w="500" w:type="dxa"/>
            <w:vAlign w:val="bottom"/>
            <w:tcBorders>
              <w:top w:val="single" w:sz="8" w:color="0000EE"/>
            </w:tcBorders>
            <w:gridSpan w:val="5"/>
          </w:tcPr>
          <w:p>
            <w:pPr>
              <w:spacing w:after="0"/>
              <w:rPr>
                <w:sz w:val="17"/>
                <w:szCs w:val="17"/>
                <w:color w:val="auto"/>
              </w:rPr>
            </w:pPr>
          </w:p>
        </w:tc>
        <w:tc>
          <w:tcPr>
            <w:tcW w:w="3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9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3"/>
              </w:rPr>
              <w:t>Chief Executive Officer—Certification pursuant to Rule13a-14(b) or</w:t>
            </w:r>
          </w:p>
        </w:tc>
        <w:tc>
          <w:tcPr>
            <w:tcW w:w="1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Rule 15d-14(b) of the Securities Exchange Act of 1934 and 18</w:t>
            </w:r>
          </w:p>
        </w:tc>
        <w:tc>
          <w:tcPr>
            <w:tcW w:w="60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6"/>
          </w:tcPr>
          <w:p>
            <w:pPr>
              <w:spacing w:after="0" w:line="196" w:lineRule="exact"/>
              <w:rPr>
                <w:sz w:val="20"/>
                <w:szCs w:val="20"/>
                <w:color w:val="auto"/>
              </w:rPr>
            </w:pPr>
            <w:r>
              <w:rPr>
                <w:rFonts w:ascii="Arial" w:cs="Arial" w:eastAsia="Arial" w:hAnsi="Arial"/>
                <w:sz w:val="18"/>
                <w:szCs w:val="18"/>
                <w:color w:val="0000EE"/>
              </w:rPr>
              <w:t>U.S.C. Section 1350, as adopted pursuant to Section 906 of the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Sarbanes-Oxley Act of 2002.</w:t>
            </w:r>
          </w:p>
        </w:tc>
        <w:tc>
          <w:tcPr>
            <w:tcW w:w="58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86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9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2"/>
              </w:rPr>
              <w:t>Chief Financial Officer—Certification pursuant to Rule 13a-14(b) or</w:t>
            </w:r>
          </w:p>
        </w:tc>
        <w:tc>
          <w:tcPr>
            <w:tcW w:w="1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Rule 15d-14(b) of the Securities Exchange Act of 1934 and 18</w:t>
            </w:r>
          </w:p>
        </w:tc>
        <w:tc>
          <w:tcPr>
            <w:tcW w:w="60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6"/>
          </w:tcPr>
          <w:p>
            <w:pPr>
              <w:spacing w:after="0" w:line="196" w:lineRule="exact"/>
              <w:rPr>
                <w:sz w:val="20"/>
                <w:szCs w:val="20"/>
                <w:color w:val="auto"/>
              </w:rPr>
            </w:pPr>
            <w:r>
              <w:rPr>
                <w:rFonts w:ascii="Arial" w:cs="Arial" w:eastAsia="Arial" w:hAnsi="Arial"/>
                <w:sz w:val="18"/>
                <w:szCs w:val="18"/>
                <w:color w:val="0000EE"/>
              </w:rPr>
              <w:t>U.S.C. Section 1350, as adopted pursuant to Section 906 of the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Sarbanes-Oxley Act of 2002.</w:t>
            </w:r>
          </w:p>
        </w:tc>
        <w:tc>
          <w:tcPr>
            <w:tcW w:w="58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02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2"/>
              </w:rPr>
              <w:t>101.INS</w:t>
            </w:r>
          </w:p>
        </w:tc>
        <w:tc>
          <w:tcPr>
            <w:tcW w:w="12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w w:val="96"/>
              </w:rPr>
              <w:t>Inline XBRL Instance Document - the instance document does not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embedded within the Inline XBRL document.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12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12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Inline XBRL Taxonomy Calculation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2"/>
              </w:rPr>
              <w:t>101.DEF</w:t>
            </w:r>
          </w:p>
        </w:tc>
        <w:tc>
          <w:tcPr>
            <w:tcW w:w="12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Inline XBRL Definition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12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Inline XBRL Taxonomy Label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12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Inline XBRL Taxonomy Presentation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contained in Exhibit 101)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spacing w:after="0" w:line="21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Attached as Exhibits 101 to this report are the following formatted in inline XBRL (Extensible Business Reporting Language): (i) Condensed Consolidated Balance Sheet as of September 30, 2022 and March 31, 2022 (ii) Condensed Statements of Operations and Income for the three and six months ended September 30, 2022 and 2021, (iii) Condensed Consolidated Statements of Comprehensive (Loss) Income for the three and six months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2022 and 2021, (iv) Condensed Consolidated Statements of Cash Flows for the six months ended September 30, 2022 and 2021,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 Notes to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767"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AMERICAN SUPERCONDUCTOR CORPORATION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5740" w:type="dxa"/>
            <w:vAlign w:val="bottom"/>
          </w:tcPr>
          <w:p>
            <w:pPr>
              <w:ind w:left="5300"/>
              <w:spacing w:after="0"/>
              <w:rPr>
                <w:sz w:val="20"/>
                <w:szCs w:val="20"/>
                <w:color w:val="auto"/>
              </w:rPr>
            </w:pPr>
            <w:r>
              <w:rPr>
                <w:rFonts w:ascii="Arial" w:cs="Arial" w:eastAsia="Arial" w:hAnsi="Arial"/>
                <w:sz w:val="18"/>
                <w:szCs w:val="18"/>
                <w:b w:val="1"/>
                <w:bCs w:val="1"/>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John W. Kosiba,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rPr>
              <w:t>Date:</w:t>
            </w:r>
          </w:p>
        </w:tc>
        <w:tc>
          <w:tcPr>
            <w:tcW w:w="5740" w:type="dxa"/>
            <w:vAlign w:val="bottom"/>
          </w:tcPr>
          <w:p>
            <w:pPr>
              <w:ind w:left="140"/>
              <w:spacing w:after="0" w:line="195" w:lineRule="exact"/>
              <w:rPr>
                <w:sz w:val="20"/>
                <w:szCs w:val="20"/>
                <w:color w:val="auto"/>
              </w:rPr>
            </w:pPr>
            <w:r>
              <w:rPr>
                <w:rFonts w:ascii="Arial" w:cs="Arial" w:eastAsia="Arial" w:hAnsi="Arial"/>
                <w:sz w:val="18"/>
                <w:szCs w:val="18"/>
                <w:color w:val="auto"/>
              </w:rPr>
              <w:t>November 1, 2022</w:t>
            </w:r>
          </w:p>
        </w:tc>
        <w:tc>
          <w:tcPr>
            <w:tcW w:w="4960" w:type="dxa"/>
            <w:vAlign w:val="bottom"/>
          </w:tcPr>
          <w:p>
            <w:pPr>
              <w:jc w:val="center"/>
              <w:spacing w:after="0" w:line="195" w:lineRule="exact"/>
              <w:rPr>
                <w:sz w:val="20"/>
                <w:szCs w:val="20"/>
                <w:color w:val="auto"/>
              </w:rPr>
            </w:pPr>
            <w:r>
              <w:rPr>
                <w:rFonts w:ascii="Arial" w:cs="Arial" w:eastAsia="Arial" w:hAnsi="Arial"/>
                <w:sz w:val="18"/>
                <w:szCs w:val="18"/>
                <w:color w:val="auto"/>
                <w:w w:val="89"/>
              </w:rPr>
              <w:t>John W. Kosiba, Jr.</w:t>
            </w:r>
          </w:p>
        </w:tc>
      </w:tr>
      <w:tr>
        <w:trPr>
          <w:trHeight w:val="216"/>
        </w:trPr>
        <w:tc>
          <w:tcPr>
            <w:tcW w:w="5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Senior Vice President, Chief Financial Officer and Treasurer</w:t>
            </w:r>
          </w:p>
        </w:tc>
      </w:tr>
      <w:tr>
        <w:trPr>
          <w:trHeight w:val="230"/>
        </w:trPr>
        <w:tc>
          <w:tcPr>
            <w:tcW w:w="5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8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21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November 1, 2022</w:t>
            </w:r>
          </w:p>
        </w:tc>
        <w:tc>
          <w:tcPr>
            <w:tcW w:w="330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By:</w:t>
            </w:r>
          </w:p>
        </w:tc>
        <w:tc>
          <w:tcPr>
            <w:tcW w:w="35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1"/>
              </w:rPr>
              <w:t xml:space="preserve">/s/ </w:t>
            </w:r>
            <w:r>
              <w:rPr>
                <w:rFonts w:ascii="Arial" w:cs="Arial" w:eastAsia="Arial" w:hAnsi="Arial"/>
                <w:sz w:val="18"/>
                <w:szCs w:val="18"/>
                <w:b w:val="1"/>
                <w:bCs w:val="1"/>
                <w:color w:val="auto"/>
                <w:w w:val="91"/>
              </w:rPr>
              <w:t>Daniel P. McGahn</w:t>
            </w:r>
          </w:p>
        </w:tc>
      </w:tr>
      <w:tr>
        <w:trPr>
          <w:trHeight w:val="195"/>
        </w:trPr>
        <w:tc>
          <w:tcPr>
            <w:tcW w:w="44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540" w:type="dxa"/>
            <w:vAlign w:val="bottom"/>
          </w:tcPr>
          <w:p>
            <w:pPr>
              <w:jc w:val="center"/>
              <w:ind w:right="410"/>
              <w:spacing w:after="0" w:line="195" w:lineRule="exact"/>
              <w:rPr>
                <w:sz w:val="20"/>
                <w:szCs w:val="20"/>
                <w:color w:val="auto"/>
              </w:rPr>
            </w:pPr>
            <w:r>
              <w:rPr>
                <w:rFonts w:ascii="Arial" w:cs="Arial" w:eastAsia="Arial" w:hAnsi="Arial"/>
                <w:sz w:val="18"/>
                <w:szCs w:val="18"/>
                <w:color w:val="auto"/>
                <w:w w:val="90"/>
              </w:rPr>
              <w:t>Daniel P. McGahn</w:t>
            </w:r>
          </w:p>
        </w:tc>
      </w:tr>
      <w:tr>
        <w:trPr>
          <w:trHeight w:val="230"/>
        </w:trPr>
        <w:tc>
          <w:tcPr>
            <w:tcW w:w="4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540" w:type="dxa"/>
            <w:vAlign w:val="bottom"/>
          </w:tcPr>
          <w:p>
            <w:pPr>
              <w:jc w:val="center"/>
              <w:ind w:right="410"/>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W. Kosiba, Jr., certify that:</w:t>
      </w:r>
    </w:p>
    <w:p>
      <w:pPr>
        <w:spacing w:after="0" w:line="22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tabs>
          <w:tab w:leader="none" w:pos="700" w:val="left"/>
          <w:tab w:leader="none" w:pos="6720" w:val="left"/>
          <w:tab w:leader="none" w:pos="8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2022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September 30, 2022,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900" w:val="left"/>
          <w:tab w:leader="none" w:pos="6740" w:val="left"/>
          <w:tab w:leader="none" w:pos="8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2022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September 30, 2022,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780" w:val="left"/>
          <w:tab w:leader="none" w:pos="6740" w:val="left"/>
          <w:tab w:leader="none" w:pos="8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2022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41" Type="http://schemas.openxmlformats.org/officeDocument/2006/relationships/hyperlink" Target="http://www.sec.gov/Archives/edgar/data/880807/000119312522213651/d381722dex101.htm" TargetMode="External"/><Relationship Id="rId42" Type="http://schemas.openxmlformats.org/officeDocument/2006/relationships/hyperlink" Target="http://www.sec.gov/Archives/edgar/data/880807/000119312522213651/d381722dex102.htm" TargetMode="External"/><Relationship Id="rId43" Type="http://schemas.openxmlformats.org/officeDocument/2006/relationships/hyperlink" Target="http://www.sec.gov/Archives/edgar/data/880807/000119312522213651/d381722dex103.htm" TargetMode="External"/><Relationship Id="rId44" Type="http://schemas.openxmlformats.org/officeDocument/2006/relationships/hyperlink" Target="http://www.sec.gov/Archives/edgar/data/880807/000119312522213651/d381722dex104.htm" TargetMode="External"/><Relationship Id="rId45" Type="http://schemas.openxmlformats.org/officeDocument/2006/relationships/hyperlink" Target="http://www.sec.gov/Archives/edgar/data/880807/000119312522213651/d381722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2022-11-01T15:34:49Z</dcterms:created>
  <dcterms:modified xsi:type="dcterms:W3CDTF">2022-11-01T15:34:49Z</dcterms:modified>
</cp:coreProperties>
</file>