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189865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3660" w:right="3640" w:hanging="3652"/>
        <w:spacing w:after="0" w:line="382" w:lineRule="auto"/>
        <w:tabs>
          <w:tab w:leader="none" w:pos="66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2020</w:t>
      </w:r>
    </w:p>
    <w:p>
      <w:pPr>
        <w:spacing w:after="0" w:line="26" w:lineRule="exact"/>
        <w:rPr>
          <w:sz w:val="24"/>
          <w:szCs w:val="24"/>
          <w:color w:val="auto"/>
        </w:rPr>
      </w:pPr>
    </w:p>
    <w:p>
      <w:pPr>
        <w:jc w:val="right"/>
        <w:ind w:left="3840" w:right="3800" w:hanging="3832"/>
        <w:spacing w:after="0" w:line="397" w:lineRule="auto"/>
        <w:tabs>
          <w:tab w:leader="none" w:pos="649"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7"/>
          <w:szCs w:val="17"/>
          <w:color w:val="auto"/>
        </w:rPr>
        <w:t>_____</w:t>
      </w:r>
      <w:r>
        <w:rPr>
          <w:rFonts w:ascii="Times New Roman" w:cs="Times New Roman" w:eastAsia="Times New Roman" w:hAnsi="Times New Roman"/>
          <w:sz w:val="17"/>
          <w:szCs w:val="17"/>
          <w:b w:val="1"/>
          <w:bCs w:val="1"/>
          <w:color w:val="auto"/>
        </w:rPr>
        <w:t xml:space="preserve"> to </w:t>
      </w:r>
      <w:r>
        <w:rPr>
          <w:rFonts w:ascii="Times New Roman" w:cs="Times New Roman" w:eastAsia="Times New Roman" w:hAnsi="Times New Roman"/>
          <w:sz w:val="17"/>
          <w:szCs w:val="17"/>
          <w:color w:val="auto"/>
        </w:rPr>
        <w:t>_____</w:t>
      </w:r>
      <w:r>
        <w:rPr>
          <w:rFonts w:ascii="Times New Roman" w:cs="Times New Roman" w:eastAsia="Times New Roman" w:hAnsi="Times New Roman"/>
          <w:sz w:val="17"/>
          <w:szCs w:val="17"/>
          <w:b w:val="1"/>
          <w:bCs w:val="1"/>
          <w:color w:val="auto"/>
        </w:rPr>
        <w:t>.</w:t>
      </w:r>
    </w:p>
    <w:p>
      <w:pPr>
        <w:spacing w:after="0" w:line="1" w:lineRule="exact"/>
        <w:rPr>
          <w:rFonts w:ascii="MS PGothic" w:cs="MS PGothic" w:eastAsia="MS PGothic" w:hAnsi="MS PGothic"/>
          <w:sz w:val="17"/>
          <w:szCs w:val="17"/>
          <w:color w:val="auto"/>
        </w:rPr>
      </w:pPr>
    </w:p>
    <w:p>
      <w:pPr>
        <w:ind w:left="428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234315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American Superconductor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340" w:type="dxa"/>
        <w:tblCellMar>
          <w:top w:w="0" w:type="dxa"/>
          <w:left w:w="0" w:type="dxa"/>
          <w:bottom w:w="0" w:type="dxa"/>
          <w:right w:w="0" w:type="dxa"/>
        </w:tblCellMar>
      </w:tblPr>
      <w:tr>
        <w:trPr>
          <w:trHeight w:val="214"/>
        </w:trPr>
        <w:tc>
          <w:tcPr>
            <w:tcW w:w="6220" w:type="dxa"/>
            <w:vAlign w:val="bottom"/>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04-2959321</w:t>
            </w:r>
          </w:p>
        </w:tc>
      </w:tr>
      <w:tr>
        <w:trPr>
          <w:trHeight w:val="149"/>
        </w:trPr>
        <w:tc>
          <w:tcPr>
            <w:tcW w:w="6220" w:type="dxa"/>
            <w:vAlign w:val="bottom"/>
          </w:tcPr>
          <w:p>
            <w:pPr>
              <w:jc w:val="center"/>
              <w:ind w:right="3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220" w:type="dxa"/>
            <w:vAlign w:val="bottom"/>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114 East Main St. Ayer, Massachusetts</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01432</w:t>
            </w:r>
          </w:p>
        </w:tc>
      </w:tr>
      <w:tr>
        <w:trPr>
          <w:trHeight w:val="190"/>
        </w:trPr>
        <w:tc>
          <w:tcPr>
            <w:tcW w:w="6220" w:type="dxa"/>
            <w:vAlign w:val="bottom"/>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220" w:type="dxa"/>
            <w:vAlign w:val="bottom"/>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(978) 842-3000</w:t>
            </w:r>
          </w:p>
        </w:tc>
        <w:tc>
          <w:tcPr>
            <w:tcW w:w="1440" w:type="dxa"/>
            <w:vAlign w:val="bottom"/>
          </w:tcPr>
          <w:p>
            <w:pPr>
              <w:spacing w:after="0"/>
              <w:rPr>
                <w:sz w:val="24"/>
                <w:szCs w:val="24"/>
                <w:color w:val="auto"/>
              </w:rPr>
            </w:pPr>
          </w:p>
        </w:tc>
      </w:tr>
      <w:tr>
        <w:trPr>
          <w:trHeight w:val="190"/>
        </w:trPr>
        <w:tc>
          <w:tcPr>
            <w:tcW w:w="6220" w:type="dxa"/>
            <w:vAlign w:val="bottom"/>
          </w:tcPr>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2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320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4"/>
        </w:trPr>
        <w:tc>
          <w:tcPr>
            <w:tcW w:w="32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AMSC</w:t>
            </w:r>
          </w:p>
        </w:tc>
        <w:tc>
          <w:tcPr>
            <w:tcW w:w="35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0" w:right="339" w:bottom="150" w:gutter="0" w:footer="0" w:header="0"/>
        </w:sectPr>
      </w:pPr>
    </w:p>
    <w:p>
      <w:pPr>
        <w:spacing w:after="0" w:line="80"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5520" w:space="720"/>
            <w:col w:w="5000"/>
          </w:cols>
          <w:pgMar w:left="320" w:top="790" w:right="339" w:bottom="150"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5520" w:space="720"/>
            <w:col w:w="5000"/>
          </w:cols>
          <w:pgMar w:left="320" w:top="790" w:right="339" w:bottom="150" w:gutter="0" w:footer="0" w:header="0"/>
          <w:type w:val="continuous"/>
        </w:sectPr>
      </w:pPr>
    </w:p>
    <w:p>
      <w:pPr>
        <w:ind w:left="6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90" w:right="339" w:bottom="150" w:gutter="0" w:footer="0" w:header="0"/>
          <w:type w:val="continuous"/>
        </w:sectPr>
      </w:pPr>
    </w:p>
    <w:p>
      <w:pPr>
        <w:spacing w:after="0" w:line="198"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Shares outstanding of the Registrant’s common stock:</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84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27,603,102</w:t>
            </w:r>
          </w:p>
        </w:tc>
      </w:tr>
      <w:tr>
        <w:trPr>
          <w:trHeight w:val="27"/>
        </w:trPr>
        <w:tc>
          <w:tcPr>
            <w:tcW w:w="5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November 2, 2020</w:t>
            </w:r>
          </w:p>
        </w:tc>
      </w:tr>
      <w:tr>
        <w:trPr>
          <w:trHeight w:val="297"/>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0" w:right="339" w:bottom="15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2"/>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I—FINANCIAL INFORMATION</w:t>
              </w:r>
            </w:hyperlink>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103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PART II—OTHER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Mine Safety Disclosure</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tcPr>
          <w:p>
            <w:pPr>
              <w:ind w:left="1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Exhibits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80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Signature</w:t>
              </w:r>
            </w:hyperlink>
          </w:p>
        </w:tc>
        <w:tc>
          <w:tcPr>
            <w:tcW w:w="9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954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9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r>
      <w:tr>
        <w:trPr>
          <w:trHeight w:val="210"/>
        </w:trPr>
        <w:tc>
          <w:tcPr>
            <w:tcW w:w="798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24,699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30,149</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16,987</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18,975</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94,277</w:t>
            </w:r>
          </w:p>
        </w:tc>
      </w:t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5,046</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3,550</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5,657</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r>
      <w:tr>
        <w:trPr>
          <w:trHeight w:val="249"/>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111,227</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124,109</w:t>
            </w:r>
          </w:p>
        </w:tc>
      </w:tr>
      <w:tr>
        <w:trPr>
          <w:trHeight w:val="197"/>
        </w:trPr>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22,091</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40,960</w:t>
            </w:r>
          </w:p>
        </w:tc>
      </w:t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long term portion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7,712</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 long term portion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51,890</w:t>
            </w:r>
          </w:p>
        </w:tc>
      </w:tr>
      <w:tr>
        <w:trPr>
          <w:trHeight w:val="210"/>
        </w:trPr>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1,053,507</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(2,666)</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(978,635)</w:t>
            </w:r>
          </w:p>
        </w:tc>
      </w:tr>
      <w:tr>
        <w:trPr>
          <w:trHeight w:val="209"/>
        </w:trPr>
        <w:tc>
          <w:tcPr>
            <w:tcW w:w="7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111,227</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124,109</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27,782</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22,441</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5,341</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15,696</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(10,355)</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(4,447)</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21,860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20,723</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21,775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20,736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AMERICAN SUPERCONDUCTOR CORPORATION UNAUDITED CONSOLIDATED STATEMENTS OF STOCKHOLDERS’ EQUITY FOR THE THREE AND SIX MONTHS ENDED SEPTEMBER 30, 2020 AND 2019</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9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22,902</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$ 1,053,507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(978,635)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72,219</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$ 1,054,499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(982,052)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$ 1,055,548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(985,764)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12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9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21,652</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$ 1,044,622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(961,539)</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81,193</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 warrant</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$ 1,045,244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(965,078)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78,413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stock for 401(k) match</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$ 1,045,833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(965,903)</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76,686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09"/>
        </w:trPr>
        <w:tc>
          <w:tcPr>
            <w:tcW w:w="6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(7,129)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(4,364)</w:t>
            </w: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w:t>
            </w:r>
          </w:p>
        </w:tc>
      </w:tr>
      <w:tr>
        <w:trPr>
          <w:trHeight w:val="21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w:t>
            </w: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interest income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non-cash items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foreign exchange loss on cash and cash equivalents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 and liability accounts: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r>
      <w:tr>
        <w:trPr>
          <w:trHeight w:val="216"/>
        </w:trPr>
        <w:tc>
          <w:tcPr>
            <w:tcW w:w="6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Inventory</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(3,589)</w:t>
            </w:r>
          </w:p>
        </w:tc>
      </w:tr>
      <w:tr>
        <w:trPr>
          <w:trHeight w:val="216"/>
        </w:trPr>
        <w:tc>
          <w:tcPr>
            <w:tcW w:w="68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6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r>
      <w:tr>
        <w:trPr>
          <w:trHeight w:val="216"/>
        </w:trPr>
        <w:tc>
          <w:tcPr>
            <w:tcW w:w="68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0"/>
        </w:trPr>
        <w:tc>
          <w:tcPr>
            <w:tcW w:w="68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(10,485)</w:t>
            </w:r>
          </w:p>
        </w:tc>
      </w:tr>
      <w:tr>
        <w:trPr>
          <w:trHeight w:val="209"/>
        </w:trPr>
        <w:tc>
          <w:tcPr>
            <w:tcW w:w="6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w:t>
            </w: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other assets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8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(8,669)</w:t>
            </w:r>
          </w:p>
        </w:tc>
      </w:tr>
      <w:tr>
        <w:trPr>
          <w:trHeight w:val="209"/>
        </w:trPr>
        <w:tc>
          <w:tcPr>
            <w:tcW w:w="6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exercise of employee stock options and ESPP</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68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8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19" w:right="339" w:bottom="1440" w:gutter="0" w:footer="0" w:header="0"/>
        </w:sectPr>
      </w:pPr>
    </w:p>
    <w:p>
      <w:pPr>
        <w:ind w:right="2820"/>
        <w:spacing w:after="0" w:line="281" w:lineRule="auto"/>
        <w:rPr>
          <w:sz w:val="20"/>
          <w:szCs w:val="20"/>
          <w:color w:val="auto"/>
        </w:rPr>
      </w:pPr>
      <w:r>
        <w:rPr>
          <w:rFonts w:ascii="Times New Roman" w:cs="Times New Roman" w:eastAsia="Times New Roman" w:hAnsi="Times New Roman"/>
          <w:sz w:val="18"/>
          <w:szCs w:val="18"/>
          <w:color w:val="auto"/>
        </w:rPr>
        <w:t>Net increase/(decrease) in cash, cash equivalents and restricted cash 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(19,633)</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78,198</w:t>
            </w:r>
          </w:p>
        </w:tc>
      </w:tr>
      <w:tr>
        <w:trPr>
          <w:trHeight w:val="210"/>
        </w:trPr>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81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2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Issuance of common stock to Hercules to settle warrant liability</w:t>
            </w:r>
          </w:p>
        </w:tc>
        <w:tc>
          <w:tcPr>
            <w:tcW w:w="2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Issuance of common stock to settle liabilities</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Operations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 and Operations</w:t>
      </w:r>
    </w:p>
    <w:p>
      <w:pPr>
        <w:spacing w:after="0" w:line="22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September 30, 2020 and 2019 and the financial position at September 30, 2020;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2020, and notes thereto, included in the Company’s Annual Report on Form 10-K for the year ended March 31, 2020 filed with the SEC on June 2,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historically experienced recurring operating losses and as of September 30, 2020, the Company had an accumulated deficit of $985.8 million. In addition, the Company has historically experienced recurring negative operating cash flows. At September 30, 2020, the Company had cash, cash equivalents, and marketable securities of $51.4 million. Marketable securities include certificate of deposits with maturities between six and eleven months. Cash used in operations for the six months ended September 30, 2020 was $6.6 million.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2015, the Company entered into a set of strategic agreements valued at approximately $210.0 million with Inox Wind Ltd. (“Inox” or “Inox Wind”), which includes a multi-year supply contract pursuant to which the Company will supply electrical control systems ("ECS") to Inox and a license agreement allowing Inox to manufacture a limited number of ECS. After Inox purchases the specified number of ECS required under the terms of the supply contract, Inox agreed that the Company will continue as Inox’s preferred supplier and Inox will be required to purchase from the Company a majority of its ECS requirements for an additional three-year period. Pursuant to these strategic agreements, Inox must forecast future purchase orders of sets of ECS which become firm orders three months prior to shipment, and Inox must post letters of credit before the Company will ship such orders. Inox had been delinquent on its obligation to post letters of credit for sets of ECS that Inox forecasted to purchase under the terms of the supply contract. On May 29, 2020, the Company sent written notice to Inox notifying Inox of its default under the supply contract due to Inox’s failure to post letters of credit in the amount of €6.0 million for the payment of ECS that Inox is obligated to purchase under the terms of the supply contract. If Inox failed to post letters of credit in the amount of €6.0 million in accordance with the terms of the supply contract within the ninety day cure period after receipt of the default notice, then the Company could have terminated the supply contract by providing written notice of such termination to Inox. On September 2, 2020, Inox delivered approved letters of credit in the amount of €1.3 million for the payment of a portion of the ECS that Inox was obligated to purchase under the terms of the supply contract. On September 11, 2020, the Company notified Inox that due to (i) the Company’s business relationship with Inox, and (ii) Inox’s delivery of approved letters of credit in the amount of €1.3 million as described above, the Company gave Inox until October 5, 2020 to regain compliance with the terms of the supply contract by providing approved letters of credit in the amount of €4.7 million for payment of the remaining ECS that Inox currently was obligated to purchase under the terms of the supply contract. On October 1, 2020, Inox delivered approved letters of credit for payment of the remaining ECS that Inox was obligated to purchase under the terms of the supply contract and cured the default set forth in the May 29, 2020 default notice.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2020,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NEPSI is a U.S.-based global provider of medium-voltage metal-enclosed power capacitor banks and harmonic filter banks for use on electric power systems. NEPSI is now a wholly-owned subsidiary of the Company and will be operated by its Grid business unit. The purchase price was $26.0 million in cash and 873,657 restricted shares of common stock of the Company. As part of the transaction, the selling stockholders may receive up to an additional 1,000,000 shares of common stock of the Company upon the achievement of certain specified revenue objectives in the future.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22, 2020, the Company entered into an underwriting agreement with Oppenheimer &amp; Co. Inc., as representative of the several underwriters named therein, relating to the issuance and sale (the “Offering”) of 3,670,000 shares of the Company’s common stock at a public offering price of $15.00 per share. The net proceeds to the Company from the Offering were approximately $51.4 million, after deducting underwriting discounts and commissions and estimated offering expenses payable by the Company. The Offering closed on October 26, 2020. In addition, the Company has granted the underwriters a 30-day option to purchase up to an additional 550,500 shares of common stock at the public offering price.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ectPr>
          <w:pgSz w:w="11900" w:h="16838" w:orient="portrait"/>
          <w:cols w:equalWidth="0" w:num="1">
            <w:col w:w="11240"/>
          </w:cols>
          <w:pgMar w:left="320" w:top="576" w:right="339" w:bottom="86"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COVID-19 pandemic continues to rapidly evolve, the Company continues to assess the impact of the COVID-19 pandemic to best mitigate risk and continue the operations of the Company’s business. The extent to which the outbreak impacts the Company’s business, liquidity, results of operations and financial condition will depend on future developments, which are highly uncertain and cannot be predicted with confidence, including new information that may emerge concerning the severity of the COVID-19 pandemic and the actions to contain it or treat its impact, among others. If the Company, its customers or suppliers experience prolonged shutdowns or other business disruptions, the Company’s business, liquidity, results of operations and financial condition are likely to be materially adversely affected, and the Company’s ability to access the capital markets may be limited.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six months ended September 30, 2020. The Company’s liquidity is highly dependent on its ability to increase revenues, including its ability to collect revenues under its agreements with Inox, its ability to control its operating costs, and its ability to raise additional capital, if necessary. The impact of the COVID-19 pandemic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six months ended September 30, 2020, 78% and 79% of revenue, respectively, was recognized at the point in time when control transferred to the customer, with the remainder being recognized over time. In both the three and six months ended September 30, 2019, 77% of revenue was recognized at the point in time when control transferred to the customer, with the remainder being recognized over time.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as the Company has determined that this is the point in time that control transfers to the customer.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three and six months ended September 30, 2020 the Company recorded $0.4 million and $0.8 million in grant revenue, respectively, which is included in the Company’s Grid segment revenue. In the three and six months ended September 30, 2019, the Company recorded $0.7 million and $1.1 million in grant revenue, respectively, which is included in the Company’s Grid revenue.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 w:name="page11"/>
    <w:bookmarkEnd w:id="10"/>
    <w:p>
      <w:pPr>
        <w:spacing w:after="0" w:line="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product line and by shipment destination: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30, 2020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30, 2020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Wind</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systems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15,261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and technology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16,347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15,677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16,347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8,267</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598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Wind</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systems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10,044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and technology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10,698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18,499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2020, and 2019,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“Accounts receivable (unbilled)” and “Deferred program costs” (see Note 7, “Accounts Receivable” and Note 8, “Inventory” for a reconciliation to the condensed consolidated balance sheets) and contract liabilities, which are included in the current portion and long term portion of "Deferred revenue" in the Company’s condensed consolidated balance sheets,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5,711</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26,142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23,931</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 performance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6,186</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 and FX impact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September 30, 2020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5,968</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21,956</w:t>
            </w:r>
          </w:p>
        </w:tc>
      </w:tr>
      <w:tr>
        <w:trPr>
          <w:trHeight w:val="412"/>
        </w:trPr>
        <w:tc>
          <w:tcPr>
            <w:tcW w:w="68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Unbilled</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00" w:type="dxa"/>
            <w:vAlign w:val="bottom"/>
            <w:tcBorders>
              <w:top w:val="single" w:sz="8" w:color="CCEEFF"/>
            </w:tcBorders>
          </w:tcPr>
          <w:p>
            <w:pPr>
              <w:spacing w:after="0"/>
              <w:rPr>
                <w:sz w:val="24"/>
                <w:szCs w:val="24"/>
                <w:color w:val="auto"/>
              </w:rPr>
            </w:pPr>
          </w:p>
        </w:tc>
      </w:tr>
    </w:tbl>
    <w:p>
      <w:pPr>
        <w:sectPr>
          <w:pgSz w:w="11900" w:h="16905" w:orient="portrait"/>
          <w:cols w:equalWidth="0" w:num="1">
            <w:col w:w="11240"/>
          </w:cols>
          <w:pgMar w:left="320" w:top="580"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Program Costs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4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15,519</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 performance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(18,534)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 and FX impact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September 30, 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3,994</w:t>
            </w:r>
          </w:p>
        </w:tc>
        <w:tc>
          <w:tcPr>
            <w:tcW w:w="4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16,012</w:t>
            </w:r>
          </w:p>
        </w:tc>
      </w:tr>
      <w:tr>
        <w:trPr>
          <w:trHeight w:val="413"/>
        </w:trPr>
        <w:tc>
          <w:tcPr>
            <w:tcW w:w="686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September 30, 2020, the Company had outstanding performance obligations on existing contracts under ASC 606 to be recognized in the next twelve months of approximately $48.5 million. There are also approximately $10.7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customers who represented 10% or more of the Company’s total revenues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740" w:type="dxa"/>
            <w:vAlign w:val="bottom"/>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27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4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374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EPC Services</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Hoffman Construction</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&lt;10%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Inox Wind Limited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Wind</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M.J. Electric, LLC</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&lt;10%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Micron Technology</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Reed &amp; Reed Inc.</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Siemens Gamesa Renewable Energy Pty. Ltd.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its stock-based compensation at fair value. The following table summarizes stock-based compensation expense by financial statement line item for the three and six months ended September 30, 2020 and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5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27,341 shares of immediately vested common stock and 688,167 shares of restricted stock awards during the six months ended September 30, 2020 and issued 13,174 shares of immediately vested common stock and 170,500 shares of restricted stock awards during the six months ended September 30, 2019.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Company’s stock-based awards, less expected annual forfeitures, is amortized over the awards’ service period. The total unrecognized compensation cost for unvested outstanding stock options was less than $0.1 million at September 30, 2020. This expense will be recognized over a weighted average expense period of approximately 0.6 years. The total unrecognized compensation cost for unvested outstanding restricted stock was $5.9 million at September 30, 2020. This expense will be recognized over a weighted-average expense period of approximately 2.2 years.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grant any stock options during the three or six months ended September 30, 2020. The Company granted 5,939 stock options during the six months ended September 30, 2019. The stock options granted during the six months ended September 30, 2019 will vest over 2 years. The weighted average assumptions used in the Black Scholes valuation model for stock options granted during the six months ended September 30, 2019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12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None</w:t>
            </w:r>
          </w:p>
        </w:tc>
      </w:tr>
      <w:tr>
        <w:trPr>
          <w:trHeight w:val="414"/>
        </w:trPr>
        <w:tc>
          <w:tcPr>
            <w:tcW w:w="59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Computation of Net Loss per Common Share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 based restricted stock where the contingency was not met are excluded from the computation of diluted EPS as the effect of their inclusion would be anti-dilutive. For the three and six months ended September 30, 2020, 0.1 million shares related to outstanding stock options were not included in the calculation of diluted EPS as they were considered anti-dilutive. For the three and six months ended September 30, 2019, 0.2 million shares were not included in the calculation of diluted EPS as they were considered anti-dilutive.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of the earnings per share calculation for the three and six months ended September 30, 2020 and 2019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decrease in fair value of warrants, net of income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Plus: change in fair value due to exercise of warrants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diluted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21,538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Shares used in per-share calculation ― 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Shares used in per-share calculation ― diluted</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21,860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diluted</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September 30, 2019, the diluted net loss per common share amounts under the treasury stock method were calculated based on the dilutive effect of the total number of shares of common stock related to the warrants issued to Hudson Bay Capital (the “Hudson Warrants”) for 818,181 shares with an exercise price of $7.81. For the three and six month periods ended September 30, 2019, the average stock price was $8.50 and $9.56 respectively, providing 66,638 and 150,025 dilutive shares respectively, for the Hudson Warrants. The decrease in the fair value of the warrant liability of $1.1 million and $4.1 million, respectively, is included in the net loss available to common shareholders for the diluted net loss per common share amount when the impact is 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triggering events in the three and six months ended September 30, 2020, that would require interim impairment testing of goodwill.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 valuation hierarchy for disclosure of the inputs to valuation used to measure fair value has been established. This hierarchy prioritizes the inputs into three broad levels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measurement date.</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in markets that are not active, inputs other than quoted prices that are observable for the asset or liability, and inputs that</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 derived principally from or corroborated by observable market data by correlation or other means (market corroborated inputs).</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Unobservable inputs that reflect the Company’s assumptions that market participants would use in pricing the asset or liability. The</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develops these inputs based on the best information available, including its own data.</w:t>
            </w:r>
          </w:p>
        </w:tc>
      </w:tr>
    </w:tbl>
    <w:p>
      <w:pPr>
        <w:spacing w:after="0" w:line="19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six months ended September 30, 2020.</w:t>
      </w:r>
    </w:p>
    <w:p>
      <w:pPr>
        <w:spacing w:after="0" w:line="183"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18"/>
          <w:szCs w:val="18"/>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recognized $0.2 million and $0.1 million in unrealized losses on marketable securities, which is recorded in other income (expense), net, for the three and six months ended September 30, 2020 and less than a $0.1 million gain which was recognized during the three and six months ended September 30, 2020 upon the sale of one of the certificates of deposit. The Company did not recognize any gains or losses on marketable securities in the three and six months ended September 30, 2019.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the Hudson Warrants in conjunction with an equity offering to Hudson Bay Capital in November 2014 and issued warrants to purchase 58,823 shares of the Company's common stock in conjunction a Loan and Security Agreement with Hercules Technology Growth Capital, Inc. (“Hercules Warrants”). The Hercules Warrants were exercised on April 8, 2019. The Hudson Warrants were partially exercised on November 13, 2019 and the remaining unexercised warrants expired on November 13, 2019. As of September 30, 2020 the Company has no remaining outstanding warrants.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historically relied on various assumptions in a lattice model to determine the fair value of warrants. The Company had valued the warrants within Level 3 of the valuation hierarchy. See Note 12, “Warrants and Derivative Liabilities,” for a discussion of the warrants and the valuation assumptions used.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assets and liabilities carried at fair value on a recurring basis, measured as of September 30, 2020 and March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3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3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0</wp:posOffset>
            </wp:positionV>
            <wp:extent cx="1722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005"/>
                    </a:xfrm>
                    <a:prstGeom prst="rect">
                      <a:avLst/>
                    </a:prstGeom>
                    <a:noFill/>
                  </pic:spPr>
                </pic:pic>
              </a:graphicData>
            </a:graphic>
          </wp:anchor>
        </w:drawing>
      </w:r>
    </w:p>
    <w:p>
      <w:pPr>
        <w:sectPr>
          <w:pgSz w:w="11900" w:h="16838" w:orient="portrait"/>
          <w:cols w:equalWidth="0" w:num="1">
            <w:col w:w="11320"/>
          </w:cols>
          <w:pgMar w:left="320" w:top="819" w:right="25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30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19,394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19,394</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35,195</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35,195</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700" w:type="dxa"/>
            <w:vAlign w:val="bottom"/>
          </w:tcPr>
          <w:p>
            <w:pPr>
              <w:spacing w:after="0"/>
              <w:rPr>
                <w:sz w:val="24"/>
                <w:szCs w:val="24"/>
                <w:color w:val="auto"/>
              </w:rPr>
            </w:pPr>
          </w:p>
        </w:tc>
        <w:tc>
          <w:tcPr>
            <w:tcW w:w="23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Accounts receivable at September 30, 2020 and March 31, 2020 consisted of the following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(billed)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(unbilled)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allowance for doubtful accounts of less than $0.1 million for the three months and six months ended September 30, 2020 and no allowance for the three or six months ended September 30, 2019. The allowances are based on evaluation of customer accounts that are past due.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Inventory, net of reserves, at September 30, 2020 and March 31, 2020 consisted of the following (in thousands):</w:t>
      </w:r>
    </w:p>
    <w:p>
      <w:pPr>
        <w:sectPr>
          <w:pgSz w:w="11900" w:h="16838" w:orient="portrait"/>
          <w:cols w:equalWidth="0" w:num="1">
            <w:col w:w="11240"/>
          </w:cols>
          <w:pgMar w:left="320" w:top="81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program costs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inventory</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2020</w:t>
            </w:r>
          </w:p>
        </w:tc>
      </w:tr>
      <w:tr>
        <w:trPr>
          <w:trHeight w:val="191"/>
        </w:trPr>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10,739</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5,260</w:t>
            </w:r>
          </w:p>
        </w:tc>
      </w:tr>
      <w:tr>
        <w:trPr>
          <w:trHeight w:val="234"/>
        </w:trPr>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1,631</w:t>
            </w: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00" w:space="720"/>
            <w:col w:w="3220"/>
          </w:cols>
          <w:pgMar w:left="320" w:top="819" w:right="339" w:bottom="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inventory write-downs of $0.5 million and $0.1 million for the three months ended September 30, 2020 and 2019, respectively. The Company recorded inventory write-downs of $1.3 million and $0.2 million for the six months ended September 30, 2020 and 2019, respectively. These write-downs were based on the Company's evaluation of its inventory on hand for excess quantities and obsolescence.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program costs as of September 30, 2020 and March 31, 2020 primarily represent costs incurred on programs where the Company needs to complete performance obligations before the related revenue and costs will be recognized.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 and accumulated depreciation of property, plant and equipment at September 30, 2020 and March 31, 2020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 -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41,737</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48,646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(40,081)</w:t>
            </w: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was $0.9 million and $1.0 million for the three months ended September 30, 2020 and 2019, respectively. Depreciation expense was $1.8 million and $2.1 million for the six months ended September 30, 2020 and 2019, respectively. The decrease in construction in progress primarily relates to the completion of capital investments in the Company's HTS equipment and leasehold improvements in the Company's leased facilities in Westminster and Ayer, Massachusetts.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at September 30, 2020 and March 31, 2020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10,045</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inventories in-transit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miscellaneous expenses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22,091</w:t>
            </w:r>
          </w:p>
        </w:tc>
      </w:tr>
      <w:tr>
        <w:trPr>
          <w:trHeight w:val="20"/>
        </w:trPr>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Product warranty activity was as follows (in thousands):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accruals for warranties during the period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$0.2 million and $0.4 million in the three and six month periods ended September 30, 2020. The Company recorded income tax benefits of $0.3 million and $0.1 million in the three and six months ended September 30, 2019</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six months ended September 30, 2020 and did not have any gross unrecognized tax benefits as of March 31,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 and Derivative Liabilities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accounted for its warrants as liabilities due to certain adjustment provisions within the instruments, which required that they be recorded at fair value. The warrants were subject to revaluation at each balance sheet date and any change in fair value was recorded as a change in fair value of warrants until the earlier of its expiration or its exercise at which time the warrant liability was reclassified to equity. The Company calculated the fair value of the warrants utilizing an integrated lattice model. See Note 6, "Fair Value Measurements", for further discussion. As of September 30, 2020, the Company had no remaining outstanding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Warrants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19, 2014, the Company entered into a second amendment to the Loan and Security Agreement with Hercules (the "Hercules Second Amendment"). In conjunction with the Hercules Second Amendment, the Company issued the Hercules Warrant which replaced the First Warrant and the Second Warrant. The Hercules Warrant was exercisable at any time after its issuance at an exercise price of $7.85 per share, subject to certain price-based and other anti-dilution adjustments, including the equity offering in May 2017, the acquisition of Infinia Technology Corporation ("ITC") with common stock in September 2017 and sales of common stock under the ATM entered into in January 2017. This warrant had a fair value of $0.4 million as of March 31, 2019. On April 8, 2019, Hercules notified the Company of its intent to exercise this warrant on a cashless basis. Hercules received 22,821 shares of the Company's common stock on April 17, 2019. As a result of this exercise the Company recorded a net gain of $0.1 million to change in fair value of warrants, resulting from the decrease in the fair value of the Hercules Warrant during the six months ended September 30, 2019.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2014 Warrant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13, 2014, the Company completed an offering of 909,090 units of the Company’s common stock with Hudson Bay Capital. Each unit consisted of one share of the Company’s common stock and 0.9 of a warrant to purchase one share of common stock, or a warrant to purchase in the aggregate 818,181 shares. The Hudson Warrants were exercisable at any time, at an exercise price equal to $7.81 per share, subject to certain price-based and other anti-dilution adjustments including those noted above. On November 13, 2019, Hudson partially exercised the Hudson Warrants for 786,000 restricted shares of Company common stock at $7.81 per share. The remaining 32,181 warrants expired on November 13, 2019. The Company recorded net gains of $1.1 million and $4.1 million to change in fair value of warrants, resulting from the decrease in the fair value of the Hudson Warrants during the three and six months ended September 30, 2019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April 1, 2019, 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using the modified retrospective approach. The Company elected the package of practical expedients available in the standard and as a result, did not reassess the lease classification of existing contracts or leases or the initial direct costs associated with existing leases. The Company did not elect the hindsight practical expedient and evaluated lease terms for existing leases. The Company has also elected the practical expedient to not separate lease components and non-lease components and will account for the leases as a single lease component for all classes of leases.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identify any leases that are classified as financing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at September 30, 2020 and March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2020</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3,359</w:t>
            </w: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LT</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3,439</w:t>
            </w: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costs related to the Company's leases for the three and six months ended September 30, 2020 and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 - fixed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 - variable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607"/>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 - fixed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 - variable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414"/>
        </w:trPr>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The Company’s estimated minimum future lease obligations under the Company's leases are as follows: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ended March 31,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bl>
    <w:p>
      <w:pPr>
        <w:sectPr>
          <w:pgSz w:w="11900" w:h="16900" w:orient="portrait"/>
          <w:cols w:equalWidth="0" w:num="1">
            <w:col w:w="11240"/>
          </w:cols>
          <w:pgMar w:left="320" w:top="819"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top w:val="single" w:sz="8" w:color="CCEEFF"/>
            </w:tcBorders>
          </w:tcPr>
          <w:p>
            <w:pPr>
              <w:spacing w:after="0"/>
              <w:rPr>
                <w:sz w:val="18"/>
                <w:szCs w:val="18"/>
                <w:color w:val="auto"/>
              </w:rPr>
            </w:pP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8"/>
                <w:szCs w:val="18"/>
                <w:color w:val="auto"/>
              </w:rPr>
            </w:pPr>
          </w:p>
        </w:tc>
      </w:tr>
      <w:tr>
        <w:trPr>
          <w:trHeight w:val="25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and March 31, 2020, the Company had $5.8 million of restricted cash included in long-term assets and $0.5 million of restricted cash included in current assets, respectively. These amounts included in restricted cash primarily represent deposits to secure letters of credit for various supply contracts and long-term projects, including the irrevocable letter of credit in the amount of $5.0 million to secure certain of the Company's obligations under the Subcontract Agreement with ComEd. These deposits are held in interest bearing accounts.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15. Business Segments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27,782</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Unallocated corporate expenses primarily consist of stock-based compensation expense of $0.8 million and $0.4 million in the three months ended September 30, 2020 and 2019, respectively. Unallocated corporate expenses primarily consist of stock-based compensation expense of $1.8 million and $0.6 million in the six months ended September 30, 2020 and 2019,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 for the two business segments as of September 30, 2020 and March 31, 2020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4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44,044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w:t>
            </w:r>
          </w:p>
        </w:tc>
        <w:tc>
          <w:tcPr>
            <w:tcW w:w="4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111,227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124,109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16. 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amendments in ASU 2016-13 will provide more decision-useful information about the expected credit losses on financial instruments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The Company is currently evaluating the impact, if any, that the adoption of ASU 2016-13 may have on its consolidated financial statements.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amendments in ASU 2018-13 provide for increased effectiveness of the disclosures made around fair value measurements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consideration for costs and benefits. The ASU is effective for annual reporting periods beginning after December 15, 2019, including interim periods within those periods. As of April 1, 2020, the Company has adopted ASU 2018-13 and noted no material impact on its consolidated financial statements, primarily due to the fact that the Company does not currently report any Level 3 fair value measurements.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amendments in ASU 2019-12 provide for simplified accounting to several income tax situations and removal of certain accounting exceptions. The ASU is effective for annual reporting periods beginning after December 15, 2020, including interim periods within those periods. The Company does not expect the impact of the adoption of ASU 2019-12 to be material to its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time of filing this Quarterly Report on Form 10-Q with the SEC and has determined that other than the following information, there are no such events to report.</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On October 1, 2020, the Company entered into the Stock Purchase Agreement with the selling stockholders named therein. Pursuant to the terms of the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NEPSI is a U.S.-based global provider of medium-voltage metal-enclosed power capacitor banks and harmonic filter banks for use on electric power systems. NEPSI is now a wholly-owned subsidiary of the Company and will be operated by the Grid business unit. The NEPSI purchase price was $26.0 million in cash on hand, including cash from the settlement of the Company's $25 million certificate of deposit during the three months ended September 30, 2020, and 873,657 restricted shares of common stock of the Company. The transaction also includes an earn-out opportunity with the potential for the issuance of up to an additional 1.0 million shares of common stock of the Company to the selling stockholders based on the achievement by NEPSI of certain revenue targets for the fiscal years ending March 31, 2021 through March 31, 2024. The Company assumed no debt in this transaction. NEPSI's results of operations will be included in the Company’s consolidated financial statements beginning on October 1, 2020.</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26, 2020, the Company completed the Offering of 3,670,000 shares of common stock of the Company at a public offering price of $15.00 per share. The net proceeds to the Company from the Offering were approximately $51.4 million, after deducting underwriting discounts and commissions and estimated offering expenses payable by the Company. In addition, the Company has granted the underwriters a 30-day option to purchase up to an additional 550,500 shares of common stock at the public offering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the timing of our resilient electric grid ("REG") system project with Commonwealth Edison Company, our prospective results of operations or financial position, the potential exercise of the option to purchase additional shares of our common stock by the underwriters to our October 26, 2020 offering of common stock (the “Offering”),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novel coronavirus (“COVID-19”) pandemic could adversely impact our business, financial condition and results of operations; Our financial condition may have an adverse effect on our customer and supplier relationships; We may experience difficulties re-establishing our HTS wire production capability in our Ayer, Massachusetts facility; Our success is dependent upon attracting and retaining qualified personnel and our inability to do so could significantly damage our business and prospects; Historically, a significant portion of our revenues have been derived from a single customer and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information technology infrastructure; Failure to comply with evolving data privacy and data protection laws and regulations or to otherwise protect personal data, may adversely impact our business and financial results; We rely upon third-party suppliers for the components and subassemblies of many of our Grid and Wind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such as in connection with our acquisition of Northeast Power Systems, Inc.;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Unfavorable results of legal proceedings could have a material adverse effect on our business, operating results and financial condition; We may be unable to adequately prevent disclosure of trade secrets and other proprietary information; Our patents may not provide meaningful protection for our technology, which could result in us losing some or all of our market position; We face risks related to our technologies; We face risks related to our legal proceedings; We face risks related to our common stock; and the important factors discussed under the caption "Risk Factors" in Part 1. Item 1A of our Form 10-K for the fiscal year ended March 31, 2020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American Superconductor®, Amperium®, AMSC®, D-VAR®, PowerModule™, </w:t>
      </w:r>
      <w:r>
        <w:rPr>
          <w:rFonts w:ascii="Times New Roman" w:cs="Times New Roman" w:eastAsia="Times New Roman" w:hAnsi="Times New Roman"/>
          <w:sz w:val="18"/>
          <w:szCs w:val="18"/>
          <w:i w:val="1"/>
          <w:iCs w:val="1"/>
          <w:color w:val="auto"/>
        </w:rPr>
        <w:t>D-VAR VVO®,</w:t>
      </w:r>
      <w:r>
        <w:rPr>
          <w:rFonts w:ascii="Times New Roman" w:cs="Times New Roman" w:eastAsia="Times New Roman" w:hAnsi="Times New Roman"/>
          <w:sz w:val="18"/>
          <w:szCs w:val="18"/>
          <w:color w:val="auto"/>
        </w:rPr>
        <w:t xml:space="preserve"> PQ-IVR®, SeaTitan®, Gridtec Solutions™, Windtec Solutions™, Smarter, Cleaner...Better Energy™ and Orchestrate the Rhythm and Harmony of Power on the Grid™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2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74" w:lineRule="exact"/>
        <w:rPr>
          <w:sz w:val="20"/>
          <w:szCs w:val="20"/>
          <w:color w:val="auto"/>
        </w:rPr>
      </w:pPr>
    </w:p>
    <w:p>
      <w:pPr>
        <w:jc w:val="both"/>
        <w:ind w:left="800" w:hanging="239"/>
        <w:spacing w:after="0" w:line="257" w:lineRule="auto"/>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Through our Gridtec Solutions™, our Grid business segment enables electric utilities, industrial facilities and renewable energy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49" w:lineRule="exact"/>
        <w:rPr>
          <w:rFonts w:ascii="Times New Roman" w:cs="Times New Roman" w:eastAsia="Times New Roman" w:hAnsi="Times New Roman"/>
          <w:sz w:val="18"/>
          <w:szCs w:val="18"/>
          <w:color w:val="auto"/>
        </w:rPr>
      </w:pPr>
    </w:p>
    <w:p>
      <w:pPr>
        <w:jc w:val="both"/>
        <w:ind w:left="800" w:hanging="252"/>
        <w:spacing w:after="0" w:line="258"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Through our Windtec Solutions™, our Wind business segment enables manufacturers to field wind turbines with exceptional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beginning on April 1 of that same year. For example, fiscal 2020 refers to the fiscal year beginning on April 1, 2020. Other fiscal years follow similarly.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31, 2018, we entered into a Subcontract Agreement with Commonwealth Edison Company (“ComEd”) (the “Subcontract Agreement”) for the manufacture and installation of the Company’s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have agreed, among other things, to provide the REG system and to supervise ComEd’s installation of the REG system in Chicago. As part of our separate cost sharing arrangement with DHS under the Prime Contract, we expect funding provided by DHS in connection with the Subcontract Agreement to be between $9.0 to $11.0 million, which represents the total amount of revenue we are expected to recognize over the term of the Subcontract Agreement and includes up to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installation,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are on schedule to deliver the REG project hardware in late 2020. The REG system is expected to be operational in 2021.</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 2020,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53"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capital stock of Northeast Power Systems, Inc., a New York corporation (“NEPSI”), and (ii) membership interests of Northeast Power Realty, LLC, a New York limited liability company, which holds the real property that serves as NEPSI’s headquarters. NEPSI is a U.S.-based global provider of medium-voltage metal-enclosed power capacitor banks and harmonic filter banks for use on electric power systems. As a result of this transaction, NEPSI became a wholly-owned subsidiary and will be operated by our Grid business unit.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NEPSI purchase price was $26.0 million in cash on hand, including cash from the settlement of our $25 million certificate of deposit during the three months ended September 30, 2020, and 873,657 restricted shares of our common stock. As part of the transaction, in the future the selling stockholders may receive up to an additional 1,000,000 million restricted shares of our common stock upon the achievement of certain specified revenue objectives.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26, 2020, we completed the Offering of 3,670,000 shares of our common stock at a public offering price of $15.00 per share. We received net proceeds of approximately $51.4 million after deducting underwriting discounts and commissions and estimated offering expenses. See Note 1, “Nature of the Business and Operations and Liquidity,” for further information about this offering.</w:t>
      </w:r>
    </w:p>
    <w:p>
      <w:pPr>
        <w:sectPr>
          <w:pgSz w:w="11900" w:h="16838" w:orient="portrait"/>
          <w:cols w:equalWidth="0" w:num="1">
            <w:col w:w="11240"/>
          </w:cols>
          <w:pgMar w:left="320" w:top="576" w:right="339" w:bottom="34"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disease caused by the novel coronavirus, COVID-19 to be a pandemic. COVID-19, has spread throughout the globe, including in the Commonwealth of Massachusetts where our headquarters are located, and in other areas where we have business operations. In response to the outbreak, we have followed the guidelines of the U.S. Centers for Disease Control and Prevention and applicable state government authorities to protect the health and safety of our employees, their families, our suppliers, our customers and our communities. While these existing measures and, COVID-19 generally, have not materially disrupted our business to date, any future actions necessitated by the COVID-19 pandemic may result in disruption to our business.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COVID-19 pandemic continues to rapidly evolve. The extent to which the outbreak impacts our business, liquidity, results of operations and financial condition will depend on future developments, which are highly uncertain and cannot be predicted with confidence, including new information that may emerge concerning the severity of the COVID-19 pandemic and the actions to contain it or treat its impact, among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Form 10-K for the fiscal year ended March 31,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September 30, 2020 compared to the three and six months ended September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increased 51% and 52% to $21.1 million and $42.3 million for the three and six months ended September 30, 2020, respectively, compared to $14.0 million and $27.8 million for the three and six months ended September 30, 2019, respectively. Our revenues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Grid business unit accounted for 77% and 80% of total revenues for the three and six months ended September 30, 2020, respectively, compared to 82% and 77% for the three and six months ended September 30, 2019, respectively. Our Grid business unit revenues increased 42% and 60% to $16.3 million and $34.1 million in the three and six months ended September 30, 2020, respectively, from $11.5 million and $21.3 million in the three and six months ended September 30, 2019, respectively. Grid business unit revenue in the three and six months ended September 30, 2020 was driven by stronger D-VAR, VVO and ship protection systems revenue.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Wind business unit accounted for 23% and 20% of total revenues for the three and six months ended September 30, 2020, respectively, compared to 18% and 23% for the three and six months ended September 30, 2019, respectively. Revenues in the Wind business unit increased 89% and 28% to $4.8 million and $8.3 million in the three and six months ended September 30, 2020, from $2.5 million and $6.4 million in the three and six months ended September 30, 2019. The increase over the prior year period was driven by increased shipments of electrical control systems ("ECS") to Doosan and an increase in spares revenue. As further described in Note 1 “Nature of the Business and Operations and Liquidity,” Inox was delinquent on its obligations to post letters of credit for sets of ECS that Inox has agreed to purchase under the terms of the supply contract, and on May 29, 2020, we sent written notice to Inox notifying Inox of its default under the supply contract due to Inox’s failure to post letters of credit in the amount of €6.0 million for the payment of ECS that Inox is obligated to purchase under the terms of the supply contract. On October 1, 2020, Inox delivered approved letters of credit for payment of the remaining ECS that Inox had been obligated to purchase under the terms of the Supply Contract and has cured the default set forth in the May 29, 2020 default notice. Despite curing the default, Inox’s ability to perform under the supply contract has been and may continue in the future to be hampered by the prolonged impacts of the COVID-19 pandemic. Inox has been active in the new central and state government auction regime in India and has a cumulative order book of over 1.4 GW. However,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revenues increased by 52% and 42% to $15.6 million and $31.8 million for the three and six months ended September 30, 2020, compared to $10.2 million and $22.4 million for the three and six months ended September 30, 2019. Gross margin was 26% and 25% for the three and six months ended September 30, 2020, compared to 27% and 19% for the three and six months ended September 30, 2019. The three month period remained relatively flat and there was an increase in gross margin in the six months ended September 30, 2020 which was due to higher revenue and a more favorable product mix.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increased 13% in the three months ended September 30, 2020 to $2.7 million from $2.4 million in the three months ended September 30, 2019. The increase in R&amp;D expense was due to a higher overall compensation expense in the three months ended September 30, 2020 compared to the three months ended September 30, 2019. Research and development expenses increased 7% in the six months ended September 30, 2020 to $5.2 million from $4.9 million in the six months ended September 30, 2019. The increase in R&amp;D expense in the six month period was due to higher overall compensation expense than in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9% in the three months ended September 30, 2020 to $5.9 million from $5.4 million in the three months ended September 30, 2019. The increase in SG&amp;A expense in the three months ended September 30, 2020 was due to higher overall compensation expense than in the prior year period. Selling, general and administrative expenses increased 8% to $11.5 in the six months ended September 30, 2020 compared to $10.7 million in the six months ended September 30, 2019. The increase in SG&amp;A expense in the six months ended September 30, 2020 was due to higher overall compensation expense than in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acquisition related intangibles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amortization expense related to our core technology and know-how, trade names and trademark, and intangible assets of $0.1 million in each of the three month periods ended September 30, 2020 and 2019, respectively, and $0.2 million in each of the six month periods ended September 30, 2020 and 2019 respectively.</w:t>
      </w:r>
    </w:p>
    <w:p>
      <w:pPr>
        <w:sectPr>
          <w:pgSz w:w="11900" w:h="16838" w:orient="portrait"/>
          <w:cols w:equalWidth="0" w:num="1">
            <w:col w:w="11240"/>
          </w:cols>
          <w:pgMar w:left="320" w:top="576"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Grid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Unallocated corporate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18"/>
                <w:szCs w:val="18"/>
                <w:color w:val="auto"/>
              </w:rPr>
            </w:pPr>
          </w:p>
        </w:tc>
      </w:tr>
      <w:tr>
        <w:trPr>
          <w:trHeight w:val="4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(2,398)</w:t>
            </w:r>
          </w:p>
        </w:tc>
        <w:tc>
          <w:tcPr>
            <w:tcW w:w="2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(2,103)</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3"/>
              </w:rPr>
              <w:t>(6,423)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576"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Grid segment generated operating losses of $1.4 million and $2.6 million in the three and six months ended September 30, 2020, compared to $1.3 million and $6.0 million in the three and six months ended September 30, 2019. The increase in the Grid business unit operating loss in the three months ended September 30, 2020 was due to higher revenues and a more favorable product mix offset by increased overall compensation expense. The decrease in the Grid business unit operating loss in the six months ended September 30, 2020 was due to higher revenues and a more favorable product mix.</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Wind segment generated operating losses of $1.0 million and $2.1 million in the three and six months ended September 30, 2020, compared to $2.4 million and $3.7 million in the three and six months ended September 30, 2019. The decrease in the Wind business unit operating loss in both periods was due to higher revenues and a more favorable product mix.</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Unallocated corporate expenses primarily consisted of stock-based compensation expense of $0.8 million and $0.4 million in the three months ended September 30, 2020 and 2019 respectively. Unallocated corporate expenses primarily consisted of stock-based compensation expense of $1.8 million and $0.6 million in the six months ended September 30, 2020 and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warrants outstanding in the three and six months ended September 30, 2020. The change in fair value of warrants resulted in gains of $1.1 million and $4.1 million in the three and six months ended September 30, 2019. The change in the fair value was primarily driven by changes in stock price, which is a key valuation metric.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net, was $0.2 million and $0.3 million in the three and six months ended September 30, 2020, compared to $0.3 million and $0.8 million in the three and six months ended September 30, 2019. The decreases in interest income in the three and six months ended September 30, 2020 were related to lower cash balances earning lower interest rates than in the prior period, as well as interest recorded related to the sale of the Devens facility for the six months ended September 30, 2019 with no such transaction in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$0.5 million and $0.6 million in the three and six months ended September 30, 2020, compared to other income, net of $1.5 million and $1.0 million in the three and six months ended September 30, 2019. The decreases in other income, net, were driven by higher foreign currency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$0.2 million and $0.4 in the three and six months ended September 30, 2020. Income tax benefit was $0.3 million and $0.1 million in the three and six months ended September 30, 2019. The income tax expense is due primarily to taxes incurred in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was $3.7 million and $7.1 million in the three and six months ended September 30, 2020, compared to $0.8 million and $4.4 million in the three and six months ended September 30, 2019. The increases in net loss were driven by the gain on fair value of warrants in the prior year period that did not recur in the six months ended September 30, 2020 as well as decreases in other income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Non-GAAP Net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measures prepared in accordance with GAAP.</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non-GAAP net loss as net loss before stock-based compensation, amortization of acquisition-related intangibles, change in fair value of warrants, and other non-cash or unusual charges, and the tax effect of those adjustments calculated at the relevant rate for our non-GAAP metric, if applicable.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(7,640)</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per share - 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Non-GAAP net loss per share - diluted</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21,860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20,656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21,775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20,586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21,860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20,723</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21,775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20,736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incurred non-GAAP net losses of $2.7 million and $5.1 million or $0.13 and $0.24 per share, for the three and six months ended September 30, 2020, compared to $1.5 million and $7.6 million, or $0.07 and $0.37 per share for the three and six months ended September 30, 2019. The decrease in the six month non-GAAP net loss was due to lower operating loss driven by higher revenues and a more favorable product mix. The increase in the three month period was driven by increased net loss as a result of higher foreign currency losses during the three months ended September 30, 2020.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description and reconciliation of our other non-GAAP financial measure, non-GAAP operating cash flow, see below under “Non-GAAP Financial Measure – Non-GAAP Operating Cash Flow.”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experienced recurring operating losses, and as of September 30, 2020, had an accumulated deficit of $985.8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further reduce our operating and capital spending to enhance liquidity.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above, on October 1, 2020, we acquired NEPSI. The NEPSI purchase price was $26.0 million in cash on hand, including cash from the settlement of our $25 million certificate of deposit during the three months ended September 30, 2020, and 873,657 restricted shares of common stock of the Company. As part of the transaction, the selling stockholders may receive additional restricted shares of common stock of the Company upon the achievement of certain specified revenue objectives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above, on October 26, 2020, we completed an offering of 3,670,000 shares of our common stock at a public offering price of $15.00 per share. We received net proceeds of approximately $51.4 million after deducting underwriting discounts and commissions and estimated offering expenses. In addition, we have granted the underwriters a 30-day option to purchase up to an additional 550,500 shares of common stock at the public offering price.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we had cash, cash equivalents, marketable securities and restricted cash of $57.7 million, compared to $66.1 million as of March 31, 2020, a decrease of $8.3 million. As of September 30, 2020, we had approximately $6.1 million of cash, cash equivalents, and restricted cash in foreign bank accounts. Our cash, cash equivalents, marketable securities and restricted cash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marketable securities and 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66,059</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2020, net cash used in operating activities was $6.6 million, compared to $10.5 million for the six months ended September 30, 2019 The decrease in net cash used in operations was due primarily to the overall impact of increased sales activities on the operating activities, partially offset by higher payments on accounts payable and higher accrued expenses in the six months ended September 30, 2020 as compared to September 30, 2019.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2020, net cash provided by investing activities was $23.7 million, compared to net cash used in investing activities of $8.7 million for the six months ended September 30, 2019. The increase in net cash provided by investing activities was due primarily to the settlement of the $25.0 million certificate of deposit which was used to fund the acquisition of NEPSI on October 1, 2020 in the six months ended September 30, 2020 with no such transaction in the prior fiscal year.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2020, net cash used in financing activities was $0.6 million compared to $0.4 million in the six months ended September 30, 2019. The increase in net cash used in financing activities was due primarily to the repurchase of common stock in connection with employee tax obligations upon the vesting of stock awards.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we had $5.8 million of restricted cash included in long-term assets and $0.5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the Subcontract Agreement with ComEd. These deposits are held in interest bearing accounts.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We have no outstanding warrants as of September 30, 2020. Our liquidity is highly dependent on our ability to increase revenues, including our ability to collect revenues under our agreements with Inox,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Non-GAAP Operating Cash Flow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define non-GAAP operating cash flow as operating cash flow before the Sinovel settlement (net of legal fees and expenses); and other unusual cash flows or items. We believe non-GAAP operating cash flow assists management and investors in comparing our operating cash flow across reporting periods on a consistent basis by excluding these non-recurring cash items that we do not believe are indicative of our core operating cash flow. A reconciliation of GAAP to non-GAAP operating cash flow is set forth in the table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6"/>
        </w:trPr>
        <w:tc>
          <w:tcPr>
            <w:tcW w:w="4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(10,485)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Sinovel settlement (net of legal fees and expenses)</w:t>
            </w:r>
          </w:p>
        </w:tc>
        <w:tc>
          <w:tcPr>
            <w:tcW w:w="3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cash flow</w:t>
            </w:r>
          </w:p>
        </w:tc>
        <w:tc>
          <w:tcPr>
            <w:tcW w:w="3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(9,485)</w:t>
            </w:r>
          </w:p>
        </w:tc>
      </w:tr>
      <w:tr>
        <w:trPr>
          <w:trHeight w:val="412"/>
        </w:trPr>
        <w:tc>
          <w:tcPr>
            <w:tcW w:w="460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ectPr>
          <w:pgSz w:w="11900" w:h="16877" w:orient="portrait"/>
          <w:cols w:equalWidth="0" w:num="1">
            <w:col w:w="11240"/>
          </w:cols>
          <w:pgMar w:left="320" w:top="576" w:right="339" w:bottom="0"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various contractual arrangements under which we have committed to purchase minimum quantities of goods or services on an annual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amendments in ASU 2016-13 provide more decision-useful information about the expected credit losses on financial instruments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We are currently evaluating the impact, if any, that the adoption of ASU 2016-13 may have on our consolidated financial statements.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amendments in ASU 2018-13 provide for increased effectiveness of the disclosures made around fair value measurements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consideration for costs and benefits. The ASU is effective for annual reporting periods beginning after December 15, 2019, including interim periods within those periods. As of April 1, 2020, we have adopted ASU 2018-13 and noted no material impact on our consolidated financial statements, primarily due to the fact that we do not currently report any Level 3 fair value measurements.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amendments in ASU 2019-12 provide for simplified accounting to several income tax situations and removal of certain accounting exceptions. The ASU is effective for annual reporting periods beginning after December 15, 2020, including interim periods within those periods. We do not expect the impact of the adoption of ASU 2019-12 to be material to our consolidated financial statements.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that, outside of those disclosed here, there are any other recently issued accounting pronouncements that will have a material impact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controls over financial reporting during the quarter ended September 30, 2020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IA of our Annual Report on Form 10-K for the fiscal year ended March 31, 2020, filed with the SEC on June 2, 2020.</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 repurchase activity during the three months ended September 30,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 Shares</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38"/>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2020 - July 31, 2020</w:t>
            </w:r>
          </w:p>
        </w:tc>
        <w:tc>
          <w:tcPr>
            <w:tcW w:w="15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25,546</w:t>
            </w:r>
          </w:p>
        </w:tc>
        <w:tc>
          <w:tcPr>
            <w:tcW w:w="12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$9.74</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2020 - August 31, 2020</w:t>
            </w:r>
          </w:p>
        </w:tc>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3,627</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2020 - September 30, 2020</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29,173</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140" w:hanging="2"/>
        <w:spacing w:after="0" w:line="282" w:lineRule="auto"/>
        <w:tabs>
          <w:tab w:leader="none" w:pos="3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2020, we purchased shares in connection with our stock-based compensation plans, whereby shares of our common stock were tendered by employees for payment of applicable statutory tax withholdings.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6240" w:type="dxa"/>
            <w:vAlign w:val="bottom"/>
            <w:gridSpan w:val="16"/>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12"/>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20"/>
                <w:szCs w:val="20"/>
                <w:color w:val="auto"/>
              </w:rPr>
            </w:pPr>
          </w:p>
        </w:tc>
        <w:tc>
          <w:tcPr>
            <w:tcW w:w="5080" w:type="dxa"/>
            <w:vAlign w:val="bottom"/>
            <w:gridSpan w:val="14"/>
          </w:tcPr>
          <w:p>
            <w:pPr>
              <w:ind w:left="17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760" w:type="dxa"/>
            <w:vAlign w:val="bottom"/>
            <w:tcBorders>
              <w:top w:val="single" w:sz="8" w:color="auto"/>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Stock Purchase Agreement, dated October 1, 2020, by and among</w:t>
              </w:r>
            </w:hyperlink>
          </w:p>
        </w:tc>
        <w:tc>
          <w:tcPr>
            <w:tcW w:w="240" w:type="dxa"/>
            <w:vAlign w:val="bottom"/>
            <w:tcBorders>
              <w:top w:val="single" w:sz="8" w:color="auto"/>
            </w:tcBorders>
            <w:gridSpan w:val="6"/>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jc w:val="center"/>
              <w:ind w:right="59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4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American Superconductor Corporation, Frank J. Steciuk, Paul B.</w:t>
              </w:r>
            </w:hyperlink>
          </w:p>
        </w:tc>
        <w:tc>
          <w:tcPr>
            <w:tcW w:w="3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Steciuk and Peter A. Steciuk.</w:t>
              </w:r>
            </w:hyperlink>
          </w:p>
        </w:tc>
        <w:tc>
          <w:tcPr>
            <w:tcW w:w="2960" w:type="dxa"/>
            <w:vAlign w:val="bottom"/>
            <w:gridSpan w:val="1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19672</w:t>
            </w:r>
          </w:p>
        </w:tc>
        <w:tc>
          <w:tcPr>
            <w:tcW w:w="76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10/5/20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4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Chief Executive Officer—Certification pursuant to Rule 13a-14(a)</w:t>
              </w:r>
            </w:hyperlink>
          </w:p>
        </w:tc>
        <w:tc>
          <w:tcPr>
            <w:tcW w:w="28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or Rule 15d-14(a) of the Securities Exchange Act of 1934, as</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gridSpan w:val="14"/>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adopted pursuant to Section 302 of the Sarbanes-Oxley Act of 2002.</w:t>
              </w:r>
            </w:hyperlink>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5080" w:type="dxa"/>
            <w:vAlign w:val="bottom"/>
            <w:gridSpan w:val="1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Chief Financial Officer—Certification pursuant to Rule 13a-14(a) or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Rule 15d-14(a) of the Securities Exchange Act of 1934, as adopted</w:t>
              </w:r>
            </w:hyperlink>
          </w:p>
        </w:tc>
        <w:tc>
          <w:tcPr>
            <w:tcW w:w="1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pursuant to Section 302 of the Sarbanes-Oxley Act of 2002.</w:t>
              </w:r>
            </w:hyperlink>
          </w:p>
        </w:tc>
        <w:tc>
          <w:tcPr>
            <w:tcW w:w="260" w:type="dxa"/>
            <w:vAlign w:val="bottom"/>
            <w:gridSpan w:val="5"/>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49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Chief Executive Officer—Certification pursuant to Rule13a-14(b) or</w:t>
              </w:r>
            </w:hyperlink>
          </w:p>
        </w:tc>
        <w:tc>
          <w:tcPr>
            <w:tcW w:w="1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Rule 15d-14(b) of the Securities Exchange Act of 1934 and 18</w:t>
              </w:r>
            </w:hyperlink>
          </w:p>
        </w:tc>
        <w:tc>
          <w:tcPr>
            <w:tcW w:w="5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Sarbanes-Oxley Act of 2002.</w:t>
              </w:r>
            </w:hyperlink>
          </w:p>
        </w:tc>
        <w:tc>
          <w:tcPr>
            <w:tcW w:w="5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49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Chief Financial Officer—Certification pursuant to Rule 13a-14(b) or</w:t>
              </w:r>
            </w:hyperlink>
          </w:p>
        </w:tc>
        <w:tc>
          <w:tcPr>
            <w:tcW w:w="12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Rule 15d-14(b) of the Securities Exchange Act of 1934 and 18</w:t>
              </w:r>
            </w:hyperlink>
          </w:p>
        </w:tc>
        <w:tc>
          <w:tcPr>
            <w:tcW w:w="5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Sarbanes-Oxley Act of 2002.</w:t>
              </w:r>
            </w:hyperlink>
          </w:p>
        </w:tc>
        <w:tc>
          <w:tcPr>
            <w:tcW w:w="5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98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Definition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Label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25"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18"/>
          <w:szCs w:val="18"/>
          <w:color w:val="auto"/>
        </w:rPr>
        <w:t>Attached as Exhibits 101 to this report are the following formatted in XBRL (Extensible Business Reporting Language): (i) Condensed Consolidated Balance Sheet as of September 30, 2020 and March 31, 2020 (ii) Condensed Statements of Operations and Income for the three and six months ended September 30, 2020 and 2019, (iii) Condensed Consolidated Statements of Comprehensive (Loss) Income for the three and six months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ended September 30, 2020 and 2019, (iv) Condensed Consolidated Statements of Cash Flows for the six months ended September 30, 2020 and 2019, and (v) Notes to Condensed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21" w:lineRule="exact"/>
        <w:rPr>
          <w:sz w:val="20"/>
          <w:szCs w:val="20"/>
          <w:color w:val="auto"/>
        </w:rPr>
      </w:pPr>
    </w:p>
    <w:p>
      <w:pPr>
        <w:spacing w:after="0"/>
        <w:tabs>
          <w:tab w:leader="none" w:pos="660" w:val="left"/>
          <w:tab w:leader="none" w:pos="5820" w:val="left"/>
          <w:tab w:leader="none" w:pos="788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19685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5"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57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McGahn, certify that:</w:t>
      </w:r>
    </w:p>
    <w:p>
      <w:pPr>
        <w:spacing w:after="0" w:line="207"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November 4, 2020</w:t>
            </w:r>
          </w:p>
        </w:tc>
        <w:tc>
          <w:tcPr>
            <w:tcW w:w="33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Daniel P. McGahn</w:t>
            </w:r>
          </w:p>
        </w:tc>
      </w:tr>
      <w:tr>
        <w:trPr>
          <w:trHeight w:val="191"/>
        </w:trPr>
        <w:tc>
          <w:tcPr>
            <w:tcW w:w="4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540" w:type="dxa"/>
            <w:vAlign w:val="bottom"/>
          </w:tcPr>
          <w:p>
            <w:pPr>
              <w:jc w:val="center"/>
              <w:ind w:right="410"/>
              <w:spacing w:after="0" w:line="191" w:lineRule="exact"/>
              <w:rPr>
                <w:sz w:val="20"/>
                <w:szCs w:val="20"/>
                <w:color w:val="auto"/>
              </w:rPr>
            </w:pPr>
            <w:r>
              <w:rPr>
                <w:rFonts w:ascii="Times New Roman" w:cs="Times New Roman" w:eastAsia="Times New Roman" w:hAnsi="Times New Roman"/>
                <w:sz w:val="18"/>
                <w:szCs w:val="18"/>
                <w:color w:val="auto"/>
                <w:w w:val="98"/>
              </w:rPr>
              <w:t>Daniel P. McGahn</w:t>
            </w:r>
          </w:p>
        </w:tc>
      </w:tr>
      <w:tr>
        <w:trPr>
          <w:trHeight w:val="234"/>
        </w:trPr>
        <w:tc>
          <w:tcPr>
            <w:tcW w:w="4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700" w:val="left"/>
          <w:tab w:leader="none" w:pos="6720" w:val="left"/>
          <w:tab w:leader="none" w:pos="8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2020</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Superconductor Corporation (the “Company”) for the period ended September 30, 2020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900" w:val="left"/>
          <w:tab w:leader="none" w:pos="6740" w:val="left"/>
          <w:tab w:leader="none" w:pos="84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2020</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Superconductor Corporation (the “Company”) for the period ended September 30, 2020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780" w:val="left"/>
          <w:tab w:leader="none" w:pos="6740" w:val="left"/>
          <w:tab w:leader="none" w:pos="8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2020</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7" Type="http://schemas.openxmlformats.org/officeDocument/2006/relationships/hyperlink" Target="http://www.sec.gov/Archives/edgar/data/880807/000143774920020734/ex_2058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2020-11-04T15:27:50Z</dcterms:created>
  <dcterms:modified xsi:type="dcterms:W3CDTF">2020-11-04T15:27:50Z</dcterms:modified>
</cp:coreProperties>
</file>