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40930_10q.htm"/>
      <w:bookmarkStart w:id="1" w:name="ksamsc202409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2024</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outstanding of the Registrant’s common stock:</w:t>
      </w:r>
    </w:p>
    <w:p>
      <w:pPr>
        <w:pStyle w:val="TextBody"/>
        <w:bidi w:val="0"/>
        <w:spacing w:before="0" w:after="0"/>
        <w:ind w:left="0" w:right="0" w:hanging="0"/>
        <w:jc w:val="center"/>
        <w:rPr/>
      </w:pPr>
      <w:r>
        <w:rPr/>
        <w:t> </w:t>
      </w:r>
    </w:p>
    <w:tbl>
      <w:tblPr>
        <w:tblW w:w="6640" w:type="dxa"/>
        <w:jc w:val="left"/>
        <w:tblInd w:w="0" w:type="dxa"/>
        <w:tblLayout w:type="fixed"/>
        <w:tblCellMar>
          <w:top w:w="0" w:type="dxa"/>
          <w:left w:w="0" w:type="dxa"/>
          <w:bottom w:w="28" w:type="dxa"/>
          <w:right w:w="0" w:type="dxa"/>
        </w:tblCellMar>
      </w:tblPr>
      <w:tblGrid>
        <w:gridCol w:w="3575"/>
        <w:gridCol w:w="60"/>
        <w:gridCol w:w="300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39,453,215</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Outstanding as of October 25, 2024</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6953" w:type="dxa"/>
        <w:jc w:val="left"/>
        <w:tblInd w:w="0" w:type="dxa"/>
        <w:tblLayout w:type="fixed"/>
        <w:tblCellMar>
          <w:top w:w="0" w:type="dxa"/>
          <w:left w:w="0" w:type="dxa"/>
          <w:bottom w:w="0" w:type="dxa"/>
          <w:right w:w="0" w:type="dxa"/>
        </w:tblCellMar>
      </w:tblPr>
      <w:tblGrid>
        <w:gridCol w:w="3995"/>
        <w:gridCol w:w="60"/>
        <w:gridCol w:w="176"/>
        <w:gridCol w:w="1283"/>
        <w:gridCol w:w="80"/>
        <w:gridCol w:w="60"/>
        <w:gridCol w:w="145"/>
        <w:gridCol w:w="1059"/>
        <w:gridCol w:w="9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March 31, 2024</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sz w:val="18"/>
              </w:rPr>
            </w:pPr>
            <w:r>
              <w:rPr>
                <w:sz w:val="18"/>
              </w:rPr>
              <w:t>$</w:t>
            </w:r>
          </w:p>
        </w:tc>
        <w:tc>
          <w:tcPr>
            <w:tcW w:w="1283" w:type="dxa"/>
            <w:tcBorders/>
            <w:shd w:fill="CCEEFF" w:val="clear"/>
            <w:vAlign w:val="center"/>
          </w:tcPr>
          <w:p>
            <w:pPr>
              <w:pStyle w:val="TableContents"/>
              <w:bidi w:val="0"/>
              <w:spacing w:before="0" w:after="283"/>
              <w:ind w:left="0" w:right="0" w:hanging="0"/>
              <w:jc w:val="right"/>
              <w:rPr>
                <w:sz w:val="18"/>
              </w:rPr>
            </w:pPr>
            <w:r>
              <w:rPr>
                <w:sz w:val="18"/>
              </w:rPr>
              <w:t>72,131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sz w:val="18"/>
              </w:rPr>
            </w:pPr>
            <w:r>
              <w:rPr>
                <w:sz w:val="18"/>
              </w:rPr>
              <w:t>$</w:t>
            </w:r>
          </w:p>
        </w:tc>
        <w:tc>
          <w:tcPr>
            <w:tcW w:w="1059" w:type="dxa"/>
            <w:tcBorders/>
            <w:shd w:fill="CCEEFF" w:val="clear"/>
            <w:vAlign w:val="center"/>
          </w:tcPr>
          <w:p>
            <w:pPr>
              <w:pStyle w:val="TableContents"/>
              <w:bidi w:val="0"/>
              <w:spacing w:before="0" w:after="283"/>
              <w:ind w:left="0" w:right="0" w:hanging="0"/>
              <w:jc w:val="right"/>
              <w:rPr>
                <w:sz w:val="18"/>
              </w:rPr>
            </w:pPr>
            <w:r>
              <w:rPr>
                <w:sz w:val="18"/>
              </w:rPr>
              <w:t>90,522</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40,059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26,325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Inventory,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70,880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41,857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10,806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7,295</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Restricted cash</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468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195,077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166,467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38,765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10,861</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Intangibles,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7,329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6,369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3,744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2,557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Goodwill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48,950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43,471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Restricted 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1,454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1,290</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1,201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1,119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sz w:val="18"/>
              </w:rPr>
            </w:pPr>
            <w:r>
              <w:rPr>
                <w:sz w:val="18"/>
              </w:rPr>
              <w:t>1,245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Other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637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298,448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232,771</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sz w:val="18"/>
              </w:rPr>
            </w:pPr>
            <w:r>
              <w:rPr>
                <w:sz w:val="18"/>
              </w:rPr>
              <w:t>$</w:t>
            </w:r>
          </w:p>
        </w:tc>
        <w:tc>
          <w:tcPr>
            <w:tcW w:w="1283" w:type="dxa"/>
            <w:tcBorders/>
            <w:shd w:fill="CCEEFF" w:val="clear"/>
            <w:vAlign w:val="center"/>
          </w:tcPr>
          <w:p>
            <w:pPr>
              <w:pStyle w:val="TableContents"/>
              <w:bidi w:val="0"/>
              <w:spacing w:before="0" w:after="283"/>
              <w:ind w:left="0" w:right="0" w:hanging="0"/>
              <w:jc w:val="right"/>
              <w:rPr>
                <w:sz w:val="18"/>
              </w:rPr>
            </w:pPr>
            <w:r>
              <w:rPr>
                <w:sz w:val="18"/>
              </w:rPr>
              <w:t>25,158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sz w:val="18"/>
              </w:rPr>
            </w:pPr>
            <w:r>
              <w:rPr>
                <w:sz w:val="18"/>
              </w:rPr>
              <w:t>$</w:t>
            </w:r>
          </w:p>
        </w:tc>
        <w:tc>
          <w:tcPr>
            <w:tcW w:w="1059" w:type="dxa"/>
            <w:tcBorders/>
            <w:shd w:fill="CCEEFF" w:val="clear"/>
            <w:vAlign w:val="center"/>
          </w:tcPr>
          <w:p>
            <w:pPr>
              <w:pStyle w:val="TableContents"/>
              <w:bidi w:val="0"/>
              <w:spacing w:before="0" w:after="283"/>
              <w:ind w:left="0" w:right="0" w:hanging="0"/>
              <w:jc w:val="right"/>
              <w:rPr>
                <w:sz w:val="18"/>
              </w:rPr>
            </w:pPr>
            <w:r>
              <w:rPr>
                <w:sz w:val="18"/>
              </w:rPr>
              <w:t>24,235</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716</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Debt,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25</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Contingent consideration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3,100</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Deferred tax liabilities,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sz w:val="18"/>
              </w:rPr>
            </w:pPr>
            <w:r>
              <w:rPr>
                <w:sz w:val="18"/>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69,356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50,732</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95,085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78,808</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11,915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7,097</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2,814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1,968</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Deferred tax liabilities, long-term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1,591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300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Other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111,433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88,200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373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1,253,168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1,212,913</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Treasury stock</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283" w:type="dxa"/>
            <w:tcBorders/>
            <w:shd w:fill="FFFFFF" w:val="clear"/>
            <w:vAlign w:val="center"/>
          </w:tcPr>
          <w:p>
            <w:pPr>
              <w:pStyle w:val="TableContents"/>
              <w:bidi w:val="0"/>
              <w:spacing w:before="0" w:after="283"/>
              <w:ind w:left="0" w:right="0" w:hanging="0"/>
              <w:jc w:val="right"/>
              <w:rPr>
                <w:sz w:val="18"/>
              </w:rPr>
            </w:pPr>
            <w:r>
              <w:rPr>
                <w:sz w:val="18"/>
              </w:rPr>
              <w:t>(3,765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sz w:val="18"/>
              </w:rPr>
            </w:pPr>
            <w:r>
              <w:rPr>
                <w:sz w:val="18"/>
              </w:rPr>
              <w:t>(3,639</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3995"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sz w:val="18"/>
              </w:rPr>
            </w:pPr>
            <w:r>
              <w:rPr>
                <w:sz w:val="18"/>
              </w:rPr>
              <w:t>1,509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sz w:val="18"/>
              </w:rPr>
            </w:pPr>
            <w:r>
              <w:rPr>
                <w:sz w:val="18"/>
              </w:rPr>
              <w:t>1,582</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18"/>
              </w:rPr>
            </w:pPr>
            <w:r>
              <w:rPr>
                <w:rFonts w:ascii="Times New Roman;Times;serif" w:hAnsi="Times New Roman;Times;serif"/>
                <w:b w:val="false"/>
                <w:sz w:val="18"/>
              </w:rPr>
              <w:t>Accumulated deficit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(1,064,295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(1,066,658</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3995"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187,015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144,571</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298,448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232,771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8278" w:type="dxa"/>
        <w:jc w:val="left"/>
        <w:tblInd w:w="0" w:type="dxa"/>
        <w:tblLayout w:type="fixed"/>
        <w:tblCellMar>
          <w:top w:w="0" w:type="dxa"/>
          <w:left w:w="0" w:type="dxa"/>
          <w:bottom w:w="0" w:type="dxa"/>
          <w:right w:w="0" w:type="dxa"/>
        </w:tblCellMar>
      </w:tblPr>
      <w:tblGrid>
        <w:gridCol w:w="4670"/>
        <w:gridCol w:w="60"/>
        <w:gridCol w:w="140"/>
        <w:gridCol w:w="661"/>
        <w:gridCol w:w="89"/>
        <w:gridCol w:w="67"/>
        <w:gridCol w:w="140"/>
        <w:gridCol w:w="661"/>
        <w:gridCol w:w="80"/>
        <w:gridCol w:w="60"/>
        <w:gridCol w:w="125"/>
        <w:gridCol w:w="590"/>
        <w:gridCol w:w="80"/>
        <w:gridCol w:w="60"/>
        <w:gridCol w:w="125"/>
        <w:gridCol w:w="590"/>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sz w:val="20"/>
              </w:rPr>
            </w:pPr>
            <w:r>
              <w:rPr>
                <w:sz w:val="20"/>
              </w:rPr>
              <w:t>$</w:t>
            </w:r>
          </w:p>
        </w:tc>
        <w:tc>
          <w:tcPr>
            <w:tcW w:w="661" w:type="dxa"/>
            <w:tcBorders/>
            <w:shd w:fill="CCEEFF" w:val="clear"/>
            <w:vAlign w:val="center"/>
          </w:tcPr>
          <w:p>
            <w:pPr>
              <w:pStyle w:val="TableContents"/>
              <w:bidi w:val="0"/>
              <w:spacing w:before="0" w:after="283"/>
              <w:ind w:left="0" w:right="0" w:hanging="0"/>
              <w:jc w:val="right"/>
              <w:rPr>
                <w:sz w:val="20"/>
              </w:rPr>
            </w:pPr>
            <w:r>
              <w:rPr>
                <w:sz w:val="20"/>
              </w:rPr>
              <w:t>54,471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sz w:val="20"/>
              </w:rPr>
            </w:pPr>
            <w:r>
              <w:rPr>
                <w:sz w:val="20"/>
              </w:rPr>
              <w:t>$</w:t>
            </w:r>
          </w:p>
        </w:tc>
        <w:tc>
          <w:tcPr>
            <w:tcW w:w="661" w:type="dxa"/>
            <w:tcBorders/>
            <w:shd w:fill="CCEEFF" w:val="clear"/>
            <w:vAlign w:val="center"/>
          </w:tcPr>
          <w:p>
            <w:pPr>
              <w:pStyle w:val="TableContents"/>
              <w:bidi w:val="0"/>
              <w:spacing w:before="0" w:after="283"/>
              <w:ind w:left="0" w:right="0" w:hanging="0"/>
              <w:jc w:val="right"/>
              <w:rPr>
                <w:sz w:val="20"/>
              </w:rPr>
            </w:pPr>
            <w:r>
              <w:rPr>
                <w:sz w:val="20"/>
              </w:rPr>
              <w:t>34,004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590" w:type="dxa"/>
            <w:tcBorders/>
            <w:shd w:fill="CCEEFF" w:val="clear"/>
            <w:vAlign w:val="center"/>
          </w:tcPr>
          <w:p>
            <w:pPr>
              <w:pStyle w:val="TableContents"/>
              <w:bidi w:val="0"/>
              <w:spacing w:before="0" w:after="283"/>
              <w:ind w:left="0" w:right="0" w:hanging="0"/>
              <w:jc w:val="right"/>
              <w:rPr>
                <w:sz w:val="20"/>
              </w:rPr>
            </w:pPr>
            <w:r>
              <w:rPr>
                <w:sz w:val="20"/>
              </w:rPr>
              <w:t>94,761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590" w:type="dxa"/>
            <w:tcBorders/>
            <w:shd w:fill="CCEEFF" w:val="clear"/>
            <w:vAlign w:val="center"/>
          </w:tcPr>
          <w:p>
            <w:pPr>
              <w:pStyle w:val="TableContents"/>
              <w:bidi w:val="0"/>
              <w:spacing w:before="0" w:after="283"/>
              <w:ind w:left="0" w:right="0" w:hanging="0"/>
              <w:jc w:val="right"/>
              <w:rPr>
                <w:sz w:val="20"/>
              </w:rPr>
            </w:pPr>
            <w:r>
              <w:rPr>
                <w:sz w:val="20"/>
              </w:rPr>
              <w:t>64,258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38,858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25,418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66,923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49,390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15,613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8,586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27,838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14,868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sz w:val="20"/>
              </w:rPr>
            </w:pPr>
            <w:r>
              <w:rPr>
                <w:sz w:val="20"/>
              </w:rPr>
              <w:t>2,646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sz w:val="20"/>
              </w:rPr>
            </w:pPr>
            <w:r>
              <w:rPr>
                <w:sz w:val="20"/>
              </w:rPr>
              <w:t>1,641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sz w:val="20"/>
              </w:rPr>
            </w:pPr>
            <w:r>
              <w:rPr>
                <w:sz w:val="20"/>
              </w:rPr>
              <w:t>4,931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sz w:val="20"/>
              </w:rPr>
            </w:pPr>
            <w:r>
              <w:rPr>
                <w:sz w:val="20"/>
              </w:rPr>
              <w:t>3,493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10,525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7,946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19,423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15,815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sz w:val="20"/>
              </w:rPr>
            </w:pPr>
            <w:r>
              <w:rPr>
                <w:sz w:val="20"/>
              </w:rPr>
              <w:t>433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sz w:val="20"/>
              </w:rPr>
            </w:pPr>
            <w:r>
              <w:rPr>
                <w:sz w:val="20"/>
              </w:rPr>
              <w:t>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sz w:val="20"/>
              </w:rPr>
            </w:pPr>
            <w:r>
              <w:rPr>
                <w:sz w:val="20"/>
              </w:rPr>
              <w:t>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sz w:val="20"/>
              </w:rPr>
            </w:pPr>
            <w:r>
              <w:rPr>
                <w:sz w:val="20"/>
              </w:rPr>
              <w:t>1,076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2,762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6,682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2,200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16,366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31,881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22,570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(753</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(2,369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(4,043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(7,702</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979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368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(329</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(321</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Loss before income tax expense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(103</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sz w:val="20"/>
              </w:rPr>
            </w:pPr>
            <w:r>
              <w:rPr>
                <w:sz w:val="20"/>
              </w:rPr>
              <w:t>(2,379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(2,433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sz w:val="20"/>
              </w:rPr>
            </w:pPr>
            <w:r>
              <w:rPr>
                <w:sz w:val="20"/>
              </w:rPr>
              <w:t>(7,655</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(4,990</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(4,796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4,887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(2,485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(7,883</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(loss)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0.13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(0.28</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0.13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(0.28</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36,952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28,545</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37,499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28,828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28,545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7519" w:type="dxa"/>
        <w:jc w:val="left"/>
        <w:tblInd w:w="0" w:type="dxa"/>
        <w:tblLayout w:type="fixed"/>
        <w:tblCellMar>
          <w:top w:w="0" w:type="dxa"/>
          <w:left w:w="0" w:type="dxa"/>
          <w:bottom w:w="0" w:type="dxa"/>
          <w:right w:w="0" w:type="dxa"/>
        </w:tblCellMar>
      </w:tblPr>
      <w:tblGrid>
        <w:gridCol w:w="3935"/>
        <w:gridCol w:w="60"/>
        <w:gridCol w:w="154"/>
        <w:gridCol w:w="601"/>
        <w:gridCol w:w="99"/>
        <w:gridCol w:w="74"/>
        <w:gridCol w:w="154"/>
        <w:gridCol w:w="675"/>
        <w:gridCol w:w="80"/>
        <w:gridCol w:w="60"/>
        <w:gridCol w:w="136"/>
        <w:gridCol w:w="529"/>
        <w:gridCol w:w="87"/>
        <w:gridCol w:w="65"/>
        <w:gridCol w:w="136"/>
        <w:gridCol w:w="594"/>
        <w:gridCol w:w="8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Foreign currency translation (loss) gain</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and Six Months Ended September 30, 2024 AND 2023</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2076"/>
        <w:gridCol w:w="60"/>
        <w:gridCol w:w="73"/>
        <w:gridCol w:w="734"/>
        <w:gridCol w:w="60"/>
        <w:gridCol w:w="60"/>
        <w:gridCol w:w="153"/>
        <w:gridCol w:w="415"/>
        <w:gridCol w:w="60"/>
        <w:gridCol w:w="60"/>
        <w:gridCol w:w="131"/>
        <w:gridCol w:w="891"/>
        <w:gridCol w:w="80"/>
        <w:gridCol w:w="60"/>
        <w:gridCol w:w="154"/>
        <w:gridCol w:w="680"/>
        <w:gridCol w:w="80"/>
        <w:gridCol w:w="60"/>
        <w:gridCol w:w="360"/>
        <w:gridCol w:w="1124"/>
        <w:gridCol w:w="80"/>
        <w:gridCol w:w="60"/>
        <w:gridCol w:w="146"/>
        <w:gridCol w:w="1063"/>
        <w:gridCol w:w="80"/>
        <w:gridCol w:w="60"/>
        <w:gridCol w:w="190"/>
        <w:gridCol w:w="1064"/>
        <w:gridCol w:w="91"/>
      </w:tblGrid>
      <w:tr>
        <w:trPr/>
        <w:tc>
          <w:tcPr>
            <w:tcW w:w="20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(1,066,658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144,571</w:t>
            </w:r>
          </w:p>
        </w:tc>
        <w:tc>
          <w:tcPr>
            <w:tcW w:w="91" w:type="dxa"/>
            <w:tcBorders/>
            <w:shd w:fill="CCEE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4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ind w:left="0" w:right="0" w:hanging="0"/>
              <w:jc w:val="left"/>
              <w:rPr/>
            </w:pPr>
            <w:r>
              <w:rPr/>
              <w:t> </w:t>
            </w:r>
          </w:p>
        </w:tc>
        <w:tc>
          <w:tcPr>
            <w:tcW w:w="11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41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1,229</w:t>
            </w:r>
          </w:p>
        </w:tc>
        <w:tc>
          <w:tcPr>
            <w:tcW w:w="91" w:type="dxa"/>
            <w:tcBorders/>
            <w:shd w:fill="CCEE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4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ind w:left="0" w:right="0" w:hanging="0"/>
              <w:jc w:val="left"/>
              <w:rPr/>
            </w:pPr>
            <w:r>
              <w:rPr/>
              <w:t> </w:t>
            </w:r>
          </w:p>
        </w:tc>
        <w:tc>
          <w:tcPr>
            <w:tcW w:w="11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4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ind w:left="0" w:right="0" w:hanging="0"/>
              <w:jc w:val="left"/>
              <w:rPr/>
            </w:pPr>
            <w:r>
              <w:rPr/>
              <w:t> </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(1,069,182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143,344</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91" w:type="dxa"/>
            <w:tcBorders/>
            <w:shd w:fill="CCEE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843</w:t>
            </w:r>
          </w:p>
        </w:tc>
        <w:tc>
          <w:tcPr>
            <w:tcW w:w="91" w:type="dxa"/>
            <w:tcBorders/>
            <w:shd w:fill="CCEE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Megatran acquisition, net of offering expenses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31,202</w:t>
            </w:r>
          </w:p>
        </w:tc>
        <w:tc>
          <w:tcPr>
            <w:tcW w:w="91" w:type="dxa"/>
            <w:tcBorders/>
            <w:shd w:fill="CCEEFF" w:val="clear"/>
            <w:vAlign w:val="center"/>
          </w:tcPr>
          <w:p>
            <w:pPr>
              <w:pStyle w:val="TableContents"/>
              <w:bidi w:val="0"/>
              <w:spacing w:before="0" w:after="283"/>
              <w:jc w:val="left"/>
              <w:rPr/>
            </w:pPr>
            <w:r>
              <w:rPr/>
              <w:t> </w:t>
            </w:r>
          </w:p>
        </w:tc>
      </w:tr>
      <w:tr>
        <w:trPr/>
        <w:tc>
          <w:tcPr>
            <w:tcW w:w="2076"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to settle contingent consideration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6,504</w:t>
            </w:r>
          </w:p>
        </w:tc>
        <w:tc>
          <w:tcPr>
            <w:tcW w:w="91" w:type="dxa"/>
            <w:tcBorders/>
            <w:shd w:fill="FFFFFF" w:val="clear"/>
            <w:vAlign w:val="center"/>
          </w:tcPr>
          <w:p>
            <w:pPr>
              <w:pStyle w:val="TableContents"/>
              <w:bidi w:val="0"/>
              <w:spacing w:before="0" w:after="283"/>
              <w:jc w:val="left"/>
              <w:rPr/>
            </w:pPr>
            <w:r>
              <w:rPr/>
              <w:t> </w:t>
            </w:r>
          </w:p>
        </w:tc>
      </w:tr>
      <w:tr>
        <w:trPr/>
        <w:tc>
          <w:tcPr>
            <w:tcW w:w="207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c>
          <w:tcPr>
            <w:tcW w:w="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4,887</w:t>
            </w:r>
          </w:p>
        </w:tc>
        <w:tc>
          <w:tcPr>
            <w:tcW w:w="91" w:type="dxa"/>
            <w:tcBorders/>
            <w:shd w:fill="FFFFFF" w:val="clear"/>
            <w:vAlign w:val="center"/>
          </w:tcPr>
          <w:p>
            <w:pPr>
              <w:pStyle w:val="TableContents"/>
              <w:bidi w:val="0"/>
              <w:spacing w:before="0" w:after="0"/>
              <w:ind w:left="0" w:right="0" w:hanging="0"/>
              <w:jc w:val="left"/>
              <w:rPr/>
            </w:pPr>
            <w:r>
              <w:rPr/>
              <w:t> </w:t>
            </w:r>
          </w:p>
        </w:tc>
      </w:tr>
      <w:tr>
        <w:trPr/>
        <w:tc>
          <w:tcPr>
            <w:tcW w:w="20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September 30, 2024</w:t>
            </w:r>
          </w:p>
        </w:tc>
        <w:tc>
          <w:tcPr>
            <w:tcW w:w="60" w:type="dxa"/>
            <w:tcBorders/>
            <w:shd w:fill="CCEEFF" w:val="clear"/>
            <w:vAlign w:val="center"/>
          </w:tcPr>
          <w:p>
            <w:pPr>
              <w:pStyle w:val="TableContents"/>
              <w:bidi w:val="0"/>
              <w:spacing w:before="0" w:after="0"/>
              <w:ind w:left="0" w:right="0" w:hanging="0"/>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1,253,168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(1,064,295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187,015</w:t>
            </w:r>
          </w:p>
        </w:tc>
        <w:tc>
          <w:tcPr>
            <w:tcW w:w="91"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41"/>
        <w:gridCol w:w="60"/>
        <w:gridCol w:w="79"/>
        <w:gridCol w:w="790"/>
        <w:gridCol w:w="60"/>
        <w:gridCol w:w="60"/>
        <w:gridCol w:w="160"/>
        <w:gridCol w:w="434"/>
        <w:gridCol w:w="60"/>
        <w:gridCol w:w="60"/>
        <w:gridCol w:w="135"/>
        <w:gridCol w:w="914"/>
        <w:gridCol w:w="80"/>
        <w:gridCol w:w="60"/>
        <w:gridCol w:w="162"/>
        <w:gridCol w:w="712"/>
        <w:gridCol w:w="80"/>
        <w:gridCol w:w="60"/>
        <w:gridCol w:w="373"/>
        <w:gridCol w:w="1202"/>
        <w:gridCol w:w="80"/>
        <w:gridCol w:w="60"/>
        <w:gridCol w:w="151"/>
        <w:gridCol w:w="1103"/>
        <w:gridCol w:w="80"/>
        <w:gridCol w:w="60"/>
        <w:gridCol w:w="226"/>
        <w:gridCol w:w="1074"/>
        <w:gridCol w:w="89"/>
      </w:tblGrid>
      <w:tr>
        <w:trPr/>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81,797</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20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ind w:left="0" w:right="0" w:hanging="0"/>
              <w:jc w:val="left"/>
              <w:rPr/>
            </w:pPr>
            <w:r>
              <w:rPr/>
              <w:t> </w:t>
            </w:r>
          </w:p>
        </w:tc>
        <w:tc>
          <w:tcPr>
            <w:tcW w:w="120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ind w:left="0" w:right="0" w:hanging="0"/>
              <w:jc w:val="left"/>
              <w:rPr/>
            </w:pPr>
            <w:r>
              <w:rPr/>
              <w:t> </w:t>
            </w:r>
          </w:p>
        </w:tc>
        <w:tc>
          <w:tcPr>
            <w:tcW w:w="12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8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(1,060,945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77,918</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ESPP</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1,111</w:t>
            </w:r>
          </w:p>
        </w:tc>
        <w:tc>
          <w:tcPr>
            <w:tcW w:w="89" w:type="dxa"/>
            <w:tcBorders/>
            <w:shd w:fill="FFFFFF" w:val="clear"/>
            <w:vAlign w:val="center"/>
          </w:tcPr>
          <w:p>
            <w:pPr>
              <w:pStyle w:val="TableContents"/>
              <w:bidi w:val="0"/>
              <w:spacing w:before="0" w:after="283"/>
              <w:jc w:val="left"/>
              <w:rPr/>
            </w:pPr>
            <w:r>
              <w:rPr/>
              <w:t> </w:t>
            </w:r>
          </w:p>
        </w:tc>
      </w:tr>
      <w:tr>
        <w:trPr/>
        <w:tc>
          <w:tcPr>
            <w:tcW w:w="17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w:t>
            </w:r>
          </w:p>
        </w:tc>
        <w:tc>
          <w:tcPr>
            <w:tcW w:w="89" w:type="dxa"/>
            <w:tcBorders/>
            <w:shd w:fill="CCEEFF" w:val="clear"/>
            <w:vAlign w:val="center"/>
          </w:tcPr>
          <w:p>
            <w:pPr>
              <w:pStyle w:val="TableContents"/>
              <w:bidi w:val="0"/>
              <w:spacing w:before="0" w:after="283"/>
              <w:jc w:val="left"/>
              <w:rPr/>
            </w:pPr>
            <w:r>
              <w:rPr/>
              <w:t> </w:t>
            </w:r>
          </w:p>
        </w:tc>
      </w:tr>
      <w:tr>
        <w:trPr/>
        <w:tc>
          <w:tcPr>
            <w:tcW w:w="17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c>
          <w:tcPr>
            <w:tcW w:w="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60" w:type="dxa"/>
            <w:tcBorders/>
            <w:shd w:fill="FFFFFF" w:val="clear"/>
            <w:vAlign w:val="center"/>
          </w:tcPr>
          <w:p>
            <w:pPr>
              <w:pStyle w:val="TableContents"/>
              <w:bidi w:val="0"/>
              <w:spacing w:before="0" w:after="0"/>
              <w:ind w:left="0" w:right="0" w:hanging="0"/>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1,142,023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76,894</w:t>
            </w:r>
          </w:p>
        </w:tc>
        <w:tc>
          <w:tcPr>
            <w:tcW w:w="89" w:type="dxa"/>
            <w:tcBorders/>
            <w:shd w:fill="FFFFFF" w:val="clear"/>
            <w:vAlign w:val="center"/>
          </w:tcPr>
          <w:p>
            <w:pPr>
              <w:pStyle w:val="TableContents"/>
              <w:bidi w:val="0"/>
              <w:spacing w:before="0" w:after="0"/>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304"/>
        <w:gridCol w:w="60"/>
        <w:gridCol w:w="203"/>
        <w:gridCol w:w="1062"/>
        <w:gridCol w:w="129"/>
        <w:gridCol w:w="97"/>
        <w:gridCol w:w="203"/>
        <w:gridCol w:w="1062"/>
        <w:gridCol w:w="85"/>
      </w:tblGrid>
      <w:tr>
        <w:trPr/>
        <w:tc>
          <w:tcPr>
            <w:tcW w:w="7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 September 30,</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2,363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(7,883</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Adjustments to reconcile net income (loss) to net cash provided by (used in) operations: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2,395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2,234</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2,072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2,468</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780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1,070</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546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122</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(5,165</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6,682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2,200</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(15</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273</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Changes in operating asset and liability accounts: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2,538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3,152</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(6,672</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(11,935</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(2,082</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8,015</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(1,048</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(123</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(4,455</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(9,399</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18,182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8,458</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16,121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(1,348</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(852</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(430</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to settle Megatran contingent consideration liability</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sz w:val="20"/>
              </w:rPr>
            </w:pPr>
            <w:r>
              <w:rPr>
                <w:sz w:val="20"/>
              </w:rPr>
              <w:t>(3,278</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paid for Megatran Acquisition, net of cash acquired</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(29,577</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Change in other assets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(33,489</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(440</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7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Repurchase of treasury stock</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(126</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Repayment of debt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(25</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(33</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related to registration of common stock shares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sz w:val="20"/>
              </w:rPr>
            </w:pPr>
            <w:r>
              <w:rPr>
                <w:sz w:val="20"/>
              </w:rPr>
              <w:t>(148</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Proceeds from exercise of employee stock options and ESPP</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157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sz w:val="20"/>
              </w:rPr>
            </w:pPr>
            <w:r>
              <w:rPr>
                <w:sz w:val="20"/>
              </w:rPr>
              <w:t>136</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06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(142</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06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sz w:val="20"/>
              </w:rPr>
            </w:pPr>
            <w:r>
              <w:rPr>
                <w:sz w:val="20"/>
              </w:rPr>
              <w:t>103</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(17,494</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(1,695</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92,280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25,675</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74,786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23,980</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20"/>
              </w:rPr>
            </w:pPr>
            <w:r>
              <w:rPr>
                <w:sz w:val="20"/>
              </w:rPr>
              <w:t>$</w:t>
            </w:r>
          </w:p>
        </w:tc>
        <w:tc>
          <w:tcPr>
            <w:tcW w:w="1062" w:type="dxa"/>
            <w:tcBorders/>
            <w:shd w:fill="CCEEFF" w:val="clear"/>
            <w:vAlign w:val="center"/>
          </w:tcPr>
          <w:p>
            <w:pPr>
              <w:pStyle w:val="TableContents"/>
              <w:bidi w:val="0"/>
              <w:spacing w:before="0" w:after="283"/>
              <w:jc w:val="right"/>
              <w:rPr>
                <w:sz w:val="20"/>
              </w:rPr>
            </w:pPr>
            <w:r>
              <w:rPr>
                <w:sz w:val="20"/>
              </w:rPr>
              <w:t>248</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20"/>
              </w:rPr>
            </w:pPr>
            <w:r>
              <w:rPr>
                <w:sz w:val="20"/>
              </w:rPr>
              <w:t>$</w:t>
            </w:r>
          </w:p>
        </w:tc>
        <w:tc>
          <w:tcPr>
            <w:tcW w:w="1062" w:type="dxa"/>
            <w:tcBorders/>
            <w:shd w:fill="CCEEFF" w:val="clear"/>
            <w:vAlign w:val="center"/>
          </w:tcPr>
          <w:p>
            <w:pPr>
              <w:pStyle w:val="TableContents"/>
              <w:bidi w:val="0"/>
              <w:spacing w:before="0" w:after="283"/>
              <w:jc w:val="right"/>
              <w:rPr>
                <w:sz w:val="20"/>
              </w:rPr>
            </w:pPr>
            <w:r>
              <w:rPr>
                <w:sz w:val="20"/>
              </w:rPr>
              <w:t>171</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Issuance of common stock in connection with the purchase of Megatran</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sz w:val="20"/>
              </w:rPr>
            </w:pPr>
            <w:r>
              <w:rPr>
                <w:sz w:val="20"/>
              </w:rPr>
              <w:t>$</w:t>
            </w:r>
          </w:p>
        </w:tc>
        <w:tc>
          <w:tcPr>
            <w:tcW w:w="1062" w:type="dxa"/>
            <w:tcBorders/>
            <w:shd w:fill="CCEEFF" w:val="clear"/>
            <w:vAlign w:val="center"/>
          </w:tcPr>
          <w:p>
            <w:pPr>
              <w:pStyle w:val="TableContents"/>
              <w:bidi w:val="0"/>
              <w:spacing w:before="0" w:after="283"/>
              <w:ind w:left="0" w:right="0" w:hanging="0"/>
              <w:jc w:val="right"/>
              <w:rPr>
                <w:sz w:val="20"/>
              </w:rPr>
            </w:pPr>
            <w:r>
              <w:rPr>
                <w:sz w:val="20"/>
              </w:rPr>
              <w:t>31,350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sz w:val="20"/>
              </w:rPr>
            </w:pPr>
            <w:r>
              <w:rPr>
                <w:sz w:val="20"/>
              </w:rPr>
              <w:t>$</w:t>
            </w:r>
          </w:p>
        </w:tc>
        <w:tc>
          <w:tcPr>
            <w:tcW w:w="1062"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Issuance of common stock to settle contingent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6,504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Right-of-use assets obtained in exchange for new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sz w:val="20"/>
              </w:rPr>
            </w:pPr>
            <w:r>
              <w:rPr>
                <w:sz w:val="20"/>
              </w:rPr>
              <w:t>$</w:t>
            </w:r>
          </w:p>
        </w:tc>
        <w:tc>
          <w:tcPr>
            <w:tcW w:w="1062" w:type="dxa"/>
            <w:tcBorders/>
            <w:shd w:fill="CCEEFF" w:val="clear"/>
            <w:vAlign w:val="center"/>
          </w:tcPr>
          <w:p>
            <w:pPr>
              <w:pStyle w:val="TableContents"/>
              <w:bidi w:val="0"/>
              <w:spacing w:before="0" w:after="283"/>
              <w:ind w:left="0" w:right="0" w:hanging="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sz w:val="20"/>
              </w:rPr>
            </w:pPr>
            <w:r>
              <w:rPr>
                <w:sz w:val="20"/>
              </w:rPr>
              <w:t>$</w:t>
            </w:r>
          </w:p>
        </w:tc>
        <w:tc>
          <w:tcPr>
            <w:tcW w:w="1062" w:type="dxa"/>
            <w:tcBorders/>
            <w:shd w:fill="CCEEFF" w:val="clear"/>
            <w:vAlign w:val="center"/>
          </w:tcPr>
          <w:p>
            <w:pPr>
              <w:pStyle w:val="TableContents"/>
              <w:bidi w:val="0"/>
              <w:spacing w:before="0" w:after="283"/>
              <w:ind w:left="0" w:right="0" w:hanging="0"/>
              <w:jc w:val="right"/>
              <w:rPr>
                <w:sz w:val="20"/>
              </w:rPr>
            </w:pPr>
            <w:r>
              <w:rPr>
                <w:sz w:val="20"/>
              </w:rPr>
              <w:t>242</w:t>
            </w:r>
          </w:p>
        </w:tc>
        <w:tc>
          <w:tcPr>
            <w:tcW w:w="85"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Issuance of common stock to settle 401k match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345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313</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 and Liquidity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Certain prior period amounts were reclassified to conform to the presentation in the current period.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or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and the financial position at </w:t>
      </w:r>
      <w:r>
        <w:rPr>
          <w:rStyle w:val="Emphasis"/>
          <w:rFonts w:ascii="Times New Roman;Times;serif" w:hAnsi="Times New Roman;Times;serif"/>
          <w:sz w:val="20"/>
        </w:rPr>
        <w:t>September 30, 2024</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filed with the SEC on </w:t>
      </w:r>
      <w:r>
        <w:rPr>
          <w:rStyle w:val="Emphasis"/>
          <w:rFonts w:ascii="Times New Roman;Times;serif" w:hAnsi="Times New Roman;Times;serif"/>
          <w:sz w:val="20"/>
        </w:rPr>
        <w:t>May 29, 2024</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historically experienced recurring operating losses and as of </w:t>
      </w:r>
      <w:r>
        <w:rPr>
          <w:rStyle w:val="Emphasis"/>
          <w:rFonts w:ascii="Times New Roman;Times;serif" w:hAnsi="Times New Roman;Times;serif"/>
          <w:sz w:val="20"/>
        </w:rPr>
        <w:t>September 30, 2024</w:t>
      </w:r>
      <w:r>
        <w:rPr>
          <w:rFonts w:ascii="Times New Roman;Times;serif" w:hAnsi="Times New Roman;Times;serif"/>
          <w:sz w:val="20"/>
        </w:rPr>
        <w:t xml:space="preserve">, the Company had an accumulated deficit of $1,064.3 million. In addition, the Company has historically experienced recurring negative operating cash flows. At </w:t>
      </w:r>
      <w:r>
        <w:rPr>
          <w:rStyle w:val="Emphasis"/>
          <w:rFonts w:ascii="Times New Roman;Times;serif" w:hAnsi="Times New Roman;Times;serif"/>
          <w:sz w:val="20"/>
        </w:rPr>
        <w:t>September 30, 2024</w:t>
      </w:r>
      <w:r>
        <w:rPr>
          <w:rFonts w:ascii="Times New Roman;Times;serif" w:hAnsi="Times New Roman;Times;serif"/>
          <w:sz w:val="20"/>
        </w:rPr>
        <w:t>, the Company had cash and cash equivalents of $72.1 million. Cash provided by operations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was $16.1 million.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the Company filed a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that will expire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from the date on which it was declared effective, </w:t>
      </w:r>
      <w:r>
        <w:rPr>
          <w:rStyle w:val="Emphasis"/>
          <w:rFonts w:ascii="Times New Roman" w:hAnsi="Times New Roman"/>
          <w:caps w:val="false"/>
          <w:smallCaps w:val="false"/>
          <w:sz w:val="20"/>
        </w:rPr>
        <w:t>March 15, 2027 (</w:t>
      </w:r>
      <w:r>
        <w:rPr>
          <w:rFonts w:ascii="Times New Roman" w:hAnsi="Times New Roman"/>
          <w:caps w:val="false"/>
          <w:smallCaps w:val="false"/>
          <w:sz w:val="20"/>
        </w:rPr>
        <w:t>the “First Form S-</w:t>
      </w:r>
      <w:r>
        <w:rPr>
          <w:rStyle w:val="Emphasis"/>
          <w:rFonts w:ascii="Times New Roman" w:hAnsi="Times New Roman"/>
          <w:caps w:val="false"/>
          <w:smallCaps w:val="false"/>
          <w:sz w:val="20"/>
        </w:rPr>
        <w:t>3”</w:t>
      </w:r>
      <w:r>
        <w:rPr>
          <w:rFonts w:ascii="Times New Roman" w:hAnsi="Times New Roman"/>
          <w:caps w:val="false"/>
          <w:smallCaps w:val="false"/>
          <w:sz w:val="20"/>
        </w:rPr>
        <w:t>). The First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allows the Company to offer and sell from time-to-time up to $250 million of common stock, debt securities, warrants or units comprised of any combination of these securities, with $250 million available for future offerings as of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The First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is intended to provide the Company flexibility to conduct registered sales of its securities, subject to market conditions, in order to fund its future capital needs. The terms of any future offering under the First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January 31, 2024, </w:t>
      </w:r>
      <w:r>
        <w:rPr>
          <w:rFonts w:ascii="Times New Roman;Times;serif" w:hAnsi="Times New Roman;Times;serif"/>
          <w:sz w:val="20"/>
        </w:rPr>
        <w:t xml:space="preserve">the Company entered into an underwriting agreement with Oppenheimer &amp; Co. Inc., as a representative of the several underwriters named therein, relating to the issuance and sale (the </w:t>
      </w:r>
      <w:r>
        <w:rPr>
          <w:rStyle w:val="Emphasis"/>
          <w:rFonts w:ascii="Times New Roman;Times;serif" w:hAnsi="Times New Roman;Times;serif"/>
          <w:sz w:val="20"/>
        </w:rPr>
        <w:t>"2024</w:t>
      </w:r>
      <w:r>
        <w:rPr>
          <w:rFonts w:ascii="Times New Roman;Times;serif" w:hAnsi="Times New Roman;Times;serif"/>
          <w:sz w:val="20"/>
        </w:rPr>
        <w:t xml:space="preserve"> Offering") of 6,210,000 shares of the Company's common stock at a public offering price of $11.25 per share. The net proceeds to the Company from the </w:t>
      </w:r>
      <w:r>
        <w:rPr>
          <w:rStyle w:val="Emphasis"/>
          <w:rFonts w:ascii="Times New Roman;Times;serif" w:hAnsi="Times New Roman;Times;serif"/>
          <w:sz w:val="20"/>
        </w:rPr>
        <w:t>2024</w:t>
      </w:r>
      <w:r>
        <w:rPr>
          <w:rFonts w:ascii="Times New Roman;Times;serif" w:hAnsi="Times New Roman;Times;serif"/>
          <w:sz w:val="20"/>
        </w:rPr>
        <w:t xml:space="preserve"> Offering were approximately $65.2 million, after deducting underwriting discounts and commissions and offering expenses payable by the Company. The </w:t>
      </w:r>
      <w:r>
        <w:rPr>
          <w:rStyle w:val="Emphasis"/>
          <w:rFonts w:ascii="Times New Roman;Times;serif" w:hAnsi="Times New Roman;Times;serif"/>
          <w:sz w:val="20"/>
        </w:rPr>
        <w:t>2024</w:t>
      </w:r>
      <w:r>
        <w:rPr>
          <w:rFonts w:ascii="Times New Roman;Times;serif" w:hAnsi="Times New Roman;Times;serif"/>
          <w:sz w:val="20"/>
        </w:rPr>
        <w:t xml:space="preserve"> Offering closed on </w:t>
      </w:r>
      <w:r>
        <w:rPr>
          <w:rStyle w:val="Emphasis"/>
          <w:rFonts w:ascii="Times New Roman;Times;serif" w:hAnsi="Times New Roman;Times;serif"/>
          <w:sz w:val="20"/>
        </w:rPr>
        <w:t>February 14, 2024.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August 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Industries, Inc. ("Megatran") (the "Acquisition"),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(“Common Stock”) equal to the quotient obtained by dividing (</w:t>
      </w:r>
      <w:r>
        <w:rPr>
          <w:rStyle w:val="Emphasis"/>
          <w:rFonts w:ascii="Times New Roman;Times;serif" w:hAnsi="Times New Roman;Times;serif"/>
          <w:sz w:val="20"/>
        </w:rPr>
        <w:t>x</w:t>
      </w:r>
      <w:r>
        <w:rPr>
          <w:rFonts w:ascii="Times New Roman;Times;serif" w:hAnsi="Times New Roman;Times;serif"/>
          <w:sz w:val="20"/>
        </w:rPr>
        <w:t xml:space="preserve">) $31.4 million (the “Share Purchase Price”) by (y) the closing price per share of Common Stock on the Nasdaq Global Select Market on the last trading day immediately preceding the Closing Date; and (c) an additional cash payment equal to $5.0 million, as adjusted pursuant to Sections </w:t>
      </w:r>
      <w:r>
        <w:rPr>
          <w:rStyle w:val="Emphasis"/>
          <w:rFonts w:ascii="Times New Roman;Times;serif" w:hAnsi="Times New Roman;Times;serif"/>
          <w:sz w:val="20"/>
        </w:rPr>
        <w:t>5.6</w:t>
      </w:r>
      <w:r>
        <w:rPr>
          <w:rFonts w:ascii="Times New Roman;Times;serif" w:hAnsi="Times New Roman;Times;serif"/>
          <w:sz w:val="20"/>
        </w:rPr>
        <w:t xml:space="preserve">(c), (d), and (f) of the Stock Purchase Agreement (the “Additional Cash Purchase Price”). Megatran is now a wholly-owned subsidiary of the Company and, together with its wholly-owned subsidiaries and affiliates, is operated and reported as a component of its Grid business unit. On </w:t>
      </w:r>
      <w:r>
        <w:rPr>
          <w:rStyle w:val="Emphasis"/>
          <w:rFonts w:ascii="Times New Roman;Times;serif" w:hAnsi="Times New Roman;Times;serif"/>
          <w:sz w:val="20"/>
        </w:rPr>
        <w:t>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This amount is reflected as the change in fair value of this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As of </w:t>
      </w:r>
      <w:r>
        <w:rPr>
          <w:rStyle w:val="Emphasis"/>
          <w:rFonts w:ascii="Times New Roman;Times;serif" w:hAnsi="Times New Roman;Times;serif"/>
          <w:sz w:val="20"/>
        </w:rPr>
        <w:t xml:space="preserve">September 30, 2024, </w:t>
      </w:r>
      <w:r>
        <w:rPr>
          <w:rFonts w:ascii="Times New Roman;Times;serif" w:hAnsi="Times New Roman;Times;serif"/>
          <w:sz w:val="20"/>
        </w:rPr>
        <w:t>there are no remaining obligations to the selling stockholders of Megatran.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August 2024, </w:t>
      </w:r>
      <w:r>
        <w:rPr>
          <w:rFonts w:ascii="Times New Roman;Times;serif" w:hAnsi="Times New Roman;Times;serif"/>
          <w:sz w:val="20"/>
        </w:rPr>
        <w:t>the Company filed an automatically-effective shelf registration statement on Form S-</w:t>
      </w:r>
      <w:r>
        <w:rPr>
          <w:rStyle w:val="Emphasis"/>
          <w:rFonts w:ascii="Times New Roman;Times;serif" w:hAnsi="Times New Roman;Times;serif"/>
          <w:sz w:val="20"/>
        </w:rPr>
        <w:t>3</w:t>
      </w:r>
      <w:r>
        <w:rPr>
          <w:rFonts w:ascii="Times New Roman;Times;serif" w:hAnsi="Times New Roman;Times;serif"/>
          <w:sz w:val="20"/>
        </w:rPr>
        <w:t xml:space="preserve"> that will expire </w:t>
      </w:r>
      <w:r>
        <w:rPr>
          <w:rStyle w:val="Emphasis"/>
          <w:rFonts w:ascii="Times New Roman;Times;serif" w:hAnsi="Times New Roman;Times;serif"/>
          <w:sz w:val="20"/>
        </w:rPr>
        <w:t>no</w:t>
      </w:r>
      <w:r>
        <w:rPr>
          <w:rFonts w:ascii="Times New Roman;Times;serif" w:hAnsi="Times New Roman;Times;serif"/>
          <w:sz w:val="20"/>
        </w:rPr>
        <w:t xml:space="preserve"> later than </w:t>
      </w:r>
      <w:r>
        <w:rPr>
          <w:rStyle w:val="Emphasis"/>
          <w:rFonts w:ascii="Times New Roman;Times;serif" w:hAnsi="Times New Roman;Times;serif"/>
          <w:sz w:val="20"/>
        </w:rPr>
        <w:t>August 12, 2027 (</w:t>
      </w:r>
      <w:r>
        <w:rPr>
          <w:rFonts w:ascii="Times New Roman;Times;serif" w:hAnsi="Times New Roman;Times;serif"/>
          <w:sz w:val="20"/>
        </w:rPr>
        <w:t>the “Second Form S-</w:t>
      </w:r>
      <w:r>
        <w:rPr>
          <w:rStyle w:val="Emphasis"/>
          <w:rFonts w:ascii="Times New Roman;Times;serif" w:hAnsi="Times New Roman;Times;serif"/>
          <w:sz w:val="20"/>
        </w:rPr>
        <w:t>3”</w:t>
      </w:r>
      <w:r>
        <w:rPr>
          <w:rFonts w:ascii="Times New Roman;Times;serif" w:hAnsi="Times New Roman;Times;serif"/>
          <w:sz w:val="20"/>
        </w:rPr>
        <w:t>). The Second Form S-</w:t>
      </w:r>
      <w:r>
        <w:rPr>
          <w:rStyle w:val="Emphasis"/>
          <w:rFonts w:ascii="Times New Roman;Times;serif" w:hAnsi="Times New Roman;Times;serif"/>
          <w:sz w:val="20"/>
        </w:rPr>
        <w:t>3</w:t>
      </w:r>
      <w:r>
        <w:rPr>
          <w:rFonts w:ascii="Times New Roman;Times;serif" w:hAnsi="Times New Roman;Times;serif"/>
          <w:sz w:val="20"/>
        </w:rPr>
        <w:t xml:space="preserve"> allows the Company to offer and sell from time-to-time unspecified amounts of common stock, debt securities, warrants or units comprised of any combination of these securities and allows certain selling stockholders to offer and sell from time-to-time common stock. The Second Form S-</w:t>
      </w:r>
      <w:r>
        <w:rPr>
          <w:rStyle w:val="Emphasis"/>
          <w:rFonts w:ascii="Times New Roman;Times;serif" w:hAnsi="Times New Roman;Times;serif"/>
          <w:sz w:val="20"/>
        </w:rPr>
        <w:t>3</w:t>
      </w:r>
      <w:r>
        <w:rPr>
          <w:rFonts w:ascii="Times New Roman;Times;serif" w:hAnsi="Times New Roman;Times;serif"/>
          <w:sz w:val="20"/>
        </w:rPr>
        <w:t xml:space="preserve"> is intended to assist the selling stockholders in the resale of their common stock and to provide the Company flexibility to conduct registered sales of its securities, subject to market conditions, in order to fund its future capital needs. The terms of any future offering under the Second Form S-</w:t>
      </w:r>
      <w:r>
        <w:rPr>
          <w:rStyle w:val="Emphasis"/>
          <w:rFonts w:ascii="Times New Roman;Times;serif" w:hAnsi="Times New Roman;Times;serif"/>
          <w:sz w:val="20"/>
        </w:rPr>
        <w:t>3</w:t>
      </w:r>
      <w:r>
        <w:rPr>
          <w:rFonts w:ascii="Times New Roman;Times;serif" w:hAnsi="Times New Roman;Times;serif"/>
          <w:sz w:val="20"/>
        </w:rPr>
        <w:t xml:space="preserve">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recent periods, the Company has experienced inflationary pressure in its supply chain and some delays in sourcing materials needed for its products resulting in some production disruption, both of which have increased the Company’s cost of revenues and decreased gross margin. While the impact of inflation has been challenging, the Company has taken actions to limit this pressure, including adjusting the pricing of its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believes that based on the information presented above and its quarterly management assessment, it has sufficient liquidity to fund its operations and capital expenditures for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issuance of the unaudited condensed consolidated financial statements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The Company’s liquidity is highly dependent on its ability to increase revenues, its ability to control its operating costs, and its ability to raise additional capital, if necessary. The impact of global sources of instability, including the wars between Russia and Ukraine and Israel and Hamas, on the global financing markets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reduce the Company's ability to raise additional capital, if necessary, which could negatively impact the Company's liquidity.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able to continue to raise additional capital, on favorable terms or at all, from other sources or execute on any other means of improving liquidity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of Megatran</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described in Note </w:t>
      </w:r>
      <w:r>
        <w:rPr>
          <w:rStyle w:val="Emphasis"/>
          <w:rFonts w:ascii="Times New Roman;Times;serif" w:hAnsi="Times New Roman;Times;serif"/>
          <w:sz w:val="20"/>
        </w:rPr>
        <w:t>1,</w:t>
      </w:r>
      <w:r>
        <w:rPr>
          <w:rFonts w:ascii="Times New Roman;Times;serif" w:hAnsi="Times New Roman;Times;serif"/>
          <w:sz w:val="20"/>
        </w:rPr>
        <w:t xml:space="preserve"> Nature of the Business and Operations and Liquidity, on the Acquisition Date, the Company acquired all of the issued and outstanding shares of capital stock of Megatran. Megatran's wholly-owned subsidiary, NWL, Inc. ("NWL"), is a U.S.-based global provider of engineered power conversion solutions for demanding industrial and military applications.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Pursuant to the Stock Purchase Agreement, the Company acquired all of the issued and outstanding shares of Megatran, for aggregate consideration in an amount equal to $61.4 million,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(b) a number of restricted shares (rounded up or down to the nearest whole share, as applicable) of Common Stock equal to the quotient obtained by dividing (</w:t>
      </w:r>
      <w:r>
        <w:rPr>
          <w:rStyle w:val="Emphasis"/>
          <w:rFonts w:ascii="Times New Roman;Times;serif" w:hAnsi="Times New Roman;Times;serif"/>
          <w:sz w:val="20"/>
        </w:rPr>
        <w:t>x</w:t>
      </w:r>
      <w:r>
        <w:rPr>
          <w:rFonts w:ascii="Times New Roman;Times;serif" w:hAnsi="Times New Roman;Times;serif"/>
          <w:sz w:val="20"/>
        </w:rPr>
        <w:t xml:space="preserve">) $31.4 million by (y) the closing price per share of Common Stock on the Nasdaq Global Select Market on the last trading day immediately preceding the Closing Date; and (c) an additional cash payment equal to $5.0 million, as adjusted pursuant to Sections </w:t>
      </w:r>
      <w:r>
        <w:rPr>
          <w:rStyle w:val="Emphasis"/>
          <w:rFonts w:ascii="Times New Roman;Times;serif" w:hAnsi="Times New Roman;Times;serif"/>
          <w:sz w:val="20"/>
        </w:rPr>
        <w:t>5.6</w:t>
      </w:r>
      <w:r>
        <w:rPr>
          <w:rFonts w:ascii="Times New Roman;Times;serif" w:hAnsi="Times New Roman;Times;serif"/>
          <w:sz w:val="20"/>
        </w:rPr>
        <w:t xml:space="preserve">(c), (d), and (f) of the Stock Purchase Agreement. Megatran is now a wholly-owned subsidiary of the Company and, together with its wholly-owned subsidiaries and affiliates, is operated and reported as a component of its Grid business unit. On </w:t>
      </w:r>
      <w:r>
        <w:rPr>
          <w:rStyle w:val="Emphasis"/>
          <w:rFonts w:ascii="Times New Roman;Times;serif" w:hAnsi="Times New Roman;Times;serif"/>
          <w:sz w:val="20"/>
        </w:rPr>
        <w:t xml:space="preserve">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This amount is reflected as the change in fair value of this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As of </w:t>
      </w:r>
      <w:r>
        <w:rPr>
          <w:rStyle w:val="Emphasis"/>
          <w:rFonts w:ascii="Times New Roman;Times;serif" w:hAnsi="Times New Roman;Times;serif"/>
          <w:sz w:val="20"/>
        </w:rPr>
        <w:t xml:space="preserve">September 30, 2024, </w:t>
      </w:r>
      <w:r>
        <w:rPr>
          <w:rFonts w:ascii="Times New Roman;Times;serif" w:hAnsi="Times New Roman;Times;serif"/>
          <w:sz w:val="20"/>
        </w:rPr>
        <w:t>there are no remaining obligations to the selling stockholders of Megatran.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w:t>
      </w:r>
      <w:r>
        <w:rPr>
          <w:rFonts w:ascii="Times New Roman;Times;serif" w:hAnsi="Times New Roman;Times;serif"/>
          <w:i/>
          <w:sz w:val="20"/>
        </w:rPr>
        <w:t>Business Combinations</w:t>
      </w:r>
      <w:r>
        <w:rPr>
          <w:rFonts w:ascii="Times New Roman;Times;serif" w:hAnsi="Times New Roman;Times;serif"/>
          <w:sz w:val="20"/>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$61.4 million includes the fair value of shares of the Company’s common stock issued at closing, and cash paid, as follows (in millions):</w:t>
      </w:r>
    </w:p>
    <w:p>
      <w:pPr>
        <w:pStyle w:val="TextBody"/>
        <w:bidi w:val="0"/>
        <w:spacing w:before="0" w:after="0"/>
        <w:ind w:left="0" w:right="0" w:firstLine="720"/>
        <w:jc w:val="both"/>
        <w:rPr/>
      </w:pPr>
      <w:r>
        <w:rPr/>
        <w:t> </w:t>
      </w:r>
    </w:p>
    <w:tbl>
      <w:tblPr>
        <w:tblW w:w="6265" w:type="dxa"/>
        <w:jc w:val="left"/>
        <w:tblInd w:w="0" w:type="dxa"/>
        <w:tblLayout w:type="fixed"/>
        <w:tblCellMar>
          <w:top w:w="0" w:type="dxa"/>
          <w:left w:w="0" w:type="dxa"/>
          <w:bottom w:w="0" w:type="dxa"/>
          <w:right w:w="0" w:type="dxa"/>
        </w:tblCellMar>
      </w:tblPr>
      <w:tblGrid>
        <w:gridCol w:w="5705"/>
        <w:gridCol w:w="560"/>
      </w:tblGrid>
      <w:tr>
        <w:trPr/>
        <w:tc>
          <w:tcPr>
            <w:tcW w:w="5705" w:type="dxa"/>
            <w:tcBorders/>
            <w:shd w:fill="CCEEFF" w:val="clear"/>
            <w:vAlign w:val="center"/>
          </w:tcPr>
          <w:p>
            <w:pPr>
              <w:pStyle w:val="TableContents"/>
              <w:bidi w:val="0"/>
              <w:spacing w:before="0" w:after="283"/>
              <w:jc w:val="left"/>
              <w:rPr/>
            </w:pPr>
            <w:r>
              <w:rPr/>
              <w:t>Cash payments</w:t>
            </w:r>
          </w:p>
        </w:tc>
        <w:tc>
          <w:tcPr>
            <w:tcW w:w="560" w:type="dxa"/>
            <w:tcBorders/>
            <w:shd w:fill="CCEEFF" w:val="clear"/>
            <w:vAlign w:val="center"/>
          </w:tcPr>
          <w:p>
            <w:pPr>
              <w:pStyle w:val="TableContents"/>
              <w:bidi w:val="0"/>
              <w:spacing w:before="0" w:after="283"/>
              <w:jc w:val="left"/>
              <w:rPr/>
            </w:pPr>
            <w:r>
              <w:rPr/>
              <w:t>$30.0</w:t>
            </w:r>
          </w:p>
        </w:tc>
      </w:tr>
      <w:tr>
        <w:trPr/>
        <w:tc>
          <w:tcPr>
            <w:tcW w:w="5705" w:type="dxa"/>
            <w:tcBorders/>
            <w:shd w:fill="FFFFFF" w:val="clear"/>
            <w:vAlign w:val="center"/>
          </w:tcPr>
          <w:p>
            <w:pPr>
              <w:pStyle w:val="TableContents"/>
              <w:bidi w:val="0"/>
              <w:spacing w:before="0" w:after="283"/>
              <w:jc w:val="left"/>
              <w:rPr/>
            </w:pPr>
            <w:r>
              <w:rPr/>
              <w:t>Issuance of 1,297,600 shares of Company’s Common Stock</w:t>
            </w:r>
          </w:p>
        </w:tc>
        <w:tc>
          <w:tcPr>
            <w:tcW w:w="560" w:type="dxa"/>
            <w:tcBorders/>
            <w:shd w:fill="FFFFFF" w:val="clear"/>
            <w:vAlign w:val="center"/>
          </w:tcPr>
          <w:p>
            <w:pPr>
              <w:pStyle w:val="TableContents"/>
              <w:bidi w:val="0"/>
              <w:spacing w:before="0" w:after="283"/>
              <w:jc w:val="left"/>
              <w:rPr/>
            </w:pPr>
            <w:r>
              <w:rPr/>
              <w:t>$31.4</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At the Acquisition Date, in addition to the $30.0 million cash, the Company valued the Company’s common stock, using $24.16 per share, which was the closing price on the day prior to the day that the Company acquired Megatran. Acquisition costs of $0.9 million and $1.1 million were included in s</w:t>
      </w:r>
      <w:r>
        <w:rPr>
          <w:rFonts w:ascii="Times New Roman;Times;serif" w:hAnsi="Times New Roman;Times;serif"/>
          <w:sz w:val="20"/>
          <w:shd w:fill="FFFFFF" w:val="clear"/>
        </w:rPr>
        <w:t>elling, general and administrative ("SG&amp;A")</w:t>
      </w:r>
      <w:r>
        <w:rPr>
          <w:rFonts w:ascii="Times New Roman;Times;serif" w:hAnsi="Times New Roman;Times;serif"/>
          <w:sz w:val="20"/>
        </w:rPr>
        <w:t xml:space="preserv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2024, </w:t>
      </w:r>
      <w:r>
        <w:rPr>
          <w:rFonts w:ascii="Times New Roman;Times;serif" w:hAnsi="Times New Roman;Times;serif"/>
          <w:sz w:val="20"/>
        </w:rPr>
        <w:t>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Acquisition (in millions):</w:t>
      </w:r>
    </w:p>
    <w:p>
      <w:pPr>
        <w:pStyle w:val="TextBody"/>
        <w:bidi w:val="0"/>
        <w:spacing w:before="0" w:after="0"/>
        <w:ind w:left="0" w:right="0" w:firstLine="720"/>
        <w:jc w:val="both"/>
        <w:rPr/>
      </w:pPr>
      <w:r>
        <w:rPr/>
        <w:t> </w:t>
      </w:r>
    </w:p>
    <w:tbl>
      <w:tblPr>
        <w:tblW w:w="3995" w:type="dxa"/>
        <w:jc w:val="left"/>
        <w:tblInd w:w="0" w:type="dxa"/>
        <w:tblLayout w:type="fixed"/>
        <w:tblCellMar>
          <w:top w:w="0" w:type="dxa"/>
          <w:left w:w="0" w:type="dxa"/>
          <w:bottom w:w="0" w:type="dxa"/>
          <w:right w:w="0" w:type="dxa"/>
        </w:tblCellMar>
      </w:tblPr>
      <w:tblGrid>
        <w:gridCol w:w="3350"/>
        <w:gridCol w:w="60"/>
        <w:gridCol w:w="125"/>
        <w:gridCol w:w="380"/>
        <w:gridCol w:w="80"/>
      </w:tblGrid>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$16.1 million. The gross amount due is $16.9 million, of which $0.8 million is expected to be uncollectible.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$0.3 million in the </w:t>
      </w:r>
      <w:r>
        <w:rPr>
          <w:rStyle w:val="Emphasis"/>
          <w:rFonts w:ascii="Times New Roman;Times;serif" w:hAnsi="Times New Roman;Times;serif"/>
          <w:sz w:val="20"/>
        </w:rPr>
        <w:t>three</w:t>
      </w:r>
      <w:r>
        <w:rPr>
          <w:rFonts w:ascii="Times New Roman;Times;serif" w:hAnsi="Times New Roman;Times;serif"/>
          <w:sz w:val="20"/>
        </w:rPr>
        <w:t> month period ended </w:t>
      </w:r>
      <w:r>
        <w:rPr>
          <w:rStyle w:val="Emphasis"/>
          <w:rFonts w:ascii="Times New Roman;Times;serif" w:hAnsi="Times New Roman;Times;serif"/>
          <w:sz w:val="20"/>
        </w:rPr>
        <w:t xml:space="preserve"> September 30, 2024 </w:t>
      </w:r>
      <w:r>
        <w:rPr>
          <w:rFonts w:ascii="Times New Roman;Times;serif" w:hAnsi="Times New Roman;Times;serif"/>
          <w:sz w:val="20"/>
        </w:rPr>
        <w:t>as the inventory was sold.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$0.7 million was evaluated using the multi period excess earnings method under the income approach. The contracts with customers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an eight-month period with the expense being allocated to cost of revenues.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Customer relationships of $1.3 million relates to customers currently under contract and was determined based on a multi period excess earnings method under the income approach. The method of amortization being utilized is straight line over 10 years, as the results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different from the economic consumption method, with the expense being allocated to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value associated with the acquired workforce and expected synergies related to the business combination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companies. Goodwill resulting from the Acquisition was assigned to the Company’s Grid segment. Goodwill recognized in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This purchase price allocation is preliminary and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finalized as the analysis on the assets and liabilities acquired, primarily the tax related liability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require further adjustments to our purchase accounting that could result in a measurement period adjustment that would impact the Company's reported net assets and goodwill as of </w:t>
      </w:r>
      <w:r>
        <w:rPr>
          <w:rStyle w:val="Emphasis"/>
          <w:rFonts w:ascii="Times New Roman" w:hAnsi="Times New Roman"/>
          <w:caps w:val="false"/>
          <w:smallCaps w:val="false"/>
          <w:sz w:val="20"/>
        </w:rPr>
        <w:t xml:space="preserve">August 1, 2024. </w:t>
      </w:r>
      <w:r>
        <w:rPr>
          <w:rFonts w:ascii="Times New Roman" w:hAnsi="Times New Roman"/>
          <w:caps w:val="false"/>
          <w:smallCaps w:val="false"/>
          <w:sz w:val="20"/>
        </w:rPr>
        <w:t xml:space="preserve">Material changes, if any, to the preliminary allocation summarized above will be reported once the related uncertainties are resolved, but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The $6.4 million of deferred tax liability is primarily related to basis difference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presented as if the Acquisition had occurred on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960" w:type="dxa"/>
        <w:jc w:val="left"/>
        <w:tblInd w:w="0" w:type="dxa"/>
        <w:tblLayout w:type="fixed"/>
        <w:tblCellMar>
          <w:top w:w="0" w:type="dxa"/>
          <w:left w:w="0" w:type="dxa"/>
          <w:bottom w:w="0" w:type="dxa"/>
          <w:right w:w="0" w:type="dxa"/>
        </w:tblCellMar>
      </w:tblPr>
      <w:tblGrid>
        <w:gridCol w:w="2945"/>
        <w:gridCol w:w="60"/>
        <w:gridCol w:w="239"/>
        <w:gridCol w:w="1132"/>
        <w:gridCol w:w="115"/>
        <w:gridCol w:w="115"/>
        <w:gridCol w:w="239"/>
        <w:gridCol w:w="1132"/>
        <w:gridCol w:w="80"/>
        <w:gridCol w:w="60"/>
        <w:gridCol w:w="206"/>
        <w:gridCol w:w="1147"/>
        <w:gridCol w:w="132"/>
        <w:gridCol w:w="99"/>
        <w:gridCol w:w="206"/>
        <w:gridCol w:w="973"/>
        <w:gridCol w:w="8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58,722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118,032</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99,915</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common share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37,189</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37,950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37,189</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and Megatran with appropriate adjustments that give effect to acquisition related costs, income taxes, intangible amortization resulting from the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Acquisition and related transactions had been completed at the beginning of the applicable periods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unaudited consolidated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Megatran’s operations are included in the Company’s consolidated results from the date of Acquisition of </w:t>
      </w:r>
      <w:r>
        <w:rPr>
          <w:rStyle w:val="Emphasis"/>
          <w:rFonts w:ascii="Times New Roman" w:hAnsi="Times New Roman"/>
          <w:caps w:val="false"/>
          <w:smallCaps w:val="false"/>
          <w:sz w:val="20"/>
        </w:rPr>
        <w:t xml:space="preserve">August 1, 2024. </w:t>
      </w:r>
      <w:r>
        <w:rPr>
          <w:rFonts w:ascii="Times New Roman" w:hAnsi="Times New Roman"/>
          <w:caps w:val="false"/>
          <w:smallCaps w:val="false"/>
          <w:sz w:val="20"/>
        </w:rPr>
        <w:t xml:space="preserve">Megatran contributed $14.3 million of revenue and $2.1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Amortization expense of $0.2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 xml:space="preserve">as a result of the Megatran acquired intangible assets.  In addition, $0.3 million for the step-up basis assigned to acquired inventory was charged to cost of revenues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90% and 89% of revenue, respectively, was recognized at the point in time when control transferred to the customer, with the remainder being recognized over time.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79% and 78% of revenue, respectively,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March 31, 2024</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10029" w:type="dxa"/>
        <w:jc w:val="left"/>
        <w:tblInd w:w="0" w:type="dxa"/>
        <w:tblLayout w:type="fixed"/>
        <w:tblCellMar>
          <w:top w:w="0" w:type="dxa"/>
          <w:left w:w="0" w:type="dxa"/>
          <w:bottom w:w="0" w:type="dxa"/>
          <w:right w:w="0" w:type="dxa"/>
        </w:tblCellMar>
      </w:tblPr>
      <w:tblGrid>
        <w:gridCol w:w="3125"/>
        <w:gridCol w:w="60"/>
        <w:gridCol w:w="297"/>
        <w:gridCol w:w="1404"/>
        <w:gridCol w:w="142"/>
        <w:gridCol w:w="142"/>
        <w:gridCol w:w="297"/>
        <w:gridCol w:w="1154"/>
        <w:gridCol w:w="60"/>
        <w:gridCol w:w="60"/>
        <w:gridCol w:w="260"/>
        <w:gridCol w:w="1229"/>
        <w:gridCol w:w="125"/>
        <w:gridCol w:w="125"/>
        <w:gridCol w:w="260"/>
        <w:gridCol w:w="1229"/>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4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43,747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74,452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4,820</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43,479</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73,957</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15,483</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029" w:type="dxa"/>
        <w:jc w:val="left"/>
        <w:tblInd w:w="0" w:type="dxa"/>
        <w:tblLayout w:type="fixed"/>
        <w:tblCellMar>
          <w:top w:w="0" w:type="dxa"/>
          <w:left w:w="0" w:type="dxa"/>
          <w:bottom w:w="0" w:type="dxa"/>
          <w:right w:w="0" w:type="dxa"/>
        </w:tblCellMar>
      </w:tblPr>
      <w:tblGrid>
        <w:gridCol w:w="3125"/>
        <w:gridCol w:w="60"/>
        <w:gridCol w:w="297"/>
        <w:gridCol w:w="1404"/>
        <w:gridCol w:w="142"/>
        <w:gridCol w:w="142"/>
        <w:gridCol w:w="297"/>
        <w:gridCol w:w="1154"/>
        <w:gridCol w:w="60"/>
        <w:gridCol w:w="60"/>
        <w:gridCol w:w="260"/>
        <w:gridCol w:w="1229"/>
        <w:gridCol w:w="125"/>
        <w:gridCol w:w="125"/>
        <w:gridCol w:w="260"/>
        <w:gridCol w:w="1229"/>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 2023</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4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22,682</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45,808</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8,862</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8,443</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54,251</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10,007</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24,696</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47,856</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9,928</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54,251</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69"/>
        <w:gridCol w:w="1187"/>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57,829</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balance acquired</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5,049</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70,133</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(52,084</w:t>
            </w:r>
          </w:p>
        </w:tc>
        <w:tc>
          <w:tcPr>
            <w:tcW w:w="9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99" w:type="dxa"/>
            <w:tcBorders/>
            <w:shd w:fill="CCEEFF" w:val="clear"/>
            <w:vAlign w:val="center"/>
          </w:tcPr>
          <w:p>
            <w:pPr>
              <w:pStyle w:val="TableContents"/>
              <w:bidi w:val="0"/>
              <w:spacing w:before="0" w:after="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81,271</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290"/>
        <w:gridCol w:w="1522"/>
        <w:gridCol w:w="80"/>
        <w:gridCol w:w="60"/>
        <w:gridCol w:w="269"/>
        <w:gridCol w:w="1187"/>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50,760</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522"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34,284</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522"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(25,710</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9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59,046</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September 30, 2024</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$205.0 </w:t>
      </w:r>
      <w:r>
        <w:rPr>
          <w:rFonts w:ascii="Times New Roman;Times;serif" w:hAnsi="Times New Roman;Times;serif"/>
          <w:sz w:val="20"/>
          <w:shd w:fill="FFFFFF" w:val="clear"/>
        </w:rPr>
        <w:t>million</w:t>
      </w:r>
      <w:r>
        <w:rPr>
          <w:rFonts w:ascii="Times New Roman;Times;serif" w:hAnsi="Times New Roman;Times;serif"/>
          <w:sz w:val="20"/>
        </w:rPr>
        <w:t>. There are also approximately $102.3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w:t>
      </w:r>
    </w:p>
    <w:p>
      <w:pPr>
        <w:pStyle w:val="TextBody"/>
        <w:bidi w:val="0"/>
        <w:spacing w:before="0" w:after="0"/>
        <w:ind w:left="0" w:right="0" w:hanging="0"/>
        <w:jc w:val="left"/>
        <w:rPr/>
      </w:pPr>
      <w:r>
        <w:rPr/>
        <w:t> </w:t>
      </w:r>
    </w:p>
    <w:tbl>
      <w:tblPr>
        <w:tblW w:w="6655" w:type="dxa"/>
        <w:jc w:val="left"/>
        <w:tblInd w:w="0" w:type="dxa"/>
        <w:tblLayout w:type="fixed"/>
        <w:tblCellMar>
          <w:top w:w="0" w:type="dxa"/>
          <w:left w:w="0" w:type="dxa"/>
          <w:bottom w:w="0" w:type="dxa"/>
          <w:right w:w="0" w:type="dxa"/>
        </w:tblCellMar>
      </w:tblPr>
      <w:tblGrid>
        <w:gridCol w:w="1910"/>
        <w:gridCol w:w="950"/>
        <w:gridCol w:w="60"/>
        <w:gridCol w:w="96"/>
        <w:gridCol w:w="803"/>
        <w:gridCol w:w="297"/>
        <w:gridCol w:w="96"/>
        <w:gridCol w:w="96"/>
        <w:gridCol w:w="369"/>
        <w:gridCol w:w="185"/>
        <w:gridCol w:w="60"/>
        <w:gridCol w:w="68"/>
        <w:gridCol w:w="567"/>
        <w:gridCol w:w="210"/>
        <w:gridCol w:w="68"/>
        <w:gridCol w:w="68"/>
        <w:gridCol w:w="567"/>
        <w:gridCol w:w="185"/>
      </w:tblGrid>
      <w:tr>
        <w:trPr/>
        <w:tc>
          <w:tcPr>
            <w:tcW w:w="191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185"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9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3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Gray Construction, Inc.</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&lt;10%</w:t>
            </w:r>
          </w:p>
        </w:tc>
        <w:tc>
          <w:tcPr>
            <w:tcW w:w="297"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&lt;10%</w:t>
            </w:r>
          </w:p>
        </w:tc>
        <w:tc>
          <w:tcPr>
            <w:tcW w:w="21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&lt;10%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8828" w:type="dxa"/>
        <w:jc w:val="left"/>
        <w:tblInd w:w="0" w:type="dxa"/>
        <w:tblLayout w:type="fixed"/>
        <w:tblCellMar>
          <w:top w:w="0" w:type="dxa"/>
          <w:left w:w="0" w:type="dxa"/>
          <w:bottom w:w="0" w:type="dxa"/>
          <w:right w:w="0" w:type="dxa"/>
        </w:tblCellMar>
      </w:tblPr>
      <w:tblGrid>
        <w:gridCol w:w="2855"/>
        <w:gridCol w:w="60"/>
        <w:gridCol w:w="312"/>
        <w:gridCol w:w="837"/>
        <w:gridCol w:w="150"/>
        <w:gridCol w:w="150"/>
        <w:gridCol w:w="312"/>
        <w:gridCol w:w="1212"/>
        <w:gridCol w:w="60"/>
        <w:gridCol w:w="60"/>
        <w:gridCol w:w="257"/>
        <w:gridCol w:w="1000"/>
        <w:gridCol w:w="123"/>
        <w:gridCol w:w="123"/>
        <w:gridCol w:w="257"/>
        <w:gridCol w:w="1000"/>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sz w:val="20"/>
              </w:rPr>
            </w:pPr>
            <w:r>
              <w:rPr>
                <w:sz w:val="20"/>
              </w:rPr>
              <w:t>$</w:t>
            </w:r>
          </w:p>
        </w:tc>
        <w:tc>
          <w:tcPr>
            <w:tcW w:w="837" w:type="dxa"/>
            <w:tcBorders/>
            <w:shd w:fill="CCEEFF" w:val="clear"/>
            <w:vAlign w:val="center"/>
          </w:tcPr>
          <w:p>
            <w:pPr>
              <w:pStyle w:val="TableContents"/>
              <w:bidi w:val="0"/>
              <w:spacing w:before="0" w:after="283"/>
              <w:ind w:left="0" w:right="0" w:hanging="0"/>
              <w:jc w:val="right"/>
              <w:rPr>
                <w:sz w:val="20"/>
              </w:rPr>
            </w:pPr>
            <w:r>
              <w:rPr>
                <w:sz w:val="20"/>
              </w:rPr>
              <w:t>39</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sz w:val="20"/>
              </w:rPr>
            </w:pPr>
            <w:r>
              <w:rPr>
                <w:sz w:val="20"/>
              </w:rPr>
              <w:t>$</w:t>
            </w:r>
          </w:p>
        </w:tc>
        <w:tc>
          <w:tcPr>
            <w:tcW w:w="1212" w:type="dxa"/>
            <w:tcBorders/>
            <w:shd w:fill="CCEEFF" w:val="clear"/>
            <w:vAlign w:val="center"/>
          </w:tcPr>
          <w:p>
            <w:pPr>
              <w:pStyle w:val="TableContents"/>
              <w:bidi w:val="0"/>
              <w:spacing w:before="0" w:after="283"/>
              <w:ind w:left="0" w:right="0" w:hanging="0"/>
              <w:jc w:val="right"/>
              <w:rPr>
                <w:sz w:val="20"/>
              </w:rPr>
            </w:pPr>
            <w:r>
              <w:rPr>
                <w:sz w:val="20"/>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sz w:val="20"/>
              </w:rPr>
            </w:pPr>
            <w:r>
              <w:rPr>
                <w:sz w:val="20"/>
              </w:rPr>
              <w:t>$</w:t>
            </w:r>
          </w:p>
        </w:tc>
        <w:tc>
          <w:tcPr>
            <w:tcW w:w="1000" w:type="dxa"/>
            <w:tcBorders/>
            <w:shd w:fill="CCEEFF" w:val="clear"/>
            <w:vAlign w:val="center"/>
          </w:tcPr>
          <w:p>
            <w:pPr>
              <w:pStyle w:val="TableContents"/>
              <w:bidi w:val="0"/>
              <w:spacing w:before="0" w:after="283"/>
              <w:ind w:left="0" w:right="0" w:hanging="0"/>
              <w:jc w:val="right"/>
              <w:rPr>
                <w:sz w:val="20"/>
              </w:rPr>
            </w:pPr>
            <w:r>
              <w:rPr>
                <w:sz w:val="20"/>
              </w:rPr>
              <w:t>97</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sz w:val="20"/>
              </w:rPr>
            </w:pPr>
            <w:r>
              <w:rPr>
                <w:sz w:val="20"/>
              </w:rPr>
              <w:t>$</w:t>
            </w:r>
          </w:p>
        </w:tc>
        <w:tc>
          <w:tcPr>
            <w:tcW w:w="1000" w:type="dxa"/>
            <w:tcBorders/>
            <w:shd w:fill="CCEEFF" w:val="clear"/>
            <w:vAlign w:val="center"/>
          </w:tcPr>
          <w:p>
            <w:pPr>
              <w:pStyle w:val="TableContents"/>
              <w:bidi w:val="0"/>
              <w:spacing w:before="0" w:after="283"/>
              <w:ind w:left="0" w:right="0" w:hanging="0"/>
              <w:jc w:val="right"/>
              <w:rPr>
                <w:sz w:val="20"/>
              </w:rPr>
            </w:pPr>
            <w:r>
              <w:rPr>
                <w:sz w:val="20"/>
              </w:rPr>
              <w:t>169</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sz w:val="20"/>
              </w:rPr>
            </w:pPr>
            <w:r>
              <w:rPr>
                <w:sz w:val="20"/>
              </w:rPr>
              <w:t>113</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sz w:val="20"/>
              </w:rPr>
            </w:pPr>
            <w:r>
              <w:rPr>
                <w:sz w:val="20"/>
              </w:rPr>
              <w:t>256</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sz w:val="20"/>
              </w:rPr>
            </w:pPr>
            <w:r>
              <w:rPr>
                <w:sz w:val="20"/>
              </w:rPr>
              <w:t>311</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691</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1,719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1,988</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843</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2,072</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817,500 shares and 842,500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xml:space="preserve">, respectively. The Company issued no shares and 19,200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respectively. The Company issued 9,000 shares and 681,500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respectively. No shares of immediately vested common stock were issued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2023</w:t>
      </w:r>
      <w:r>
        <w:rPr>
          <w:rFonts w:ascii="Times New Roman;Times;serif" w:hAnsi="Times New Roman;Times;serif"/>
          <w:sz w:val="20"/>
        </w:rPr>
        <w:t> and 53,675 shares of immediately vested common stock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no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September 30, 2024</w:t>
      </w:r>
      <w:r>
        <w:rPr>
          <w:rFonts w:ascii="Times New Roman;Times;serif" w:hAnsi="Times New Roman;Times;serif"/>
          <w:sz w:val="20"/>
          <w:shd w:fill="FFFFFF" w:val="clear"/>
        </w:rPr>
        <w:t xml:space="preserve">. The total unrecognized compensation cost for unvested outstanding restricted stock was </w:t>
      </w:r>
      <w:r>
        <w:rPr>
          <w:rFonts w:ascii="Times New Roman;Times;serif" w:hAnsi="Times New Roman;Times;serif"/>
          <w:sz w:val="20"/>
        </w:rPr>
        <w:t>$17.8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shd w:fill="FFFFFF" w:val="clear"/>
        </w:rPr>
        <w:t>. This expense will be recognized over a weighted-average expense period of approximately 1.8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(Loss) per Common Share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income (loss) per share (“EPS”) is computed by dividing net income (loss)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xml:space="preserve">, 535,001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526,333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Of the remaining shares, 652 shares relate to outstanding stock awards that were considered anti-dilutive, and 8,016 shares related to ESPP shares and were excluded as they were considered anti-dilutive.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xml:space="preserve">, 479,341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469,667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Of the remaining shares, 326 shares relate to outstanding stock awards that were considered anti-dilutive, and 9,348 shares related to ESPP shares and were excluded as they were considered anti-dilutive.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1,036,206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w:t>
      </w:r>
      <w:r>
        <w:rPr>
          <w:rFonts w:ascii="Times New Roman;Times;serif" w:hAnsi="Times New Roman;Times;serif"/>
          <w:sz w:val="20"/>
          <w:shd w:fill="FFFFFF" w:val="clear"/>
        </w:rPr>
        <w:t> 1,000,000 </w:t>
      </w:r>
      <w:r>
        <w:rPr>
          <w:rFonts w:ascii="Times New Roman;Times;serif" w:hAnsi="Times New Roman;Times;serif"/>
          <w:sz w:val="20"/>
        </w:rPr>
        <w:t xml:space="preserve">relate to shares associated with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xml:space="preserve"> yet been met, and 36,206 relate to outstanding stock options as they were considered anti-dilutive. </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37"/>
        <w:gridCol w:w="60"/>
        <w:gridCol w:w="229"/>
        <w:gridCol w:w="1087"/>
        <w:gridCol w:w="147"/>
        <w:gridCol w:w="110"/>
        <w:gridCol w:w="229"/>
        <w:gridCol w:w="1087"/>
        <w:gridCol w:w="80"/>
        <w:gridCol w:w="60"/>
        <w:gridCol w:w="214"/>
        <w:gridCol w:w="1013"/>
        <w:gridCol w:w="136"/>
        <w:gridCol w:w="102"/>
        <w:gridCol w:w="214"/>
        <w:gridCol w:w="1013"/>
        <w:gridCol w:w="87"/>
      </w:tblGrid>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3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37,931</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37,463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29,996</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subject to repurchase</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(979</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(1,146</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36,952</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36,317</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28,545</w:t>
            </w:r>
          </w:p>
        </w:tc>
        <w:tc>
          <w:tcPr>
            <w:tcW w:w="87"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37,499</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36,951</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28,545</w:t>
            </w:r>
          </w:p>
        </w:tc>
        <w:tc>
          <w:tcPr>
            <w:tcW w:w="87"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0.13</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0.13</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(0.28</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144" w:right="144" w:firstLine="54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The Company's goodwill balance relates to the Megatran Acquisition in fiscal </w:t>
      </w:r>
      <w:r>
        <w:rPr>
          <w:rStyle w:val="Emphasis"/>
          <w:rFonts w:ascii="Times New Roman;Times;serif" w:hAnsi="Times New Roman;Times;serif"/>
          <w:sz w:val="20"/>
        </w:rPr>
        <w:t>2024,</w:t>
      </w:r>
      <w:r>
        <w:rPr>
          <w:rFonts w:ascii="Times New Roman;Times;serif" w:hAnsi="Times New Roman;Times;serif"/>
          <w:sz w:val="20"/>
        </w:rPr>
        <w:t xml:space="preserve"> the Neeltran acquisition in fiscal </w:t>
      </w:r>
      <w:r>
        <w:rPr>
          <w:rStyle w:val="Emphasis"/>
          <w:rFonts w:ascii="Times New Roman;Times;serif" w:hAnsi="Times New Roman;Times;serif"/>
          <w:sz w:val="20"/>
        </w:rPr>
        <w:t>2021</w:t>
      </w:r>
      <w:r>
        <w:rPr>
          <w:rFonts w:ascii="Times New Roman;Times;serif" w:hAnsi="Times New Roman;Times;serif"/>
          <w:i/>
          <w:sz w:val="20"/>
        </w:rPr>
        <w:t>,</w:t>
      </w:r>
      <w:r>
        <w:rPr>
          <w:rFonts w:ascii="Times New Roman;Times;serif" w:hAnsi="Times New Roman;Times;serif"/>
          <w:sz w:val="20"/>
        </w:rPr>
        <w:t> the Northeast Power Systems, Inc. ("NEPSI") acquisition in fiscal </w:t>
      </w:r>
      <w:r>
        <w:rPr>
          <w:rStyle w:val="Emphasis"/>
          <w:rFonts w:ascii="Times New Roman;Times;serif" w:hAnsi="Times New Roman;Times;serif"/>
          <w:sz w:val="20"/>
        </w:rPr>
        <w:t>2020</w:t>
      </w:r>
      <w:r>
        <w:rPr>
          <w:rFonts w:ascii="Times New Roman;Times;serif" w:hAnsi="Times New Roman;Times;serif"/>
          <w:i/>
          <w:sz w:val="20"/>
        </w:rPr>
        <w:t>,</w:t>
      </w:r>
      <w:r>
        <w:rPr>
          <w:rFonts w:ascii="Times New Roman;Times;serif" w:hAnsi="Times New Roman;Times;serif"/>
          <w:sz w:val="20"/>
        </w:rPr>
        <w:t> and the acquisition of Infinia Technology Corporation in fiscal </w:t>
      </w:r>
      <w:r>
        <w:rPr>
          <w:rStyle w:val="Emphasis"/>
          <w:rFonts w:ascii="Times New Roman;Times;serif" w:hAnsi="Times New Roman;Times;serif"/>
          <w:sz w:val="20"/>
        </w:rPr>
        <w:t>2017</w:t>
      </w:r>
      <w:r>
        <w:rPr>
          <w:rFonts w:ascii="Times New Roman;Times;serif" w:hAnsi="Times New Roman;Times;serif"/>
          <w:sz w:val="20"/>
        </w:rPr>
        <w:t xml:space="preserve"> and is reported in the Grid business segment.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There were </w:t>
      </w:r>
      <w:r>
        <w:rPr>
          <w:rStyle w:val="Emphasis"/>
          <w:rFonts w:ascii="Times New Roman;Times;serif" w:hAnsi="Times New Roman;Times;serif"/>
          <w:sz w:val="20"/>
        </w:rPr>
        <w:t>no</w:t>
      </w:r>
      <w:r>
        <w:rPr>
          <w:rFonts w:ascii="Times New Roman;Times;serif" w:hAnsi="Times New Roman;Times;serif"/>
          <w:sz w:val="20"/>
        </w:rPr>
        <w:t xml:space="preserve"> changes to goodwill during the year ended </w:t>
      </w:r>
      <w:r>
        <w:rPr>
          <w:rStyle w:val="Emphasis"/>
          <w:rFonts w:ascii="Times New Roman;Times;serif" w:hAnsi="Times New Roman;Times;serif"/>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2710" w:type="dxa"/>
        <w:jc w:val="left"/>
        <w:tblInd w:w="0" w:type="dxa"/>
        <w:tblLayout w:type="fixed"/>
        <w:tblCellMar>
          <w:top w:w="0" w:type="dxa"/>
          <w:left w:w="0" w:type="dxa"/>
          <w:bottom w:w="0" w:type="dxa"/>
          <w:right w:w="0" w:type="dxa"/>
        </w:tblCellMar>
      </w:tblPr>
      <w:tblGrid>
        <w:gridCol w:w="1805"/>
        <w:gridCol w:w="60"/>
        <w:gridCol w:w="137"/>
        <w:gridCol w:w="648"/>
        <w:gridCol w:w="6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43,471</w:t>
            </w:r>
          </w:p>
        </w:tc>
        <w:tc>
          <w:tcPr>
            <w:tcW w:w="6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Megatran Acquisition</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5,479</w:t>
            </w:r>
          </w:p>
        </w:tc>
        <w:tc>
          <w:tcPr>
            <w:tcW w:w="6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Company did not record impairment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that would require interim impairment testing of goodwill.</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September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15"/>
        <w:gridCol w:w="60"/>
        <w:gridCol w:w="154"/>
        <w:gridCol w:w="726"/>
        <w:gridCol w:w="60"/>
        <w:gridCol w:w="60"/>
        <w:gridCol w:w="243"/>
        <w:gridCol w:w="1270"/>
        <w:gridCol w:w="80"/>
        <w:gridCol w:w="60"/>
        <w:gridCol w:w="177"/>
        <w:gridCol w:w="687"/>
        <w:gridCol w:w="60"/>
        <w:gridCol w:w="60"/>
        <w:gridCol w:w="154"/>
        <w:gridCol w:w="726"/>
        <w:gridCol w:w="60"/>
        <w:gridCol w:w="60"/>
        <w:gridCol w:w="243"/>
        <w:gridCol w:w="1270"/>
        <w:gridCol w:w="80"/>
        <w:gridCol w:w="60"/>
        <w:gridCol w:w="177"/>
        <w:gridCol w:w="687"/>
        <w:gridCol w:w="60"/>
        <w:gridCol w:w="60"/>
        <w:gridCol w:w="244"/>
        <w:gridCol w:w="945"/>
        <w:gridCol w:w="67"/>
      </w:tblGrid>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Estimated Useful Life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sz w:val="20"/>
              </w:rPr>
            </w:pPr>
            <w:r>
              <w:rPr>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sz w:val="20"/>
              </w:rPr>
            </w:pPr>
            <w:r>
              <w:rPr>
                <w:sz w:val="20"/>
              </w:rPr>
              <w:t>(856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sz w:val="20"/>
              </w:rPr>
            </w:pPr>
            <w:r>
              <w:rPr>
                <w:sz w:val="20"/>
              </w:rPr>
              <w:t>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sz w:val="20"/>
              </w:rPr>
            </w:pPr>
            <w:r>
              <w:rPr>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sz w:val="20"/>
              </w:rPr>
            </w:pPr>
            <w:r>
              <w:rPr>
                <w:sz w:val="20"/>
              </w:rPr>
              <w:t>(681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sz w:val="20"/>
              </w:rPr>
            </w:pPr>
            <w:r>
              <w:rPr>
                <w:sz w:val="20"/>
              </w:rPr>
              <w:t>2</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sz w:val="20"/>
              </w:rPr>
            </w:pPr>
            <w:r>
              <w:rPr>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sz w:val="20"/>
              </w:rPr>
            </w:pPr>
            <w:r>
              <w:rPr>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sz w:val="20"/>
              </w:rPr>
            </w:pPr>
            <w:r>
              <w:rPr>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27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sz w:val="20"/>
              </w:rPr>
            </w:pPr>
            <w:r>
              <w:rPr>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Indefinite</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sz w:val="20"/>
              </w:rPr>
            </w:pPr>
            <w:r>
              <w:rPr>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sz w:val="20"/>
              </w:rPr>
            </w:pPr>
            <w:r>
              <w:rPr>
                <w:sz w:val="20"/>
              </w:rPr>
              <w:t>(7,253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sz w:val="20"/>
              </w:rPr>
            </w:pPr>
            <w:r>
              <w:rPr>
                <w:sz w:val="20"/>
              </w:rPr>
              <w:t>3,627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sz w:val="20"/>
              </w:rPr>
            </w:pPr>
            <w:r>
              <w:rPr>
                <w:sz w:val="20"/>
              </w:rPr>
              <w:t>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270" w:type="dxa"/>
            <w:tcBorders/>
            <w:shd w:fill="CCEEFF" w:val="clear"/>
            <w:vAlign w:val="center"/>
          </w:tcPr>
          <w:p>
            <w:pPr>
              <w:pStyle w:val="TableContents"/>
              <w:bidi w:val="0"/>
              <w:spacing w:before="0" w:after="283"/>
              <w:ind w:left="0" w:right="0" w:hanging="0"/>
              <w:jc w:val="right"/>
              <w:rPr>
                <w:sz w:val="20"/>
              </w:rPr>
            </w:pPr>
            <w:r>
              <w:rPr>
                <w:sz w:val="20"/>
              </w:rPr>
              <w:t>(6,649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sz w:val="20"/>
              </w:rPr>
            </w:pPr>
            <w:r>
              <w:rPr>
                <w:sz w:val="20"/>
              </w:rPr>
              <w:t>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center"/>
              <w:rPr>
                <w:sz w:val="20"/>
              </w:rPr>
            </w:pPr>
            <w:r>
              <w:rPr>
                <w:sz w:val="20"/>
              </w:rPr>
              <w:t>7-10</w:t>
            </w:r>
          </w:p>
        </w:tc>
        <w:tc>
          <w:tcPr>
            <w:tcW w:w="67" w:type="dxa"/>
            <w:tcBorders/>
            <w:shd w:fill="CCEEFF" w:val="clear"/>
            <w:vAlign w:val="center"/>
          </w:tcPr>
          <w:p>
            <w:pPr>
              <w:pStyle w:val="TableContents"/>
              <w:bidi w:val="0"/>
              <w:spacing w:before="0" w:after="283"/>
              <w:jc w:val="left"/>
              <w:rPr/>
            </w:pPr>
            <w:r>
              <w:rPr/>
              <w:t> </w:t>
            </w:r>
          </w:p>
        </w:tc>
      </w:tr>
      <w:tr>
        <w:trPr/>
        <w:tc>
          <w:tcPr>
            <w:tcW w:w="16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(4,593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(4,352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center"/>
              <w:rPr>
                <w:sz w:val="20"/>
              </w:rPr>
            </w:pPr>
            <w:r>
              <w:rPr>
                <w:sz w:val="20"/>
              </w:rPr>
              <w:t>5-10</w:t>
            </w:r>
          </w:p>
        </w:tc>
        <w:tc>
          <w:tcPr>
            <w:tcW w:w="67" w:type="dxa"/>
            <w:tcBorders/>
            <w:shd w:fill="FFFFFF" w:val="clear"/>
            <w:vAlign w:val="center"/>
          </w:tcPr>
          <w:p>
            <w:pPr>
              <w:pStyle w:val="TableContents"/>
              <w:bidi w:val="0"/>
              <w:spacing w:before="0" w:after="283"/>
              <w:jc w:val="left"/>
              <w:rPr/>
            </w:pPr>
            <w:r>
              <w:rPr/>
              <w:t> </w:t>
            </w:r>
          </w:p>
        </w:tc>
      </w:tr>
      <w:tr>
        <w:trPr/>
        <w:tc>
          <w:tcPr>
            <w:tcW w:w="161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(12,702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(11,682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$0.4 million and $0.8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shd w:fill="FFFFFF" w:val="clear"/>
        </w:rPr>
        <w:t>, respectively. The Company recorded intangible amortization expense related to customer relationship and core technology and know-how of $0.5 million and $1.1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shd w:fill="FFFFFF" w:val="clear"/>
        </w:rPr>
        <w:t>, respectively. </w:t>
      </w:r>
      <w:r>
        <w:rPr>
          <w:rFonts w:ascii="Times New Roman;Times;serif" w:hAnsi="Times New Roman;Times;serif"/>
          <w:sz w:val="20"/>
        </w:rPr>
        <w:t>The Company recorded $0.2 million of intangible amortization in cost of revenue related to backlog during both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w:t>
      </w:r>
      <w:r>
        <w:rPr>
          <w:rFonts w:ascii="Times New Roman;Times;serif" w:hAnsi="Times New Roman;Times;serif"/>
          <w:sz w:val="20"/>
        </w:rPr>
        <w:t>months ended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The Company recorded no amortization expense related to backlog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and less than $0.1 million related to backlog was reported in cost of revenues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September 30, 2023</w:t>
      </w:r>
      <w:r>
        <w:rPr>
          <w:rFonts w:ascii="Times New Roman;Times;serif" w:hAnsi="Times New Roman;Times;serif"/>
          <w:sz w:val="20"/>
          <w:shd w:fill="FFFFFF" w:val="clear"/>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1,349</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certificates of deposits and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related to the earnout payment set forth in the NEPSI Stock Purchase Agreement governing the acquisition of NEPSI provided that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have received up to an additional 1,000,000 shares of common stock of the Company upon the achievement of certain specified revenue objectives over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the NEPSI acquisition date which must have occurred by </w:t>
      </w:r>
      <w:r>
        <w:rPr>
          <w:rStyle w:val="Emphasis"/>
          <w:rFonts w:ascii="Times New Roman;Times;serif" w:hAnsi="Times New Roman;Times;serif"/>
          <w:sz w:val="20"/>
        </w:rPr>
        <w:t>September 30, 2024.</w:t>
      </w:r>
      <w:r>
        <w:rPr>
          <w:rFonts w:ascii="Times New Roman;Times;serif" w:hAnsi="Times New Roman;Times;serif"/>
          <w:sz w:val="20"/>
        </w:rPr>
        <w:t> Contingent consideration related to the make whole payment set forth in the Megatran Stock Purchase Agreement provided that the selling stockholders would be made whole for any costs or taxes as a result of the orderly distribution process.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15</w:t>
      </w:r>
      <w:r>
        <w:rPr>
          <w:rFonts w:ascii="Times New Roman;Times;serif" w:hAnsi="Times New Roman;Times;serif"/>
          <w:sz w:val="20"/>
        </w:rPr>
        <w:t xml:space="preserve">, "Contingent Consideration" for further discussion. As of </w:t>
      </w:r>
      <w:r>
        <w:rPr>
          <w:rStyle w:val="Emphasis"/>
          <w:rFonts w:ascii="Times New Roman;Times;serif" w:hAnsi="Times New Roman;Times;serif"/>
          <w:sz w:val="20"/>
        </w:rPr>
        <w:t xml:space="preserve">September 30, 2024, </w:t>
      </w:r>
      <w:r>
        <w:rPr>
          <w:rFonts w:ascii="Times New Roman;Times;serif" w:hAnsi="Times New Roman;Times;serif"/>
          <w:sz w:val="20"/>
        </w:rPr>
        <w:t>the Company has settled all outstanding contingent consideration.</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556"/>
        <w:gridCol w:w="60"/>
        <w:gridCol w:w="226"/>
        <w:gridCol w:w="1076"/>
        <w:gridCol w:w="60"/>
        <w:gridCol w:w="60"/>
        <w:gridCol w:w="371"/>
        <w:gridCol w:w="1755"/>
        <w:gridCol w:w="60"/>
        <w:gridCol w:w="60"/>
        <w:gridCol w:w="776"/>
        <w:gridCol w:w="1618"/>
        <w:gridCol w:w="60"/>
        <w:gridCol w:w="60"/>
        <w:gridCol w:w="759"/>
        <w:gridCol w:w="1583"/>
        <w:gridCol w:w="65"/>
      </w:tblGrid>
      <w:tr>
        <w:trPr/>
        <w:tc>
          <w:tcPr>
            <w:tcW w:w="15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5" w:type="dxa"/>
            <w:tcBorders/>
            <w:shd w:fill="FFFFFF" w:val="clear"/>
            <w:vAlign w:val="center"/>
          </w:tcPr>
          <w:p>
            <w:pPr>
              <w:pStyle w:val="TableContents"/>
              <w:bidi w:val="0"/>
              <w:spacing w:before="0" w:after="283"/>
              <w:jc w:val="left"/>
              <w:rPr/>
            </w:pPr>
            <w:r>
              <w:rPr/>
              <w:t> </w:t>
            </w:r>
          </w:p>
        </w:tc>
      </w:tr>
      <w:tr>
        <w:trPr/>
        <w:tc>
          <w:tcPr>
            <w:tcW w:w="1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2024:</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5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556"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8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60"/>
        <w:gridCol w:w="225"/>
        <w:gridCol w:w="1069"/>
        <w:gridCol w:w="60"/>
        <w:gridCol w:w="60"/>
        <w:gridCol w:w="368"/>
        <w:gridCol w:w="1737"/>
        <w:gridCol w:w="60"/>
        <w:gridCol w:w="60"/>
        <w:gridCol w:w="769"/>
        <w:gridCol w:w="1604"/>
        <w:gridCol w:w="60"/>
        <w:gridCol w:w="60"/>
        <w:gridCol w:w="474"/>
        <w:gridCol w:w="1850"/>
        <w:gridCol w:w="64"/>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2024</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w:t>
      </w:r>
    </w:p>
    <w:p>
      <w:pPr>
        <w:pStyle w:val="TextBody"/>
        <w:bidi w:val="0"/>
        <w:spacing w:before="0" w:after="0"/>
        <w:ind w:left="144"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2879"/>
        <w:gridCol w:w="60"/>
        <w:gridCol w:w="634"/>
        <w:gridCol w:w="2779"/>
        <w:gridCol w:w="80"/>
        <w:gridCol w:w="60"/>
        <w:gridCol w:w="674"/>
        <w:gridCol w:w="2956"/>
        <w:gridCol w:w="83"/>
      </w:tblGrid>
      <w:tr>
        <w:trPr/>
        <w:tc>
          <w:tcPr>
            <w:tcW w:w="28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NEPSI Acquisition Contingent Consideration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Megatran Acquisition Contingent Consideration</w:t>
            </w:r>
          </w:p>
        </w:tc>
        <w:tc>
          <w:tcPr>
            <w:tcW w:w="83" w:type="dxa"/>
            <w:tcBorders/>
            <w:shd w:fill="FFFFFF" w:val="clear"/>
            <w:vAlign w:val="center"/>
          </w:tcPr>
          <w:p>
            <w:pPr>
              <w:pStyle w:val="TableContents"/>
              <w:bidi w:val="0"/>
              <w:spacing w:before="0" w:after="283"/>
              <w:jc w:val="left"/>
              <w:rPr/>
            </w:pPr>
            <w:r>
              <w:rPr/>
              <w:t> </w:t>
            </w:r>
          </w:p>
        </w:tc>
      </w:tr>
      <w:tr>
        <w:trPr/>
        <w:tc>
          <w:tcPr>
            <w:tcW w:w="28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6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6"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8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ind w:left="0" w:right="0" w:hanging="0"/>
              <w:jc w:val="left"/>
              <w:rPr/>
            </w:pPr>
            <w:r>
              <w:rPr/>
              <w:t> </w:t>
            </w:r>
          </w:p>
        </w:tc>
        <w:tc>
          <w:tcPr>
            <w:tcW w:w="2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ind w:left="0" w:right="0" w:hanging="0"/>
              <w:jc w:val="left"/>
              <w:rPr/>
            </w:pPr>
            <w:r>
              <w:rPr/>
              <w:t> </w:t>
            </w:r>
          </w:p>
        </w:tc>
        <w:tc>
          <w:tcPr>
            <w:tcW w:w="295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28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contingent consideration</w:t>
            </w:r>
          </w:p>
        </w:tc>
        <w:tc>
          <w:tcPr>
            <w:tcW w:w="60"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8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ind w:left="0" w:right="0" w:hanging="0"/>
              <w:jc w:val="left"/>
              <w:rPr/>
            </w:pPr>
            <w:r>
              <w:rPr/>
              <w:t> </w:t>
            </w:r>
          </w:p>
        </w:tc>
        <w:tc>
          <w:tcPr>
            <w:tcW w:w="2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ind w:left="0" w:right="0" w:hanging="0"/>
              <w:jc w:val="left"/>
              <w:rPr/>
            </w:pPr>
            <w:r>
              <w:rPr/>
              <w:t> </w:t>
            </w:r>
          </w:p>
        </w:tc>
        <w:tc>
          <w:tcPr>
            <w:tcW w:w="295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28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ind w:left="0" w:right="0" w:hanging="0"/>
              <w:jc w:val="left"/>
              <w:rPr/>
            </w:pPr>
            <w:r>
              <w:rPr/>
              <w:t> </w:t>
            </w:r>
          </w:p>
        </w:tc>
        <w:tc>
          <w:tcPr>
            <w:tcW w:w="2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ind w:left="0" w:right="0" w:hanging="0"/>
              <w:jc w:val="left"/>
              <w:rPr/>
            </w:pPr>
            <w:r>
              <w:rPr/>
              <w:t> </w:t>
            </w:r>
          </w:p>
        </w:tc>
        <w:tc>
          <w:tcPr>
            <w:tcW w:w="2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w:t>
            </w:r>
          </w:p>
        </w:tc>
        <w:tc>
          <w:tcPr>
            <w:tcW w:w="83" w:type="dxa"/>
            <w:tcBorders/>
            <w:shd w:fill="CCEEFF" w:val="clear"/>
            <w:vAlign w:val="center"/>
          </w:tcPr>
          <w:p>
            <w:pPr>
              <w:pStyle w:val="TableContents"/>
              <w:bidi w:val="0"/>
              <w:spacing w:before="0" w:after="283"/>
              <w:jc w:val="left"/>
              <w:rPr/>
            </w:pPr>
            <w:r>
              <w:rPr/>
              <w:t> </w:t>
            </w:r>
          </w:p>
        </w:tc>
      </w:tr>
      <w:tr>
        <w:trPr/>
        <w:tc>
          <w:tcPr>
            <w:tcW w:w="28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contingent consideration</w:t>
            </w:r>
          </w:p>
        </w:tc>
        <w:tc>
          <w:tcPr>
            <w:tcW w:w="60" w:type="dxa"/>
            <w:tcBorders/>
            <w:shd w:fill="FFFFFF" w:val="clear"/>
            <w:vAlign w:val="center"/>
          </w:tcPr>
          <w:p>
            <w:pPr>
              <w:pStyle w:val="TableContents"/>
              <w:bidi w:val="0"/>
              <w:spacing w:before="0" w:after="283"/>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758" w:type="dxa"/>
        <w:jc w:val="left"/>
        <w:tblInd w:w="0" w:type="dxa"/>
        <w:tblLayout w:type="fixed"/>
        <w:tblCellMar>
          <w:top w:w="0" w:type="dxa"/>
          <w:left w:w="0" w:type="dxa"/>
          <w:bottom w:w="0" w:type="dxa"/>
          <w:right w:w="0" w:type="dxa"/>
        </w:tblCellMar>
      </w:tblPr>
      <w:tblGrid>
        <w:gridCol w:w="2525"/>
        <w:gridCol w:w="60"/>
        <w:gridCol w:w="288"/>
        <w:gridCol w:w="1366"/>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20,175</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6,150</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5113" w:type="dxa"/>
        <w:jc w:val="left"/>
        <w:tblInd w:w="0" w:type="dxa"/>
        <w:tblLayout w:type="fixed"/>
        <w:tblCellMar>
          <w:top w:w="0" w:type="dxa"/>
          <w:left w:w="0" w:type="dxa"/>
          <w:bottom w:w="0" w:type="dxa"/>
          <w:right w:w="0" w:type="dxa"/>
        </w:tblCellMar>
      </w:tblPr>
      <w:tblGrid>
        <w:gridCol w:w="1880"/>
        <w:gridCol w:w="60"/>
        <w:gridCol w:w="288"/>
        <w:gridCol w:w="1366"/>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20,622</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14,872</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3,840</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2,523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$0.3 million and $0.7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w:t>
      </w:r>
      <w:r>
        <w:rPr>
          <w:rFonts w:ascii="Times New Roman;Times;serif" w:hAnsi="Times New Roman;Times;serif"/>
          <w:sz w:val="20"/>
        </w:rPr>
        <w:t> </w:t>
      </w:r>
      <w:r>
        <w:rPr>
          <w:rFonts w:ascii="Times New Roman;Times;serif" w:hAnsi="Times New Roman;Times;serif"/>
          <w:sz w:val="20"/>
          <w:shd w:fill="FFFFFF" w:val="clear"/>
        </w:rPr>
        <w:t>The Company recorded inventory write-downs of $0.8 million and $1.1 million </w:t>
      </w:r>
      <w:r>
        <w:rPr>
          <w:rFonts w:ascii="Times New Roman;Times;serif" w:hAnsi="Times New Roman;Times;serif"/>
          <w:sz w:val="20"/>
        </w:rPr>
        <w:t>f</w:t>
      </w:r>
      <w:r>
        <w:rPr>
          <w:rFonts w:ascii="Times New Roman;Times;serif" w:hAnsi="Times New Roman;Times;serif"/>
          <w:sz w:val="20"/>
          <w:shd w:fill="FFFFFF" w:val="clear"/>
        </w:rPr>
        <w:t>or the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September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 </w:t>
      </w:r>
      <w:r>
        <w:rPr>
          <w:rFonts w:ascii="Times New Roman;Times;serif" w:hAnsi="Times New Roman;Times;serif"/>
          <w:sz w:val="20"/>
        </w:rPr>
        <w:t>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conducted an analysis as to whether it was entitled to employee retention credits (“ERC”) under the CARES Act as amended by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Based on the analysis, the Company determined that it was entitled to an ERC of approximately $3.3 million related to payroll taxes paid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determined it met all the criteria required under the gross receipts test of the applicable Internal Revenue Service regulations related to ERCs.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accounting for payroll tax credits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scope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the Company has chosen to account for the ERCs by analogizing to the International Accounting Standards Board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In accordance with IAS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periods ended </w:t>
      </w:r>
      <w:r>
        <w:rPr>
          <w:rStyle w:val="Emphasis"/>
          <w:rFonts w:ascii="Times New Roman" w:hAnsi="Times New Roman"/>
          <w:caps w:val="false"/>
          <w:smallCaps w:val="false"/>
          <w:sz w:val="20"/>
        </w:rPr>
        <w:t>March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and for up to 50% of the qualified wages the Company paid to employees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March 31, 2020.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a $3.3 million receivable in prepaid expenses and other current assets and a benefit of $1.8 million to cost of revenues, $0.8 million to selling, general, and administrative and $0.7 million to research and development in the fiscal year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for the ERC that was expected to be received based on the amended filings. During the year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the Company received $3.0 million for the initial claims that were processed.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the Company did not receive any cash for the remaining $0.3 million balance of initial claims that were processed. The remaining balance is expected to be received during the remainder of fiscal </w:t>
      </w:r>
      <w:r>
        <w:rPr>
          <w:rStyle w:val="Emphasis"/>
          <w:rFonts w:ascii="Times New Roman" w:hAnsi="Times New Roman"/>
          <w:caps w:val="false"/>
          <w:smallCaps w:val="false"/>
          <w:sz w:val="20"/>
        </w:rPr>
        <w:t>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6353" w:type="dxa"/>
        <w:jc w:val="left"/>
        <w:tblInd w:w="0" w:type="dxa"/>
        <w:tblLayout w:type="fixed"/>
        <w:tblCellMar>
          <w:top w:w="0" w:type="dxa"/>
          <w:left w:w="0" w:type="dxa"/>
          <w:bottom w:w="0" w:type="dxa"/>
          <w:right w:w="0" w:type="dxa"/>
        </w:tblCellMar>
      </w:tblPr>
      <w:tblGrid>
        <w:gridCol w:w="3080"/>
        <w:gridCol w:w="60"/>
        <w:gridCol w:w="265"/>
        <w:gridCol w:w="1389"/>
        <w:gridCol w:w="80"/>
        <w:gridCol w:w="60"/>
        <w:gridCol w:w="216"/>
        <w:gridCol w:w="1123"/>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5,416</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44,095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1,526</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6,990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59,233</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(49,395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(48,372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$0.8 million and $0.6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Depreciation expense was $1.4 million and $1.2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The increase in land relates to the property added as part of the Megatran Acquisition.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Equity-Method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rPr>
        <w:t xml:space="preserve"> September 30, 2024</w:t>
      </w:r>
      <w:r>
        <w:rPr>
          <w:rFonts w:ascii="Times New Roman;Times;serif" w:hAnsi="Times New Roman;Times;serif"/>
          <w:sz w:val="20"/>
        </w:rPr>
        <w:t xml:space="preserve"> the Company did </w:t>
      </w:r>
      <w:r>
        <w:rPr>
          <w:rStyle w:val="Emphasis"/>
          <w:rFonts w:ascii="Times New Roman;Times;serif" w:hAnsi="Times New Roman;Times;serif"/>
          <w:sz w:val="20"/>
        </w:rPr>
        <w:t>not</w:t>
      </w:r>
      <w:r>
        <w:rPr>
          <w:rFonts w:ascii="Times New Roman;Times;serif" w:hAnsi="Times New Roman;Times;serif"/>
          <w:sz w:val="20"/>
        </w:rPr>
        <w:t xml:space="preserve"> have material accounts receivable nor accounts payable balances with NWL Pacific.</w:t>
      </w:r>
    </w:p>
    <w:p>
      <w:pPr>
        <w:pStyle w:val="TextBody"/>
        <w:bidi w:val="0"/>
        <w:spacing w:before="0" w:after="0"/>
        <w:ind w:left="0" w:right="0" w:firstLine="720"/>
        <w:jc w:val="both"/>
        <w:rPr/>
      </w:pPr>
      <w:r>
        <w:rPr/>
        <w:t> </w:t>
      </w:r>
    </w:p>
    <w:p>
      <w:pPr>
        <w:pStyle w:val="TextBody"/>
        <w:bidi w:val="0"/>
        <w:spacing w:before="0" w:after="0"/>
        <w:ind w:left="160" w:right="0" w:firstLine="540"/>
        <w:jc w:val="both"/>
        <w:rPr/>
      </w:pPr>
      <w:r>
        <w:rPr>
          <w:rFonts w:ascii="Times New Roman" w:hAnsi="Times New Roman"/>
          <w:caps w:val="false"/>
          <w:smallCaps w:val="false"/>
          <w:sz w:val="20"/>
        </w:rPr>
        <w:t xml:space="preserve">The tables below present the summarized financial information from the date of acquisition through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1865"/>
        <w:gridCol w:w="60"/>
        <w:gridCol w:w="125"/>
        <w:gridCol w:w="335"/>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6373" w:type="dxa"/>
        <w:jc w:val="left"/>
        <w:tblInd w:w="0" w:type="dxa"/>
        <w:tblLayout w:type="fixed"/>
        <w:tblCellMar>
          <w:top w:w="0" w:type="dxa"/>
          <w:left w:w="0" w:type="dxa"/>
          <w:bottom w:w="0" w:type="dxa"/>
          <w:right w:w="0" w:type="dxa"/>
        </w:tblCellMar>
      </w:tblPr>
      <w:tblGrid>
        <w:gridCol w:w="3140"/>
        <w:gridCol w:w="60"/>
        <w:gridCol w:w="288"/>
        <w:gridCol w:w="1366"/>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20"/>
              </w:rPr>
            </w:pPr>
            <w:r>
              <w:rPr>
                <w:sz w:val="20"/>
              </w:rPr>
              <w:t>$</w:t>
            </w:r>
          </w:p>
        </w:tc>
        <w:tc>
          <w:tcPr>
            <w:tcW w:w="1366" w:type="dxa"/>
            <w:tcBorders/>
            <w:shd w:fill="CCEEFF" w:val="clear"/>
            <w:vAlign w:val="center"/>
          </w:tcPr>
          <w:p>
            <w:pPr>
              <w:pStyle w:val="TableContents"/>
              <w:bidi w:val="0"/>
              <w:spacing w:before="0" w:after="283"/>
              <w:jc w:val="right"/>
              <w:rPr>
                <w:sz w:val="20"/>
              </w:rPr>
            </w:pPr>
            <w:r>
              <w:rPr>
                <w:sz w:val="20"/>
              </w:rPr>
              <w:t>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4,476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2,587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539</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3,983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2,366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1,540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2,270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8,293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10,326</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sz w:val="20"/>
              </w:rPr>
            </w:pPr>
            <w:r>
              <w:rPr>
                <w:sz w:val="20"/>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346</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sz w:val="20"/>
              </w:rPr>
            </w:pPr>
            <w:r>
              <w:rPr>
                <w:sz w:val="20"/>
              </w:rPr>
              <w:t>3,110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2,363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1,452</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25,158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24,235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9484" w:type="dxa"/>
        <w:jc w:val="left"/>
        <w:tblInd w:w="0" w:type="dxa"/>
        <w:tblLayout w:type="fixed"/>
        <w:tblCellMar>
          <w:top w:w="0" w:type="dxa"/>
          <w:left w:w="0" w:type="dxa"/>
          <w:bottom w:w="0" w:type="dxa"/>
          <w:right w:w="0" w:type="dxa"/>
        </w:tblCellMar>
      </w:tblPr>
      <w:tblGrid>
        <w:gridCol w:w="3470"/>
        <w:gridCol w:w="60"/>
        <w:gridCol w:w="273"/>
        <w:gridCol w:w="1060"/>
        <w:gridCol w:w="175"/>
        <w:gridCol w:w="131"/>
        <w:gridCol w:w="273"/>
        <w:gridCol w:w="1060"/>
        <w:gridCol w:w="80"/>
        <w:gridCol w:w="60"/>
        <w:gridCol w:w="243"/>
        <w:gridCol w:w="944"/>
        <w:gridCol w:w="155"/>
        <w:gridCol w:w="116"/>
        <w:gridCol w:w="243"/>
        <w:gridCol w:w="1061"/>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2,638</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warranty obligations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for warranties during the period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during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(367</w:t>
            </w:r>
          </w:p>
        </w:tc>
        <w:tc>
          <w:tcPr>
            <w:tcW w:w="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benefit of $5.0 million and $4.8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six</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shd w:fill="FFFFFF" w:val="clear"/>
        </w:rPr>
        <w:t>, respectively, </w:t>
      </w:r>
      <w:r>
        <w:rPr>
          <w:rFonts w:ascii="Times New Roman;Times;serif" w:hAnsi="Times New Roman;Times;serif"/>
          <w:sz w:val="20"/>
        </w:rPr>
        <w:t>and income tax expense of $0.1 million and $0.2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As a result of a difference in book and tax basis related to the intangible assets acquired in the Acquisition (see Note </w:t>
      </w:r>
      <w:r>
        <w:rPr>
          <w:rStyle w:val="Emphasis"/>
          <w:rFonts w:ascii="Times New Roman;Times;serif" w:hAnsi="Times New Roman;Times;serif"/>
          <w:sz w:val="20"/>
        </w:rPr>
        <w:t>2,</w:t>
      </w:r>
      <w:r>
        <w:rPr>
          <w:rFonts w:ascii="Times New Roman;Times;serif" w:hAnsi="Times New Roman;Times;serif"/>
          <w:sz w:val="20"/>
        </w:rPr>
        <w:t> "Acquisition"), the Company recorded a deferred tax liability of $6.4 million. As a result, the Company was able to benefit from additional deferred tax assets and therefore released a corresponding valuation allowance of $5.2 million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September 30, 2024. </w:t>
      </w:r>
      <w:r>
        <w:rPr>
          <w:rFonts w:ascii="Times New Roman;Times;serif" w:hAnsi="Times New Roman;Times;serif"/>
          <w:sz w:val="20"/>
        </w:rPr>
        <w:t>The purchase price allocation is preliminary and has </w:t>
      </w:r>
      <w:r>
        <w:rPr>
          <w:rStyle w:val="Emphasis"/>
          <w:rFonts w:ascii="Times New Roman;Times;serif" w:hAnsi="Times New Roman;Times;serif"/>
          <w:sz w:val="20"/>
        </w:rPr>
        <w:t>not</w:t>
      </w:r>
      <w:r>
        <w:rPr>
          <w:rFonts w:ascii="Times New Roman;Times;serif" w:hAnsi="Times New Roman;Times;serif"/>
          <w:sz w:val="20"/>
        </w:rPr>
        <w:t> been finalized as the analysis on the assets and liabilities acquired, primarily the tax related liability, </w:t>
      </w:r>
      <w:r>
        <w:rPr>
          <w:rStyle w:val="Emphasis"/>
          <w:rFonts w:ascii="Times New Roman;Times;serif" w:hAnsi="Times New Roman;Times;serif"/>
          <w:sz w:val="20"/>
        </w:rPr>
        <w:t xml:space="preserve"> may </w:t>
      </w:r>
      <w:r>
        <w:rPr>
          <w:rFonts w:ascii="Times New Roman;Times;serif" w:hAnsi="Times New Roman;Times;serif"/>
          <w:sz w:val="20"/>
        </w:rPr>
        <w:t>require further adjustments to the Company's purchase accounting that could result in measurement period adjustments that would impact the Company's reported net assets and goodwill as of </w:t>
      </w:r>
      <w:r>
        <w:rPr>
          <w:rStyle w:val="Emphasis"/>
          <w:rFonts w:ascii="Times New Roman;Times;serif" w:hAnsi="Times New Roman;Times;serif"/>
          <w:sz w:val="20"/>
        </w:rPr>
        <w:t xml:space="preserve"> August 1, 2024</w:t>
      </w:r>
      <w:r>
        <w:rPr>
          <w:rFonts w:ascii="Times New Roman;Times;serif" w:hAnsi="Times New Roman;Times;serif"/>
          <w:i/>
          <w:sz w:val="20"/>
        </w:rPr>
        <w:t>.</w:t>
      </w:r>
      <w:r>
        <w:rPr>
          <w:rFonts w:ascii="Times New Roman;Times;serif" w:hAnsi="Times New Roman;Times;serif"/>
          <w:sz w:val="20"/>
        </w:rPr>
        <w:t> Material changes, if any, to the preliminary allocation summarized in Note </w:t>
      </w:r>
      <w:r>
        <w:rPr>
          <w:rStyle w:val="Emphasis"/>
          <w:rFonts w:ascii="Times New Roman;Times;serif" w:hAnsi="Times New Roman;Times;serif"/>
          <w:sz w:val="20"/>
        </w:rPr>
        <w:t>2,</w:t>
      </w:r>
      <w:r>
        <w:rPr>
          <w:rFonts w:ascii="Times New Roman;Times;serif" w:hAnsi="Times New Roman;Times;serif"/>
          <w:sz w:val="20"/>
        </w:rPr>
        <w:t> "Acquisition" will be reported once the related uncertainties are resolved, but </w:t>
      </w:r>
      <w:r>
        <w:rPr>
          <w:rStyle w:val="Emphasis"/>
          <w:rFonts w:ascii="Times New Roman;Times;serif" w:hAnsi="Times New Roman;Times;serif"/>
          <w:sz w:val="20"/>
        </w:rPr>
        <w:t>no</w:t>
      </w:r>
      <w:r>
        <w:rPr>
          <w:rFonts w:ascii="Times New Roman;Times;serif" w:hAnsi="Times New Roman;Times;serif"/>
          <w:sz w:val="20"/>
        </w:rPr>
        <w:t> later than </w:t>
      </w:r>
      <w:r>
        <w:rPr>
          <w:rStyle w:val="Emphasis"/>
          <w:rFonts w:ascii="Times New Roman;Times;serif" w:hAnsi="Times New Roman;Times;serif"/>
          <w:sz w:val="20"/>
        </w:rPr>
        <w:t xml:space="preserve"> August 1, 2025</w:t>
      </w:r>
      <w:r>
        <w:rPr>
          <w:rFonts w:ascii="Times New Roman;Times;serif" w:hAnsi="Times New Roman;Times;serif"/>
          <w:i/>
          <w:sz w:val="20"/>
        </w:rPr>
        <w:t>.</w:t>
      </w:r>
      <w:r>
        <w:rPr>
          <w:rFonts w:ascii="Times New Roman;Times;serif" w:hAnsi="Times New Roman;Times;serif"/>
          <w:sz w:val="20"/>
        </w:rPr>
        <w:t>  Goodwill recognized in the Acquisition, is </w:t>
      </w:r>
      <w:r>
        <w:rPr>
          <w:rStyle w:val="Emphasis"/>
          <w:rFonts w:ascii="Times New Roman;Times;serif" w:hAnsi="Times New Roman;Times;serif"/>
          <w:sz w:val="20"/>
        </w:rPr>
        <w:t>not</w:t>
      </w:r>
      <w:r>
        <w:rPr>
          <w:rFonts w:ascii="Times New Roman;Times;serif" w:hAnsi="Times New Roman;Times;serif"/>
          <w:sz w:val="20"/>
        </w:rPr>
        <w:t> deductible for tax purposes.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September 30, 2024</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15.</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NEPSI Contingent Considerations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During the year ended </w:t>
      </w:r>
      <w:r>
        <w:rPr>
          <w:rStyle w:val="Emphasis"/>
          <w:rFonts w:ascii="Times New Roman;Times;serif" w:hAnsi="Times New Roman;Times;serif"/>
          <w:sz w:val="20"/>
        </w:rPr>
        <w:t xml:space="preserve">March 31, 2024, </w:t>
      </w:r>
      <w:r>
        <w:rPr>
          <w:rFonts w:ascii="Times New Roman;Times;serif" w:hAnsi="Times New Roman;Times;serif"/>
          <w:sz w:val="20"/>
        </w:rPr>
        <w:t>the Company issued 399,999 shares of common stock and cash in lieu of a fractional share of common stock, related to the achievement of specified revenue objectives in connection with the NEPSI Acquisition. NEPSI recognized revenues in excess of $120.0 million during the </w:t>
      </w:r>
      <w:r>
        <w:rPr>
          <w:rStyle w:val="Emphasis"/>
          <w:rFonts w:ascii="Times New Roman;Times;serif" w:hAnsi="Times New Roman;Times;serif"/>
          <w:sz w:val="20"/>
        </w:rPr>
        <w:t>four</w:t>
      </w:r>
      <w:r>
        <w:rPr>
          <w:rFonts w:ascii="Times New Roman;Times;serif" w:hAnsi="Times New Roman;Times;serif"/>
          <w:sz w:val="20"/>
        </w:rPr>
        <w:t xml:space="preserve"> years after the NEPSI Acquisition Date. As a result, during the quarter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the Company issued 300,000 shares of common stock of the Company to the selling stockholders, following certification of the achievement of the specified earnout revenue objective. As of </w:t>
      </w:r>
      <w:r>
        <w:rPr>
          <w:rStyle w:val="Emphasis"/>
          <w:rFonts w:ascii="Times New Roman;Times;serif" w:hAnsi="Times New Roman;Times;serif"/>
          <w:sz w:val="20"/>
        </w:rPr>
        <w:t xml:space="preserve">September 30, 2024, </w:t>
      </w:r>
      <w:r>
        <w:rPr>
          <w:rFonts w:ascii="Times New Roman;Times;serif" w:hAnsi="Times New Roman;Times;serif"/>
          <w:sz w:val="20"/>
        </w:rPr>
        <w:t>the Company has settled all outstanding contingent consideration under the NEPSI Stock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each period, the fair value of the contingent consideration was remeasured and the resulting gain or loss was recognized in operating expenses until the share amount is fixed.</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Megatran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On </w:t>
      </w:r>
      <w:r>
        <w:rPr>
          <w:rStyle w:val="Emphasis"/>
          <w:rFonts w:ascii="Times New Roman;Times;serif" w:hAnsi="Times New Roman;Times;serif"/>
          <w:sz w:val="20"/>
        </w:rPr>
        <w:t xml:space="preserve"> August 1,</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i/>
          <w:sz w:val="20"/>
        </w:rPr>
        <w:t>,</w:t>
      </w:r>
      <w:r>
        <w:rPr>
          <w:rFonts w:ascii="Times New Roman;Times;serif" w:hAnsi="Times New Roman;Times;serif"/>
          <w:sz w:val="20"/>
        </w:rPr>
        <w:t xml:space="preserve"> the Company entered into a Stock Purchase Agreement with the selling stockholders of Megatran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minimus at the time of the Acquisition. On </w:t>
      </w:r>
      <w:r>
        <w:rPr>
          <w:rStyle w:val="Emphasis"/>
          <w:rFonts w:ascii="Times New Roman;Times;serif" w:hAnsi="Times New Roman;Times;serif"/>
          <w:sz w:val="20"/>
        </w:rPr>
        <w:t xml:space="preserve">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This amount is reflected as the change in fair value of this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As of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there are no remaining obligations to the selling stockholders of Megatran.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September 30, 2024</w:t>
      </w:r>
      <w:r>
        <w:rPr>
          <w:rFonts w:ascii="Times New Roman;Times;serif" w:hAnsi="Times New Roman;Times;serif"/>
          <w:sz w:val="20"/>
        </w:rPr>
        <w:t> the Company completed the payment of $3.3 million to selling stockholders of Megatran to settle the remaining obligations of the acquisition.</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7880" w:type="dxa"/>
        <w:jc w:val="left"/>
        <w:tblInd w:w="0" w:type="dxa"/>
        <w:tblLayout w:type="fixed"/>
        <w:tblCellMar>
          <w:top w:w="0" w:type="dxa"/>
          <w:left w:w="0" w:type="dxa"/>
          <w:bottom w:w="0" w:type="dxa"/>
          <w:right w:w="0" w:type="dxa"/>
        </w:tblCellMar>
      </w:tblPr>
      <w:tblGrid>
        <w:gridCol w:w="1850"/>
        <w:gridCol w:w="60"/>
        <w:gridCol w:w="128"/>
        <w:gridCol w:w="746"/>
        <w:gridCol w:w="185"/>
        <w:gridCol w:w="60"/>
        <w:gridCol w:w="234"/>
        <w:gridCol w:w="910"/>
        <w:gridCol w:w="185"/>
        <w:gridCol w:w="60"/>
        <w:gridCol w:w="294"/>
        <w:gridCol w:w="895"/>
        <w:gridCol w:w="185"/>
        <w:gridCol w:w="60"/>
        <w:gridCol w:w="179"/>
        <w:gridCol w:w="545"/>
        <w:gridCol w:w="185"/>
        <w:gridCol w:w="60"/>
        <w:gridCol w:w="216"/>
        <w:gridCol w:w="658"/>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0"/>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Year 2024</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2024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0"/>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risk premium</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center"/>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(millions)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2023</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firstLine="540"/>
        <w:jc w:val="both"/>
        <w:rPr/>
      </w:pPr>
      <w:r>
        <w:rPr/>
        <w:t> </w:t>
      </w:r>
    </w:p>
    <w:p>
      <w:pPr>
        <w:pStyle w:val="TextBody"/>
        <w:bidi w:val="0"/>
        <w:spacing w:before="0" w:after="0"/>
        <w:ind w:left="0" w:right="0" w:firstLine="90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the Company issued 300,000 shares of common stock related to the achievement of specified revenue objectives at a fair value of $6.5 million. The Company recorded a gain resulting from the decrease in fair value of $0.5 million and a loss of $3.4 million resulting from the increases in the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respectively. The Company recorded losses of $0.9 million and $2.2 million resulting from the increases in the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respectively.</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16.</w:t>
      </w:r>
      <w:r>
        <w:rPr>
          <w:rFonts w:ascii="Times New Roman;Times;serif" w:hAnsi="Times New Roman;Times;serif"/>
          <w:b/>
          <w:sz w:val="20"/>
        </w:rPr>
        <w:t xml:space="preserve"> Debt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xml:space="preserve">  </w:t>
      </w:r>
      <w:r>
        <w:rPr>
          <w:rFonts w:ascii="Times New Roman;Times;serif" w:hAnsi="Times New Roman;Times;serif"/>
          <w:sz w:val="20"/>
        </w:rPr>
        <w:t xml:space="preserve">As part of the acquisition of Neeltran, the Company identified four equipment financing agreements that Neeltran had entered into prior to the acquisition of Neeltran on </w:t>
      </w:r>
      <w:r>
        <w:rPr>
          <w:rStyle w:val="Emphasis"/>
          <w:rFonts w:ascii="Times New Roman;Times;serif" w:hAnsi="Times New Roman;Times;serif"/>
          <w:sz w:val="20"/>
        </w:rPr>
        <w:t>May 6, 2021. </w:t>
      </w:r>
      <w:r>
        <w:rPr>
          <w:rFonts w:ascii="Times New Roman;Times;serif" w:hAnsi="Times New Roman;Times;serif"/>
          <w:sz w:val="20"/>
        </w:rPr>
        <w:t>The Company did not have a current debt balanc</w:t>
      </w:r>
      <w:r>
        <w:rPr>
          <w:rFonts w:ascii="Times New Roman;Times;serif" w:hAnsi="Times New Roman;Times;serif"/>
          <w:sz w:val="20"/>
          <w:shd w:fill="FFFFFF" w:val="clear"/>
        </w:rPr>
        <w:t>e as of </w:t>
      </w:r>
      <w:r>
        <w:rPr>
          <w:rStyle w:val="Emphasis"/>
          <w:rFonts w:ascii="Times New Roman;Times;serif" w:hAnsi="Times New Roman;Times;serif"/>
          <w:sz w:val="20"/>
        </w:rPr>
        <w:t xml:space="preserve"> September 30, 2024</w:t>
      </w:r>
      <w:r>
        <w:rPr>
          <w:rFonts w:ascii="Times New Roman;Times;serif" w:hAnsi="Times New Roman;Times;serif"/>
          <w:sz w:val="20"/>
        </w:rPr>
        <w:t> and had a balance of </w:t>
      </w:r>
      <w:r>
        <w:rPr>
          <w:rFonts w:ascii="Times New Roman;Times;serif" w:hAnsi="Times New Roman;Times;serif"/>
          <w:sz w:val="20"/>
          <w:shd w:fill="FFFFFF" w:val="clear"/>
        </w:rPr>
        <w:t>less than $0.1 million as of</w:t>
      </w:r>
      <w:r>
        <w:rPr>
          <w:rFonts w:ascii="Times New Roman;Times;serif" w:hAnsi="Times New Roman;Times;serif"/>
          <w:sz w:val="20"/>
        </w:rPr>
        <w:t> </w:t>
      </w:r>
      <w:r>
        <w:rPr>
          <w:rStyle w:val="Emphasis"/>
          <w:rFonts w:ascii="Times New Roman;Times;serif" w:hAnsi="Times New Roman;Times;serif"/>
          <w:sz w:val="20"/>
        </w:rPr>
        <w:t xml:space="preserve"> March 31, 2024</w:t>
      </w:r>
      <w:r>
        <w:rPr>
          <w:rFonts w:ascii="Times New Roman;Times;serif" w:hAnsi="Times New Roman;Times;serif"/>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b/>
          <w:i/>
          <w:sz w:val="20"/>
        </w:rPr>
        <w:t>Finance</w:t>
      </w:r>
      <w:r>
        <w:rPr>
          <w:rFonts w:cs="Times New Roman;Times;serif"/>
          <w:bCs/>
          <w:iCs/>
          <w:szCs w:val="20"/>
        </w:rPr>
        <w:t xml:space="preserve">﻿ </w:t>
      </w:r>
      <w:r>
        <w:rPr>
          <w:rFonts w:ascii="Times New Roman;Times;serif" w:hAnsi="Times New Roman;Times;serif"/>
          <w:b/>
          <w:i/>
          <w:sz w:val="20"/>
        </w:rPr>
        <w:t>Leases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September 30, 2024</w:t>
      </w:r>
      <w:r>
        <w:rPr>
          <w:rFonts w:ascii="Times New Roman;Times;serif" w:hAnsi="Times New Roman;Times;serif"/>
          <w:sz w:val="20"/>
          <w:shd w:fill="FFFFFF" w:val="clear"/>
        </w:rPr>
        <w:t xml:space="preserve">, the right-of-use asset related to the finance lease is fully amortized, and is included in the property and equipment, net on the Company's </w:t>
      </w:r>
      <w:r>
        <w:rPr>
          <w:rFonts w:ascii="Times New Roman;Times;serif" w:hAnsi="Times New Roman;Times;serif"/>
          <w:sz w:val="20"/>
        </w:rPr>
        <w:t xml:space="preserve">condensed </w:t>
      </w:r>
      <w:r>
        <w:rPr>
          <w:rFonts w:ascii="Times New Roman;Times;serif" w:hAnsi="Times New Roman;Times;serif"/>
          <w:sz w:val="20"/>
          <w:shd w:fill="FFFFFF" w:val="clear"/>
        </w:rPr>
        <w:t>consolidated balance sheet.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w:t>
      </w:r>
      <w:r>
        <w:rPr>
          <w:rStyle w:val="Emphasis"/>
          <w:rFonts w:ascii="Times New Roman;Times;serif" w:hAnsi="Times New Roman;Times;serif"/>
          <w:sz w:val="20"/>
        </w:rPr>
        <w:t>1</w:t>
      </w:r>
      <w:r>
        <w:rPr>
          <w:rFonts w:ascii="Times New Roman;Times;serif" w:hAnsi="Times New Roman;Times;serif"/>
          <w:sz w:val="20"/>
        </w:rPr>
        <w:t xml:space="preserve">) accreted to reflect interest using the incremental borrowing rate if the rate implicit in the lease is </w:t>
      </w:r>
      <w:r>
        <w:rPr>
          <w:rStyle w:val="Emphasis"/>
          <w:rFonts w:ascii="Times New Roman;Times;serif" w:hAnsi="Times New Roman;Times;serif"/>
          <w:sz w:val="20"/>
        </w:rPr>
        <w:t>not</w:t>
      </w:r>
      <w:r>
        <w:rPr>
          <w:rFonts w:ascii="Times New Roman;Times;serif" w:hAnsi="Times New Roman;Times;serif"/>
          <w:sz w:val="20"/>
        </w:rPr>
        <w:t xml:space="preserve"> readily determinable, and (</w:t>
      </w:r>
      <w:r>
        <w:rPr>
          <w:rStyle w:val="Emphasis"/>
          <w:rFonts w:ascii="Times New Roman;Times;serif" w:hAnsi="Times New Roman;Times;serif"/>
          <w:sz w:val="20"/>
        </w:rPr>
        <w:t>2</w:t>
      </w:r>
      <w:r>
        <w:rPr>
          <w:rFonts w:ascii="Times New Roman;Times;serif" w:hAnsi="Times New Roman;Times;serif"/>
          <w:sz w:val="20"/>
        </w:rPr>
        <w:t>)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758" w:type="dxa"/>
        <w:jc w:val="left"/>
        <w:tblInd w:w="0" w:type="dxa"/>
        <w:tblLayout w:type="fixed"/>
        <w:tblCellMar>
          <w:top w:w="0" w:type="dxa"/>
          <w:left w:w="0" w:type="dxa"/>
          <w:bottom w:w="0" w:type="dxa"/>
          <w:right w:w="0" w:type="dxa"/>
        </w:tblCellMar>
      </w:tblPr>
      <w:tblGrid>
        <w:gridCol w:w="3230"/>
        <w:gridCol w:w="60"/>
        <w:gridCol w:w="344"/>
        <w:gridCol w:w="1340"/>
        <w:gridCol w:w="185"/>
        <w:gridCol w:w="60"/>
        <w:gridCol w:w="277"/>
        <w:gridCol w:w="1077"/>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3,744</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2,557</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3,744</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2,557</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ST Operating</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555</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716</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liabilities – LT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2,814</w:t>
            </w:r>
          </w:p>
        </w:tc>
        <w:tc>
          <w:tcPr>
            <w:tcW w:w="1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c>
          <w:tcPr>
            <w:tcW w:w="185" w:type="dxa"/>
            <w:tcBorders/>
            <w:shd w:fill="FFFFFF" w:val="clear"/>
            <w:vAlign w:val="center"/>
          </w:tcPr>
          <w:p>
            <w:pPr>
              <w:pStyle w:val="TableContents"/>
              <w:bidi w:val="0"/>
              <w:spacing w:before="0" w:after="283"/>
              <w:jc w:val="left"/>
              <w:rPr/>
            </w:pPr>
            <w:r>
              <w:rPr>
                <w:rStyle w:val="Emphasis"/>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2,684</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5.33</w:t>
            </w:r>
          </w:p>
        </w:tc>
        <w:tc>
          <w:tcPr>
            <w:tcW w:w="18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3.49</w:t>
            </w:r>
          </w:p>
        </w:tc>
        <w:tc>
          <w:tcPr>
            <w:tcW w:w="185" w:type="dxa"/>
            <w:tcBorders/>
            <w:shd w:fill="CCEEFF" w:val="clear"/>
            <w:vAlign w:val="center"/>
          </w:tcPr>
          <w:p>
            <w:pPr>
              <w:pStyle w:val="TableContents"/>
              <w:bidi w:val="0"/>
              <w:spacing w:before="0" w:after="283"/>
              <w:jc w:val="left"/>
              <w:rPr/>
            </w:pPr>
            <w:r>
              <w:rPr>
                <w:rStyle w:val="Emphasis"/>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14.84</w:t>
            </w:r>
          </w:p>
        </w:tc>
        <w:tc>
          <w:tcPr>
            <w:tcW w:w="185" w:type="dxa"/>
            <w:tcBorders/>
            <w:shd w:fill="FFFFFF" w:val="clear"/>
            <w:vAlign w:val="center"/>
          </w:tcPr>
          <w:p>
            <w:pPr>
              <w:pStyle w:val="TableContents"/>
              <w:bidi w:val="0"/>
              <w:spacing w:before="0" w:after="283"/>
              <w:jc w:val="lef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9.83</w:t>
            </w:r>
          </w:p>
        </w:tc>
        <w:tc>
          <w:tcPr>
            <w:tcW w:w="185" w:type="dxa"/>
            <w:tcBorders/>
            <w:shd w:fill="FFFFFF" w:val="clear"/>
            <w:vAlign w:val="center"/>
          </w:tcPr>
          <w:p>
            <w:pPr>
              <w:pStyle w:val="TableContents"/>
              <w:bidi w:val="0"/>
              <w:spacing w:before="0" w:after="283"/>
              <w:jc w:val="left"/>
              <w:rPr/>
            </w:pPr>
            <w:r>
              <w:rPr>
                <w:rStyle w:val="Emphasis"/>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costs related to the Company's finance lease are </w:t>
      </w:r>
      <w:r>
        <w:rPr>
          <w:rStyle w:val="Emphasis"/>
          <w:rFonts w:ascii="Times New Roman;Times;serif" w:hAnsi="Times New Roman;Times;serif"/>
          <w:sz w:val="20"/>
        </w:rPr>
        <w:t>not</w:t>
      </w:r>
      <w:r>
        <w:rPr>
          <w:rFonts w:ascii="Times New Roman;Times;serif" w:hAnsi="Times New Roman;Times;serif"/>
          <w:sz w:val="20"/>
        </w:rPr>
        <w:t xml:space="preserve"> material. 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September 30, 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238"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447"/>
        <w:gridCol w:w="1207"/>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fixed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38"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447"/>
        <w:gridCol w:w="1207"/>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ind w:left="0" w:right="0" w:hanging="0"/>
              <w:jc w:val="left"/>
              <w:rPr/>
            </w:pPr>
            <w:r>
              <w:rPr/>
              <w:t> </w:t>
            </w:r>
          </w:p>
        </w:tc>
        <w:tc>
          <w:tcPr>
            <w:tcW w:w="12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545" w:type="dxa"/>
            <w:tcBorders>
              <w:top w:val="single" w:sz="2" w:space="0" w:color="000000"/>
            </w:tcBorders>
            <w:shd w:fill="FFFF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5,285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September 30, 2024</w:t>
      </w:r>
      <w:r>
        <w:rPr>
          <w:rFonts w:ascii="Times New Roman;Times;serif" w:hAnsi="Times New Roman;Times;serif"/>
          <w:sz w:val="20"/>
        </w:rPr>
        <w:t xml:space="preserve">, the Company had $1.5 million of restricted cash included in long-term assets and $1.2 million of restricted cash included in current assets. As of </w:t>
      </w:r>
      <w:r>
        <w:rPr>
          <w:rStyle w:val="Emphasis"/>
          <w:rFonts w:ascii="Times New Roman;Times;serif" w:hAnsi="Times New Roman;Times;serif"/>
          <w:sz w:val="20"/>
        </w:rPr>
        <w:t>March 31, 2024</w:t>
      </w:r>
      <w:r>
        <w:rPr>
          <w:rFonts w:ascii="Times New Roman;Times;serif" w:hAnsi="Times New Roman;Times;serif"/>
          <w:sz w:val="20"/>
        </w:rPr>
        <w:t>, the Company had $1.3 million of restricted cash included in long term assets and $0.5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aggregates four operating segments into </w:t>
      </w:r>
      <w:r>
        <w:rPr>
          <w:rStyle w:val="Emphasis"/>
          <w:rFonts w:ascii="Times New Roman;Times;serif" w:hAnsi="Times New Roman;Times;serif"/>
          <w:sz w:val="20"/>
        </w:rPr>
        <w:t>one</w:t>
      </w:r>
      <w:r>
        <w:rPr>
          <w:rFonts w:ascii="Times New Roman;Times;serif" w:hAnsi="Times New Roman;Times;serif"/>
          <w:sz w:val="20"/>
        </w:rPr>
        <w:t> reporting segment for financial reporting purposes due to their similar operating and financial characteristics.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i/>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operating results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are as follows (in thousands):</w:t>
      </w:r>
    </w:p>
    <w:p>
      <w:pPr>
        <w:pStyle w:val="TextBody"/>
        <w:bidi w:val="0"/>
        <w:spacing w:before="0" w:after="0"/>
        <w:ind w:left="0" w:right="0" w:firstLine="720"/>
        <w:jc w:val="both"/>
        <w:rPr/>
      </w:pPr>
      <w:r>
        <w:rPr/>
        <w:t> </w:t>
      </w:r>
    </w:p>
    <w:tbl>
      <w:tblPr>
        <w:tblW w:w="6849" w:type="dxa"/>
        <w:jc w:val="left"/>
        <w:tblInd w:w="0" w:type="dxa"/>
        <w:tblLayout w:type="fixed"/>
        <w:tblCellMar>
          <w:top w:w="0" w:type="dxa"/>
          <w:left w:w="0" w:type="dxa"/>
          <w:bottom w:w="0" w:type="dxa"/>
          <w:right w:w="0" w:type="dxa"/>
        </w:tblCellMar>
      </w:tblPr>
      <w:tblGrid>
        <w:gridCol w:w="875"/>
        <w:gridCol w:w="60"/>
        <w:gridCol w:w="239"/>
        <w:gridCol w:w="1132"/>
        <w:gridCol w:w="115"/>
        <w:gridCol w:w="115"/>
        <w:gridCol w:w="239"/>
        <w:gridCol w:w="1132"/>
        <w:gridCol w:w="60"/>
        <w:gridCol w:w="60"/>
        <w:gridCol w:w="222"/>
        <w:gridCol w:w="1052"/>
        <w:gridCol w:w="107"/>
        <w:gridCol w:w="107"/>
        <w:gridCol w:w="222"/>
        <w:gridCol w:w="1052"/>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54,251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10,007</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54,471</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8615" w:type="dxa"/>
        <w:jc w:val="left"/>
        <w:tblInd w:w="0" w:type="dxa"/>
        <w:tblLayout w:type="fixed"/>
        <w:tblCellMar>
          <w:top w:w="0" w:type="dxa"/>
          <w:left w:w="0" w:type="dxa"/>
          <w:bottom w:w="0" w:type="dxa"/>
          <w:right w:w="0" w:type="dxa"/>
        </w:tblCellMar>
      </w:tblPr>
      <w:tblGrid>
        <w:gridCol w:w="2600"/>
        <w:gridCol w:w="60"/>
        <w:gridCol w:w="251"/>
        <w:gridCol w:w="1095"/>
        <w:gridCol w:w="160"/>
        <w:gridCol w:w="120"/>
        <w:gridCol w:w="251"/>
        <w:gridCol w:w="1095"/>
        <w:gridCol w:w="80"/>
        <w:gridCol w:w="60"/>
        <w:gridCol w:w="233"/>
        <w:gridCol w:w="1018"/>
        <w:gridCol w:w="149"/>
        <w:gridCol w:w="112"/>
        <w:gridCol w:w="233"/>
        <w:gridCol w:w="1018"/>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2,336</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3,195</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1,515</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(3,605</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(8,753</w:t>
            </w:r>
          </w:p>
        </w:tc>
        <w:tc>
          <w:tcPr>
            <w:tcW w:w="1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Unallocated corporate expenses consisted of net losses resulting from activity relating to both the NEPSI earnout and the Megatran make whole payment which resulted in $2.8 million and $6.7 million in increases in the fair value of contingent consideration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2024</w:t>
      </w:r>
      <w:r>
        <w:rPr>
          <w:rFonts w:ascii="Times New Roman;Times;serif" w:hAnsi="Times New Roman;Times;serif"/>
          <w:sz w:val="20"/>
        </w:rPr>
        <w:t>, respectively. Unallocated corporate expenses consisted of a loss on contingent consideration of $0.9 million and $2.2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xml:space="preserve">, respectively. Additionally, unallocated corporate expenses consisted of stock-based compensation expense </w:t>
      </w:r>
      <w:r>
        <w:rPr>
          <w:rFonts w:ascii="Times New Roman;Times;serif" w:hAnsi="Times New Roman;Times;serif"/>
          <w:sz w:val="20"/>
          <w:shd w:fill="FFFFFF" w:val="clear"/>
        </w:rPr>
        <w:t>of $</w:t>
      </w:r>
      <w:r>
        <w:rPr>
          <w:rFonts w:ascii="Times New Roman;Times;serif" w:hAnsi="Times New Roman;Times;serif"/>
          <w:sz w:val="20"/>
        </w:rPr>
        <w:t>0.8</w:t>
      </w:r>
      <w:r>
        <w:rPr>
          <w:rFonts w:ascii="Times New Roman;Times;serif" w:hAnsi="Times New Roman;Times;serif"/>
          <w:sz w:val="20"/>
          <w:shd w:fill="FFFFFF" w:val="clear"/>
        </w:rPr>
        <w:t xml:space="preserve"> million and</w:t>
      </w:r>
      <w:r>
        <w:rPr>
          <w:rFonts w:ascii="Times New Roman;Times;serif" w:hAnsi="Times New Roman;Times;serif"/>
          <w:sz w:val="20"/>
        </w:rPr>
        <w:t xml:space="preserve"> $2.1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2024</w:t>
      </w:r>
      <w:r>
        <w:rPr>
          <w:rFonts w:ascii="Times New Roman;Times;serif" w:hAnsi="Times New Roman;Times;serif"/>
          <w:sz w:val="20"/>
        </w:rPr>
        <w:t>, respectively, and </w:t>
      </w:r>
      <w:r>
        <w:rPr>
          <w:rFonts w:ascii="Times New Roman;Times;serif" w:hAnsi="Times New Roman;Times;serif"/>
          <w:sz w:val="20"/>
          <w:shd w:fill="FFFFFF" w:val="clear"/>
        </w:rPr>
        <w:t>$1.1 million and</w:t>
      </w:r>
      <w:r>
        <w:rPr>
          <w:rFonts w:ascii="Times New Roman;Times;serif" w:hAnsi="Times New Roman;Times;serif"/>
          <w:sz w:val="20"/>
        </w:rPr>
        <w:t xml:space="preserve"> $2.5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September 30, 2023</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September 30, 2024</w:t>
      </w:r>
      <w:r>
        <w:rPr>
          <w:rFonts w:ascii="Times New Roman;Times;serif" w:hAnsi="Times New Roman;Times;serif"/>
          <w:sz w:val="20"/>
        </w:rPr>
        <w:t> and </w:t>
      </w:r>
      <w:r>
        <w:rPr>
          <w:rStyle w:val="Emphasis"/>
          <w:rFonts w:ascii="Times New Roman;Times;serif" w:hAnsi="Times New Roman;Times;serif"/>
          <w:sz w:val="20"/>
        </w:rPr>
        <w:t xml:space="preserve"> March 31, 2024</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573" w:type="dxa"/>
        <w:jc w:val="left"/>
        <w:tblInd w:w="0" w:type="dxa"/>
        <w:tblLayout w:type="fixed"/>
        <w:tblCellMar>
          <w:top w:w="0" w:type="dxa"/>
          <w:left w:w="0" w:type="dxa"/>
          <w:bottom w:w="0" w:type="dxa"/>
          <w:right w:w="0" w:type="dxa"/>
        </w:tblCellMar>
      </w:tblPr>
      <w:tblGrid>
        <w:gridCol w:w="1340"/>
        <w:gridCol w:w="60"/>
        <w:gridCol w:w="251"/>
        <w:gridCol w:w="1403"/>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125,878</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14,733</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92,160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20.</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w:t>
      </w:r>
      <w:r>
        <w:rPr>
          <w:rFonts w:ascii="Times New Roman;Times;serif" w:hAnsi="Times New Roman;Times;serif"/>
          <w:i/>
          <w:sz w:val="20"/>
        </w:rPr>
        <w:t xml:space="preserve">Segment Reporting (Topic </w:t>
      </w:r>
      <w:r>
        <w:rPr>
          <w:rStyle w:val="Emphasis"/>
          <w:rFonts w:ascii="Times New Roman;Times;serif" w:hAnsi="Times New Roman;Times;serif"/>
          <w:i/>
          <w:sz w:val="20"/>
        </w:rPr>
        <w:t>280</w:t>
      </w:r>
      <w:r>
        <w:rPr>
          <w:rFonts w:ascii="Times New Roman;Times;serif" w:hAnsi="Times New Roman;Times;serif"/>
          <w:i/>
          <w:sz w:val="20"/>
        </w:rPr>
        <w:t>): Improvements to Reportable Segment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improve the disclosures about a public entity’s reportable segments and address requests from investors for additional, more detailed information about a reportable segment’s expenses.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in </w:t>
      </w:r>
      <w:r>
        <w:rPr>
          <w:rStyle w:val="Emphasis"/>
          <w:rFonts w:ascii="Times New Roman;Times;serif" w:hAnsi="Times New Roman;Times;serif"/>
          <w:sz w:val="20"/>
        </w:rPr>
        <w:t xml:space="preserve">November 2023,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September 30, 2024</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September 30, 2024</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rPr>
        <w:t>September 30, 2024</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21.</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from our acquisition of Megatran Industries, Inc. ("Megatran") together with its wholly-owned subsidiaries and affiliates</w:t>
      </w:r>
      <w:r>
        <w:rPr>
          <w:sz w:val="20"/>
        </w:rPr>
        <w:t xml:space="preserve"> </w:t>
      </w:r>
      <w:r>
        <w:rPr>
          <w:i/>
          <w:sz w:val="20"/>
        </w:rPr>
        <w:t>, changes in macroeconomic and market conditions, including inflationary pressure and impacts from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We may be required to issue performance bonds or provide letters of credit, which restricts our ability to access any cash used as collateral for the bonds or letters of credit;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Changes in U.S. government defense spending could negatively impact our financial position, results of operations, liquidity and overall business; Pandemics, epidemics or other public health crises may adversely impact our business, financial condition and results of operations;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We may acquire additional complementary businesses or technologies, which may require us to incur substantial costs for which we may never realize the anticipated benefits;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success depends upon the commercial adoption of the REG system, which is currently limited, and a widespread commercial market for our products may not develop; Industry consolidation could result in more powerful competitors and fewer customers; Increasing focus and scrutiny on environmental sustainability and social initiatives could increase our costs, and inaction could harm our reputation and adversely impact our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2024,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2024 refers to the fiscal year that began on April 1, 2024.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experience some inflationary pressure in our supply chain and some delays in sourcing materials needed for our products, resulting in some production disruption, both of which have increased our cost of revenues and decreased gross margin.  While the impact of inflation has been challenging, we continue to take actions to limit this pressure including adjusting the pricing of our products and services. Changes in macroeconomic conditions arising from various reasons, such as the ongoing wars between Russia and Ukraine and Israel and Hamas, inflation, rising interest rates, labor force availability, sourcing, material delays and global supply chain disruptions, could have a material adverse effect on the Company’s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In the year ended March 31, 2024, the Company received $3.0 million in payments for the initial claims that were processed. The remaining balance is expected to be paid during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 2024, we completed an offering of 6,210,000 shares of our common stock at a public offering price of $11.25 per share under our then-existing Registration Statement on Form S-3. We received net proceeds of approximately $65.2 million after deducting underwriting discounts and commissions and offering expenses.  See Note 1, “Nature of the Business and Operations and Liquidity,” for further information about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2024, we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the Company paid the Additional Cash Purchase Price to the selling stockholders, which was calculated based on the agreed upon formula set forth in the Stock Purchase Agreement, in the amount of $8.3 million. Megatran's wholly-owned subsidiary, NWL, Inc. ("NWL"), is a U.S.-based global provider of engineered power conversion solutions for demanding industrial and military applications.  As a result of this transaction, Megatran became a wholly-owned subsidiary and is operated by our Grid business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Method Investments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treat the equity investment in the condensed consolidated financial statements under the equity method. Equity method investments are equity securities in entities we do not control but over which we have the ability to exercise significant influence. These investments are accounted for under the equity method of accounting in accordance with ASC 323,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Other than those noted here, there were no significant changes in the critical accounting policies that were disclosed in our Annual Report on Form 10-K for the fiscal year ended March 31,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and six months ended </w:t>
      </w:r>
      <w:r>
        <w:rPr>
          <w:rFonts w:ascii="Times New Roman;Times;serif" w:hAnsi="Times New Roman;Times;serif"/>
          <w:b/>
          <w:i/>
          <w:sz w:val="20"/>
          <w:shd w:fill="FFFFFF" w:val="clear"/>
        </w:rPr>
        <w:t>September 30, 2024</w:t>
      </w:r>
      <w:r>
        <w:rPr>
          <w:rFonts w:ascii="Times New Roman;Times;serif" w:hAnsi="Times New Roman;Times;serif"/>
          <w:b/>
          <w:i/>
          <w:sz w:val="20"/>
        </w:rPr>
        <w:t>, compared to the three and six months ended September 30, 2023</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60% to $54.5 million for the three months ended September 30, 2024 and total revenues increased 47% to $94.8 million for the six months ended September 30, 2024, compared to $34.0 million and $64.3 million for the three and six months ended September 30, 2023, respectively. Our revenues are summarized as follows (in thousands):</w:t>
      </w:r>
    </w:p>
    <w:p>
      <w:pPr>
        <w:pStyle w:val="TextBody"/>
        <w:bidi w:val="0"/>
        <w:spacing w:before="0" w:after="0"/>
        <w:ind w:left="0" w:right="0" w:firstLine="720"/>
        <w:jc w:val="both"/>
        <w:rPr/>
      </w:pPr>
      <w:r>
        <w:rPr/>
        <w:t> </w:t>
      </w:r>
    </w:p>
    <w:tbl>
      <w:tblPr>
        <w:tblW w:w="6939" w:type="dxa"/>
        <w:jc w:val="left"/>
        <w:tblInd w:w="0" w:type="dxa"/>
        <w:tblLayout w:type="fixed"/>
        <w:tblCellMar>
          <w:top w:w="0" w:type="dxa"/>
          <w:left w:w="0" w:type="dxa"/>
          <w:bottom w:w="0" w:type="dxa"/>
          <w:right w:w="0" w:type="dxa"/>
        </w:tblCellMar>
      </w:tblPr>
      <w:tblGrid>
        <w:gridCol w:w="875"/>
        <w:gridCol w:w="60"/>
        <w:gridCol w:w="244"/>
        <w:gridCol w:w="1155"/>
        <w:gridCol w:w="117"/>
        <w:gridCol w:w="117"/>
        <w:gridCol w:w="244"/>
        <w:gridCol w:w="1155"/>
        <w:gridCol w:w="60"/>
        <w:gridCol w:w="60"/>
        <w:gridCol w:w="225"/>
        <w:gridCol w:w="1063"/>
        <w:gridCol w:w="108"/>
        <w:gridCol w:w="108"/>
        <w:gridCol w:w="225"/>
        <w:gridCol w:w="1063"/>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54,251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10,007</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54,471</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Grid business unit accounted for 86% and 84% of total revenues for the three and six months ended September 30, 2024, respectively, compared </w:t>
      </w:r>
      <w:r>
        <w:rPr>
          <w:rFonts w:ascii="Times New Roman;Times;serif" w:hAnsi="Times New Roman;Times;serif"/>
          <w:sz w:val="20"/>
          <w:shd w:fill="FFFFFF" w:val="clear"/>
        </w:rPr>
        <w:t xml:space="preserve">to 84% for </w:t>
      </w:r>
      <w:r>
        <w:rPr>
          <w:rFonts w:ascii="Times New Roman;Times;serif" w:hAnsi="Times New Roman;Times;serif"/>
          <w:sz w:val="20"/>
        </w:rPr>
        <w:t>each of the three and six months ended September 30, 2023. Our Grid business unit revenues increased 65% to $46.9 million in the three months ended September 30, 2024, from $28.5 million in the three months ended September 30, 2023. Our Grid business unit revenues increased 46% to $79.3 million in the </w:t>
      </w:r>
      <w:r>
        <w:rPr>
          <w:rFonts w:ascii="Times New Roman;Times;serif" w:hAnsi="Times New Roman;Times;serif"/>
          <w:sz w:val="20"/>
          <w:shd w:fill="FFFFFF" w:val="clear"/>
        </w:rPr>
        <w:t>six</w:t>
      </w:r>
      <w:r>
        <w:rPr>
          <w:rFonts w:ascii="Times New Roman;Times;serif" w:hAnsi="Times New Roman;Times;serif"/>
          <w:sz w:val="20"/>
        </w:rPr>
        <w:t xml:space="preserve"> months ended September 30, 2024, from $54.3 million in the </w:t>
      </w:r>
      <w:r>
        <w:rPr>
          <w:rFonts w:ascii="Times New Roman;Times;serif" w:hAnsi="Times New Roman;Times;serif"/>
          <w:sz w:val="20"/>
          <w:shd w:fill="FFFFFF" w:val="clear"/>
        </w:rPr>
        <w:t>six</w:t>
      </w:r>
      <w:r>
        <w:rPr>
          <w:rFonts w:ascii="Times New Roman;Times;serif" w:hAnsi="Times New Roman;Times;serif"/>
          <w:sz w:val="20"/>
        </w:rPr>
        <w:t xml:space="preserve"> months ended September 30, 2023. The increase in the Grid business unit revenues in the three and six months ended September 30, 2024, compared to the three and six months ended September 30, 2023 was primarily driven by the acquisition of Megatran and increased shipments of new energy power systems than in the prior year periods.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Wind business unit accounted for 14% and 16% of total revenues for the three and six months ended September 30, 2024, respectively, compared </w:t>
      </w:r>
      <w:r>
        <w:rPr>
          <w:rFonts w:ascii="Times New Roman;Times;serif" w:hAnsi="Times New Roman;Times;serif"/>
          <w:sz w:val="20"/>
          <w:shd w:fill="FFFFFF" w:val="clear"/>
        </w:rPr>
        <w:t>to 16% for</w:t>
      </w:r>
      <w:r>
        <w:rPr>
          <w:rFonts w:ascii="Times New Roman;Times;serif" w:hAnsi="Times New Roman;Times;serif"/>
          <w:sz w:val="20"/>
        </w:rPr>
        <w:t xml:space="preserve"> each of the three and six months ended September 30, 2023. Revenues in the Wind business unit increased 37% and 55% to $7.5 million and $15.5 million in the three and six months ended September 30, 2024, respectively, from $5.5 million and $10.0 million in the three and six months ended September 30, 2023, respectively. The increase during the three and six months ended September 30, 2024, compared to the three and six months ended September 30, 2023, was driven by additional shipments of electrical control systems ("ECS") at increased prices.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53% to $38.9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compared to $25.4 million for the three months ended </w:t>
      </w:r>
      <w:r>
        <w:rPr>
          <w:rFonts w:ascii="Times New Roman;Times;serif" w:hAnsi="Times New Roman;Times;serif"/>
          <w:sz w:val="20"/>
        </w:rPr>
        <w:t>September 30, 2023. Cost of revenues increased by 35% to $66.9 millio</w:t>
      </w:r>
      <w:r>
        <w:rPr>
          <w:rFonts w:ascii="Times New Roman;Times;serif" w:hAnsi="Times New Roman;Times;serif"/>
          <w:sz w:val="20"/>
          <w:shd w:fill="FFFFFF" w:val="clear"/>
        </w:rPr>
        <w:t xml:space="preserve">n for the six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compared to $49.4 million for the six months ended </w:t>
      </w:r>
      <w:r>
        <w:rPr>
          <w:rFonts w:ascii="Times New Roman;Times;serif" w:hAnsi="Times New Roman;Times;serif"/>
          <w:sz w:val="20"/>
        </w:rPr>
        <w:t>September 30, 2023. </w:t>
      </w:r>
      <w:r>
        <w:rPr>
          <w:rFonts w:ascii="Times New Roman;Times;serif" w:hAnsi="Times New Roman;Times;serif"/>
          <w:sz w:val="20"/>
          <w:shd w:fill="FFFFFF" w:val="clear"/>
        </w:rPr>
        <w:t>Gross margin was </w:t>
      </w:r>
      <w:r>
        <w:rPr>
          <w:rFonts w:ascii="Times New Roman;Times;serif" w:hAnsi="Times New Roman;Times;serif"/>
          <w:sz w:val="20"/>
        </w:rPr>
        <w:t>29%</w:t>
      </w:r>
      <w:r>
        <w:rPr>
          <w:rFonts w:ascii="Times New Roman;Times;serif" w:hAnsi="Times New Roman;Times;serif"/>
          <w:sz w:val="20"/>
          <w:shd w:fill="FFFFFF" w:val="clear"/>
        </w:rPr>
        <w:t> and 29%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 respectively,</w:t>
      </w:r>
      <w:r>
        <w:rPr>
          <w:rFonts w:ascii="Times New Roman;Times;serif" w:hAnsi="Times New Roman;Times;serif"/>
          <w:sz w:val="20"/>
          <w:shd w:fill="FFFFFF" w:val="clear"/>
        </w:rPr>
        <w:t> compared to 25% and 23%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 respectively.</w:t>
      </w:r>
      <w:r>
        <w:rPr>
          <w:rFonts w:ascii="Times New Roman;Times;serif" w:hAnsi="Times New Roman;Times;serif"/>
          <w:sz w:val="20"/>
          <w:shd w:fill="FFFFFF" w:val="clear"/>
        </w:rPr>
        <w:t> </w:t>
      </w:r>
      <w:r>
        <w:rPr>
          <w:rFonts w:ascii="Times New Roman;Times;serif" w:hAnsi="Times New Roman;Times;serif"/>
          <w:sz w:val="20"/>
        </w:rPr>
        <w:t>Cost of revenues includes total amortization expense of $0.2 million in the three months ended September 30, 2024, as a result of the Megatran acquired backlog intangible assets. In addition, a fair value purchase adjustment of approximately $0.7 million for the step-up basis assigned to acquired inventory, to properly reflect the fair value in purchase accounting. Of this adjustment, $0.3 million was charged to cost of revenues in the three months ended September 30, 2024, when the inventory sold. The increase in gross margin in the three and six months ended September 30, 2024 was due to higher revenues, a favorable product mix and favorable impacts across the business due to pricing increases across our product lines.</w:t>
      </w:r>
    </w:p>
    <w:p>
      <w:pPr>
        <w:pStyle w:val="TextBody"/>
        <w:bidi w:val="0"/>
        <w:spacing w:before="0" w:after="0"/>
        <w:ind w:left="0" w:right="0" w:firstLine="555"/>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increased 61% and 41% in the three and six months ended</w:t>
      </w:r>
      <w:r>
        <w:rPr>
          <w:rFonts w:ascii="Times New Roman" w:hAnsi="Times New Roman"/>
          <w:caps w:val="false"/>
          <w:smallCaps w:val="false"/>
          <w:sz w:val="20"/>
        </w:rPr>
        <w:t> September 30, 2024</w:t>
      </w:r>
      <w:r>
        <w:rPr>
          <w:rFonts w:ascii="Times New Roman" w:hAnsi="Times New Roman"/>
          <w:caps w:val="false"/>
          <w:smallCaps w:val="false"/>
          <w:sz w:val="20"/>
          <w:shd w:fill="FFFFFF" w:val="clear"/>
        </w:rPr>
        <w:t>, respectively, to $2.6 million and $4.9 million from $1.6 million and $3.5 million in the three and six months ended</w:t>
      </w:r>
      <w:r>
        <w:rPr>
          <w:rFonts w:ascii="Times New Roman" w:hAnsi="Times New Roman"/>
          <w:caps w:val="false"/>
          <w:smallCaps w:val="false"/>
          <w:sz w:val="20"/>
        </w:rPr>
        <w:t xml:space="preserve"> September 30, 2023, respectively. </w:t>
      </w:r>
      <w:r>
        <w:rPr>
          <w:rFonts w:ascii="Times New Roman" w:hAnsi="Times New Roman"/>
          <w:caps w:val="false"/>
          <w:smallCaps w:val="false"/>
          <w:sz w:val="20"/>
          <w:shd w:fill="FFFFFF" w:val="clear"/>
        </w:rPr>
        <w:t>The increase was driven </w:t>
      </w:r>
      <w:r>
        <w:rPr>
          <w:rFonts w:ascii="Times New Roman" w:hAnsi="Times New Roman"/>
          <w:caps w:val="false"/>
          <w:smallCaps w:val="false"/>
          <w:sz w:val="20"/>
        </w:rPr>
        <w:t>primarily by higher overall compensation expense and additional supplies and materials.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32%</w:t>
      </w:r>
      <w:r>
        <w:rPr>
          <w:rFonts w:ascii="Times New Roman;Times;serif" w:hAnsi="Times New Roman;Times;serif"/>
          <w:sz w:val="20"/>
          <w:shd w:fill="FFFFFF" w:val="clear"/>
        </w:rPr>
        <w:t xml:space="preserve"> and 23% in the three and six months ended </w:t>
      </w:r>
      <w:r>
        <w:rPr>
          <w:rFonts w:ascii="Times New Roman;Times;serif" w:hAnsi="Times New Roman;Times;serif"/>
          <w:sz w:val="20"/>
        </w:rPr>
        <w:t>September 30, 2024, respectively, </w:t>
      </w:r>
      <w:r>
        <w:rPr>
          <w:rFonts w:ascii="Times New Roman;Times;serif" w:hAnsi="Times New Roman;Times;serif"/>
          <w:sz w:val="20"/>
          <w:shd w:fill="FFFFFF" w:val="clear"/>
        </w:rPr>
        <w:t>to $</w:t>
      </w:r>
      <w:r>
        <w:rPr>
          <w:rFonts w:ascii="Times New Roman;Times;serif" w:hAnsi="Times New Roman;Times;serif"/>
          <w:sz w:val="20"/>
        </w:rPr>
        <w:t>10.5</w:t>
      </w:r>
      <w:r>
        <w:rPr>
          <w:rFonts w:ascii="Times New Roman;Times;serif" w:hAnsi="Times New Roman;Times;serif"/>
          <w:sz w:val="20"/>
          <w:shd w:fill="FFFFFF" w:val="clear"/>
        </w:rPr>
        <w:t xml:space="preserve"> million and $19.4 million from $7.9 million and $15.8 million in the three and six months ended </w:t>
      </w:r>
      <w:r>
        <w:rPr>
          <w:rFonts w:ascii="Times New Roman;Times;serif" w:hAnsi="Times New Roman;Times;serif"/>
          <w:sz w:val="20"/>
        </w:rPr>
        <w:t>September 30, 2023, respectively. The increase in SG&amp;A expense in the </w:t>
      </w:r>
      <w:r>
        <w:rPr>
          <w:rFonts w:ascii="Times New Roman;Times;serif" w:hAnsi="Times New Roman;Times;serif"/>
          <w:sz w:val="20"/>
          <w:shd w:fill="FFFFFF" w:val="clear"/>
        </w:rPr>
        <w:t>three and six</w:t>
      </w:r>
      <w:r>
        <w:rPr>
          <w:rFonts w:ascii="Times New Roman;Times;serif" w:hAnsi="Times New Roman;Times;serif"/>
          <w:sz w:val="20"/>
        </w:rPr>
        <w:t> months ended September 30, 2024, respectively, was due to higher overall compensation expense and higher acquisition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 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customer relationships, and other intangible assets of $</w:t>
      </w:r>
      <w:r>
        <w:rPr>
          <w:rFonts w:ascii="Times New Roman;Times;serif" w:hAnsi="Times New Roman;Times;serif"/>
          <w:sz w:val="20"/>
        </w:rPr>
        <w:t>0.4</w:t>
      </w:r>
      <w:r>
        <w:rPr>
          <w:rFonts w:ascii="Times New Roman;Times;serif" w:hAnsi="Times New Roman;Times;serif"/>
          <w:sz w:val="20"/>
          <w:shd w:fill="FFFFFF" w:val="clear"/>
        </w:rPr>
        <w:t xml:space="preserve"> million and $0.8 million in the three and six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respectively,</w:t>
      </w:r>
      <w:r>
        <w:rPr>
          <w:rFonts w:ascii="Times New Roman;Times;serif" w:hAnsi="Times New Roman;Times;serif"/>
          <w:sz w:val="20"/>
          <w:shd w:fill="FFFFFF" w:val="clear"/>
        </w:rPr>
        <w:t xml:space="preserve"> and $0.5 million and $1.1 million in the three and six months ended </w:t>
      </w:r>
      <w:r>
        <w:rPr>
          <w:rFonts w:ascii="Times New Roman;Times;serif" w:hAnsi="Times New Roman;Times;serif"/>
          <w:sz w:val="20"/>
        </w:rPr>
        <w:t>September 30, 2023, respectively.</w:t>
      </w:r>
      <w:r>
        <w:rPr>
          <w:rFonts w:ascii="Times New Roman;Times;serif" w:hAnsi="Times New Roman;Times;serif"/>
          <w:sz w:val="20"/>
          <w:shd w:fill="FFFFFF" w:val="clear"/>
        </w:rPr>
        <w:t> </w:t>
      </w:r>
      <w:r>
        <w:rPr>
          <w:rFonts w:ascii="Times New Roman;Times;serif" w:hAnsi="Times New Roman;Times;serif"/>
          <w:sz w:val="20"/>
        </w:rPr>
        <w:t>The decrease in amortization expense is a result of using the economic consumption method as the basis to amortize the acquired customer relationship intangible assets from Northeast Power Systems, Inc. ("NEPSI") and Neeltran.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The change in fair value of our contingent consideration for the earnout payment on the acquisition of NEPSI resulted in </w:t>
      </w:r>
      <w:r>
        <w:rPr>
          <w:rFonts w:ascii="Times New Roman" w:hAnsi="Times New Roman"/>
          <w:caps w:val="false"/>
          <w:smallCaps w:val="false"/>
          <w:sz w:val="20"/>
        </w:rPr>
        <w:t xml:space="preserve">a gain of $0.5 million from a decrease in fair value and a loss of $3.4 million resulting from an increase in fair value in the three and six months ended September 30, 2024, respectively. During the three and six months ended September 30, 2024, we issued 300,000 shares of common stock of the Company to the selling stockholders following certification of the achievement of specified earnout revenue objectives. We recorded the above noted changes, compared to losses of $0.9 million and $2.2 million in the </w:t>
      </w:r>
      <w:r>
        <w:rPr>
          <w:rFonts w:ascii="Times New Roman" w:hAnsi="Times New Roman"/>
          <w:caps w:val="false"/>
          <w:smallCaps w:val="false"/>
          <w:sz w:val="20"/>
          <w:shd w:fill="FFFFFF" w:val="clear"/>
        </w:rPr>
        <w:t>three and six</w:t>
      </w:r>
      <w:r>
        <w:rPr>
          <w:rFonts w:ascii="Times New Roman" w:hAnsi="Times New Roman"/>
          <w:caps w:val="false"/>
          <w:smallCaps w:val="false"/>
          <w:sz w:val="20"/>
        </w:rPr>
        <w:t> months ended September 30, 2023, respectively. We also recorded a $3.3 million payment relating to the Megatran acquisition, as a payment to settle the remaining obligations after the acquisition. The value of this contingent consideration was de minimus at the Acquisition Date and the resulting change in fair value was recorded during the three and six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8707" w:type="dxa"/>
        <w:jc w:val="left"/>
        <w:tblInd w:w="0" w:type="dxa"/>
        <w:tblLayout w:type="fixed"/>
        <w:tblCellMar>
          <w:top w:w="0" w:type="dxa"/>
          <w:left w:w="0" w:type="dxa"/>
          <w:bottom w:w="0" w:type="dxa"/>
          <w:right w:w="0" w:type="dxa"/>
        </w:tblCellMar>
      </w:tblPr>
      <w:tblGrid>
        <w:gridCol w:w="2600"/>
        <w:gridCol w:w="60"/>
        <w:gridCol w:w="256"/>
        <w:gridCol w:w="1117"/>
        <w:gridCol w:w="164"/>
        <w:gridCol w:w="123"/>
        <w:gridCol w:w="256"/>
        <w:gridCol w:w="1117"/>
        <w:gridCol w:w="80"/>
        <w:gridCol w:w="60"/>
        <w:gridCol w:w="236"/>
        <w:gridCol w:w="1029"/>
        <w:gridCol w:w="151"/>
        <w:gridCol w:w="113"/>
        <w:gridCol w:w="236"/>
        <w:gridCol w:w="1029"/>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15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15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w:t>
            </w:r>
          </w:p>
        </w:tc>
        <w:tc>
          <w:tcPr>
            <w:tcW w:w="1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income of $</w:t>
      </w:r>
      <w:r>
        <w:rPr>
          <w:rFonts w:ascii="Times New Roman;Times;serif" w:hAnsi="Times New Roman;Times;serif"/>
          <w:sz w:val="20"/>
        </w:rPr>
        <w:t>2.3</w:t>
      </w:r>
      <w:r>
        <w:rPr>
          <w:rFonts w:ascii="Times New Roman;Times;serif" w:hAnsi="Times New Roman;Times;serif"/>
          <w:sz w:val="20"/>
          <w:shd w:fill="FFFFFF" w:val="clear"/>
        </w:rPr>
        <w:t xml:space="preserve"> million and $3.2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respectively, compared to operating losses of $0.7 million and $2.6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The increase in the Grid business unit operating income in the three and six months ended September 30, 2024 was due to higher revenues and gross margins in part due to a favorable product mix.</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0.5</w:t>
      </w:r>
      <w:r>
        <w:rPr>
          <w:rFonts w:ascii="Times New Roman;Times;serif" w:hAnsi="Times New Roman;Times;serif"/>
          <w:sz w:val="20"/>
          <w:shd w:fill="FFFFFF" w:val="clear"/>
        </w:rPr>
        <w:t xml:space="preserve"> million and $1.5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respectively,</w:t>
      </w:r>
      <w:r>
        <w:rPr>
          <w:rFonts w:ascii="Times New Roman;Times;serif" w:hAnsi="Times New Roman;Times;serif"/>
          <w:sz w:val="20"/>
          <w:shd w:fill="FFFFFF" w:val="clear"/>
        </w:rPr>
        <w:t xml:space="preserve"> compared to operating income of $0.3 million and operating loss of $0.4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The improvement in the Wind business unit operating income in the three and six months ended September 30, 2024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Unallocated corporate expenses included </w:t>
      </w:r>
      <w:r>
        <w:rPr>
          <w:rFonts w:ascii="Times New Roman;Times;serif" w:hAnsi="Times New Roman;Times;serif"/>
          <w:sz w:val="20"/>
        </w:rPr>
        <w:t>net losses on contingent consideration of $2.8 million and $6.7 million in the three and six months ended September 30, 2024, respectively, and net losses of $0.9 million and $2.2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 respectively.</w:t>
      </w:r>
      <w:r>
        <w:rPr>
          <w:rFonts w:ascii="Times New Roman;Times;serif" w:hAnsi="Times New Roman;Times;serif"/>
          <w:sz w:val="20"/>
          <w:shd w:fill="FFFFFF" w:val="clear"/>
        </w:rPr>
        <w:t xml:space="preserve"> Additionally, unallocated corporate expenses consisted of stock-based compensation expense of $0.8 million </w:t>
      </w:r>
      <w:r>
        <w:rPr>
          <w:rFonts w:ascii="Times New Roman;Times;serif" w:hAnsi="Times New Roman;Times;serif"/>
          <w:sz w:val="20"/>
        </w:rPr>
        <w:t xml:space="preserve">and $2.1 million in the three and six months ended September 30, 2024, respectively, and </w:t>
      </w:r>
      <w:r>
        <w:rPr>
          <w:rFonts w:ascii="Times New Roman;Times;serif" w:hAnsi="Times New Roman;Times;serif"/>
          <w:sz w:val="20"/>
          <w:shd w:fill="FFFFFF" w:val="clear"/>
        </w:rPr>
        <w:t>$1.1 million and</w:t>
      </w:r>
      <w:r>
        <w:rPr>
          <w:rFonts w:ascii="Times New Roman;Times;serif" w:hAnsi="Times New Roman;Times;serif"/>
          <w:sz w:val="20"/>
        </w:rPr>
        <w:t xml:space="preserve"> $2.5 million in the 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 respectively.</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Interest income, net, was $1.0 million and $2.1 million in the three and six months ended September 30, 2024, respectively, compared to $0.2 million and $0.4 million in the three and six months ended September 30, 2023</w:t>
      </w:r>
      <w:r>
        <w:rPr>
          <w:rFonts w:ascii="Times New Roman;Times;serif" w:hAnsi="Times New Roman;Times;serif"/>
          <w:sz w:val="20"/>
        </w:rPr>
        <w:t>, respectively.</w:t>
      </w:r>
      <w:r>
        <w:rPr>
          <w:rFonts w:ascii="Times New Roman;Times;serif" w:hAnsi="Times New Roman;Times;serif"/>
          <w:sz w:val="20"/>
          <w:shd w:fill="FFFFFF" w:val="clear"/>
        </w:rPr>
        <w:t xml:space="preserve"> The increase in interest income, net, in the three and six months ended September 30, 2024 was due to higher cash balances.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$0.3 million and $0.5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respectively,</w:t>
      </w:r>
      <w:r>
        <w:rPr>
          <w:rFonts w:ascii="Times New Roman;Times;serif" w:hAnsi="Times New Roman;Times;serif"/>
          <w:sz w:val="20"/>
          <w:shd w:fill="FFFFFF" w:val="clear"/>
        </w:rPr>
        <w:t> compared to $0.2 million and $0.3 million in the three and six months ended September 30, 2023</w:t>
      </w:r>
      <w:r>
        <w:rPr>
          <w:rFonts w:ascii="Times New Roman;Times;serif" w:hAnsi="Times New Roman;Times;serif"/>
          <w:sz w:val="20"/>
        </w:rPr>
        <w:t>, respectively.</w:t>
      </w:r>
      <w:r>
        <w:rPr>
          <w:rFonts w:ascii="Times New Roman;Times;serif" w:hAnsi="Times New Roman;Times;serif"/>
          <w:sz w:val="20"/>
          <w:shd w:fill="FFFFFF" w:val="clear"/>
        </w:rPr>
        <w:t xml:space="preserve"> The increase in other expense, net, during the three and six months ended September 30, 2024, compared to the three and six months ended September 30, 2023, was driven by the impacts of unfavorable fluctuations in foreign currencies during the periods.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Income tax benefit was $5.0 million and $4.8 million in the three and six months ended September 30, 2024</w:t>
      </w:r>
      <w:r>
        <w:rPr>
          <w:rFonts w:ascii="Times New Roman" w:hAnsi="Times New Roman"/>
          <w:caps w:val="false"/>
          <w:smallCaps w:val="false"/>
          <w:sz w:val="20"/>
        </w:rPr>
        <w:t>, respectively.</w:t>
      </w:r>
      <w:r>
        <w:rPr>
          <w:rFonts w:ascii="Times New Roman" w:hAnsi="Times New Roman"/>
          <w:caps w:val="false"/>
          <w:smallCaps w:val="false"/>
          <w:sz w:val="20"/>
          <w:shd w:fill="FFFFFF" w:val="clear"/>
        </w:rPr>
        <w:t xml:space="preserve"> Income tax expense was $0.1 million and $0.2 million in the three and six months ended September 30, 2023</w:t>
      </w:r>
      <w:r>
        <w:rPr>
          <w:rFonts w:ascii="Times New Roman" w:hAnsi="Times New Roman"/>
          <w:caps w:val="false"/>
          <w:smallCaps w:val="false"/>
          <w:sz w:val="20"/>
        </w:rPr>
        <w:t>, respectively. The improvement in income tax benefit was a result of the release of the valuation allowance due to the recording of the deferred tax liability from the acquisition of Megatran.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income was $</w:t>
      </w:r>
      <w:r>
        <w:rPr>
          <w:rFonts w:ascii="Times New Roman;Times;serif" w:hAnsi="Times New Roman;Times;serif"/>
          <w:sz w:val="20"/>
        </w:rPr>
        <w:t>4.9</w:t>
      </w:r>
      <w:r>
        <w:rPr>
          <w:rFonts w:ascii="Times New Roman;Times;serif" w:hAnsi="Times New Roman;Times;serif"/>
          <w:sz w:val="20"/>
          <w:shd w:fill="FFFFFF" w:val="clear"/>
        </w:rPr>
        <w:t xml:space="preserve"> million and $2.4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w:t>
      </w:r>
      <w:r>
        <w:rPr>
          <w:rFonts w:ascii="Times New Roman;Times;serif" w:hAnsi="Times New Roman;Times;serif"/>
          <w:sz w:val="20"/>
        </w:rPr>
        <w:t> respectively,</w:t>
      </w:r>
      <w:r>
        <w:rPr>
          <w:rFonts w:ascii="Times New Roman;Times;serif" w:hAnsi="Times New Roman;Times;serif"/>
          <w:sz w:val="20"/>
          <w:shd w:fill="FFFFFF" w:val="clear"/>
        </w:rPr>
        <w:t> compared to net losses of $2.5 million and $7.9 million in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 respectively.</w:t>
      </w:r>
      <w:r>
        <w:rPr>
          <w:rFonts w:ascii="Times New Roman;Times;serif" w:hAnsi="Times New Roman;Times;serif"/>
          <w:sz w:val="20"/>
          <w:shd w:fill="FFFFFF" w:val="clear"/>
        </w:rPr>
        <w:t> The improvement in net loss was driven primarily by deferred tax liability recorded as a result of the Megatran acquisition as well as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(loss) as net income (loss) before stock-based compensation, acquisition costs,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(loss)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 (loss)</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 (loss)</w:t>
      </w:r>
      <w:r>
        <w:rPr>
          <w:rFonts w:ascii="Times New Roman;Times;serif" w:hAnsi="Times New Roman;Times;serif"/>
          <w:sz w:val="20"/>
        </w:rPr>
        <w:t xml:space="preserve"> is set forth in the table below (in thousands, except per share data):</w:t>
      </w:r>
    </w:p>
    <w:p>
      <w:pPr>
        <w:pStyle w:val="TextBody"/>
        <w:bidi w:val="0"/>
        <w:spacing w:before="0" w:after="0"/>
        <w:ind w:left="0" w:right="0" w:firstLine="720"/>
        <w:jc w:val="both"/>
        <w:rPr/>
      </w:pPr>
      <w:r>
        <w:rPr/>
        <w:t> </w:t>
      </w:r>
    </w:p>
    <w:tbl>
      <w:tblPr>
        <w:tblW w:w="10069" w:type="dxa"/>
        <w:jc w:val="left"/>
        <w:tblInd w:w="0" w:type="dxa"/>
        <w:tblLayout w:type="fixed"/>
        <w:tblCellMar>
          <w:top w:w="0" w:type="dxa"/>
          <w:left w:w="0" w:type="dxa"/>
          <w:bottom w:w="0" w:type="dxa"/>
          <w:right w:w="0" w:type="dxa"/>
        </w:tblCellMar>
      </w:tblPr>
      <w:tblGrid>
        <w:gridCol w:w="3965"/>
        <w:gridCol w:w="60"/>
        <w:gridCol w:w="244"/>
        <w:gridCol w:w="1155"/>
        <w:gridCol w:w="117"/>
        <w:gridCol w:w="117"/>
        <w:gridCol w:w="244"/>
        <w:gridCol w:w="1155"/>
        <w:gridCol w:w="80"/>
        <w:gridCol w:w="60"/>
        <w:gridCol w:w="225"/>
        <w:gridCol w:w="1063"/>
        <w:gridCol w:w="108"/>
        <w:gridCol w:w="108"/>
        <w:gridCol w:w="225"/>
        <w:gridCol w:w="1063"/>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sz w:val="20"/>
              </w:rPr>
            </w:pPr>
            <w:r>
              <w:rPr>
                <w:sz w:val="20"/>
              </w:rPr>
              <w:t>$</w:t>
            </w:r>
          </w:p>
        </w:tc>
        <w:tc>
          <w:tcPr>
            <w:tcW w:w="1155" w:type="dxa"/>
            <w:tcBorders/>
            <w:shd w:fill="CCEEFF" w:val="clear"/>
            <w:vAlign w:val="center"/>
          </w:tcPr>
          <w:p>
            <w:pPr>
              <w:pStyle w:val="TableContents"/>
              <w:bidi w:val="0"/>
              <w:spacing w:before="0" w:after="283"/>
              <w:ind w:left="0" w:right="0" w:hanging="0"/>
              <w:jc w:val="right"/>
              <w:rPr>
                <w:sz w:val="20"/>
              </w:rPr>
            </w:pPr>
            <w:r>
              <w:rPr>
                <w:sz w:val="20"/>
              </w:rPr>
              <w:t>4,887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sz w:val="20"/>
              </w:rPr>
            </w:pPr>
            <w:r>
              <w:rPr>
                <w:sz w:val="20"/>
              </w:rPr>
              <w:t>$</w:t>
            </w:r>
          </w:p>
        </w:tc>
        <w:tc>
          <w:tcPr>
            <w:tcW w:w="1155" w:type="dxa"/>
            <w:tcBorders/>
            <w:shd w:fill="CCEEFF" w:val="clear"/>
            <w:vAlign w:val="center"/>
          </w:tcPr>
          <w:p>
            <w:pPr>
              <w:pStyle w:val="TableContents"/>
              <w:bidi w:val="0"/>
              <w:spacing w:before="0" w:after="283"/>
              <w:ind w:left="0" w:right="0" w:hanging="0"/>
              <w:jc w:val="right"/>
              <w:rPr>
                <w:sz w:val="20"/>
              </w:rPr>
            </w:pPr>
            <w:r>
              <w:rPr>
                <w:sz w:val="20"/>
              </w:rPr>
              <w:t>(2,485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sz w:val="20"/>
              </w:rPr>
            </w:pPr>
            <w:r>
              <w:rPr>
                <w:sz w:val="20"/>
              </w:rPr>
              <w:t>$</w:t>
            </w:r>
          </w:p>
        </w:tc>
        <w:tc>
          <w:tcPr>
            <w:tcW w:w="1063" w:type="dxa"/>
            <w:tcBorders/>
            <w:shd w:fill="CCEEFF" w:val="clear"/>
            <w:vAlign w:val="center"/>
          </w:tcPr>
          <w:p>
            <w:pPr>
              <w:pStyle w:val="TableContents"/>
              <w:bidi w:val="0"/>
              <w:spacing w:before="0" w:after="283"/>
              <w:ind w:left="0" w:right="0" w:hanging="0"/>
              <w:jc w:val="right"/>
              <w:rPr>
                <w:sz w:val="20"/>
              </w:rPr>
            </w:pPr>
            <w:r>
              <w:rPr>
                <w:sz w:val="20"/>
              </w:rPr>
              <w:t>2,363</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sz w:val="20"/>
              </w:rPr>
            </w:pPr>
            <w:r>
              <w:rPr>
                <w:sz w:val="20"/>
              </w:rPr>
              <w:t>$</w:t>
            </w:r>
          </w:p>
        </w:tc>
        <w:tc>
          <w:tcPr>
            <w:tcW w:w="1063" w:type="dxa"/>
            <w:tcBorders/>
            <w:shd w:fill="CCEEFF" w:val="clear"/>
            <w:vAlign w:val="center"/>
          </w:tcPr>
          <w:p>
            <w:pPr>
              <w:pStyle w:val="TableContents"/>
              <w:bidi w:val="0"/>
              <w:spacing w:before="0" w:after="283"/>
              <w:ind w:left="0" w:right="0" w:hanging="0"/>
              <w:jc w:val="right"/>
              <w:rPr>
                <w:sz w:val="20"/>
              </w:rPr>
            </w:pPr>
            <w:r>
              <w:rPr>
                <w:sz w:val="20"/>
              </w:rPr>
              <w:t>(7,883</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sz w:val="20"/>
              </w:rPr>
            </w:pPr>
            <w:r>
              <w:rPr>
                <w:sz w:val="20"/>
              </w:rPr>
              <w:t>843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sz w:val="20"/>
              </w:rPr>
            </w:pPr>
            <w:r>
              <w:rPr>
                <w:sz w:val="20"/>
              </w:rPr>
              <w:t>1,111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sz w:val="20"/>
              </w:rPr>
            </w:pPr>
            <w:r>
              <w:rPr>
                <w:sz w:val="20"/>
              </w:rPr>
              <w:t>2,072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sz w:val="20"/>
              </w:rPr>
            </w:pPr>
            <w:r>
              <w:rPr>
                <w:sz w:val="20"/>
              </w:rPr>
              <w:t>2,468</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Acquisition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sz w:val="20"/>
              </w:rPr>
            </w:pPr>
            <w:r>
              <w:rPr>
                <w:sz w:val="20"/>
              </w:rPr>
              <w:t>850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sz w:val="20"/>
              </w:rPr>
            </w:pPr>
            <w:r>
              <w:rPr>
                <w:sz w:val="20"/>
              </w:rPr>
              <w:t>1,080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sz w:val="20"/>
              </w:rPr>
            </w:pPr>
            <w:r>
              <w:rPr>
                <w:sz w:val="20"/>
              </w:rPr>
              <w:t>608</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5" w:type="dxa"/>
            <w:tcBorders/>
            <w:shd w:fill="FFFFFF" w:val="clear"/>
            <w:vAlign w:val="center"/>
          </w:tcPr>
          <w:p>
            <w:pPr>
              <w:pStyle w:val="TableContents"/>
              <w:bidi w:val="0"/>
              <w:spacing w:before="0" w:after="283"/>
              <w:ind w:left="0" w:right="0" w:hanging="0"/>
              <w:jc w:val="right"/>
              <w:rPr>
                <w:sz w:val="20"/>
              </w:rPr>
            </w:pPr>
            <w:r>
              <w:rPr>
                <w:sz w:val="20"/>
              </w:rPr>
              <w:t>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sz w:val="20"/>
              </w:rPr>
            </w:pPr>
            <w:r>
              <w:rPr>
                <w:sz w:val="20"/>
              </w:rPr>
              <w:t>1,020</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sz w:val="20"/>
              </w:rPr>
            </w:pPr>
            <w:r>
              <w:rPr>
                <w:sz w:val="20"/>
              </w:rPr>
              <w:t>1,082</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2,762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6,682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2,200</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Non-GAAP 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9,950</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13,217</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(2,133</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Non-GAAP net income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0.27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0.36</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(0.07</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Non-GAAP net income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0.27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0.36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(0.07</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36,952</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36,317</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28,545</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37,499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28,828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36,951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28,545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incurred non-GAAP net income of $10.0 million and $13.2 million, or $</w:t>
      </w:r>
      <w:r>
        <w:rPr>
          <w:rFonts w:ascii="Times New Roman;Times;serif" w:hAnsi="Times New Roman;Times;serif"/>
          <w:sz w:val="20"/>
        </w:rPr>
        <w:t>0.27</w:t>
      </w:r>
      <w:r>
        <w:rPr>
          <w:rFonts w:ascii="Times New Roman;Times;serif" w:hAnsi="Times New Roman;Times;serif"/>
          <w:sz w:val="20"/>
          <w:shd w:fill="FFFFFF" w:val="clear"/>
        </w:rPr>
        <w:t> and $0.36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2024</w:t>
      </w:r>
      <w:r>
        <w:rPr>
          <w:rFonts w:ascii="Times New Roman;Times;serif" w:hAnsi="Times New Roman;Times;serif"/>
          <w:sz w:val="20"/>
          <w:shd w:fill="FFFFFF" w:val="clear"/>
        </w:rPr>
        <w:t>, respectively, compared to a non-GAAP net income of less than $0.1 million and a non-GAAP net loss of $2.1 million, or $0.00 and $0.07 per share, for the </w:t>
      </w:r>
      <w:r>
        <w:rPr>
          <w:rFonts w:ascii="Times New Roman;Times;serif" w:hAnsi="Times New Roman;Times;serif"/>
          <w:sz w:val="20"/>
        </w:rPr>
        <w:t>three and six</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2023</w:t>
      </w:r>
      <w:r>
        <w:rPr>
          <w:rFonts w:ascii="Times New Roman;Times;serif" w:hAnsi="Times New Roman;Times;serif"/>
          <w:sz w:val="20"/>
          <w:shd w:fill="FFFFFF" w:val="clear"/>
        </w:rPr>
        <w:t>, respectively. The improvement in the non-GAAP net income (loss) for the three and six months ended </w:t>
      </w:r>
      <w:r>
        <w:rPr>
          <w:rFonts w:ascii="Times New Roman;Times;serif" w:hAnsi="Times New Roman;Times;serif"/>
          <w:sz w:val="20"/>
        </w:rPr>
        <w:t>September 30, 2024</w:t>
      </w:r>
      <w:r>
        <w:rPr>
          <w:rFonts w:ascii="Times New Roman;Times;serif" w:hAnsi="Times New Roman;Times;serif"/>
          <w:sz w:val="20"/>
          <w:shd w:fill="FFFFFF" w:val="clear"/>
        </w:rPr>
        <w:t> was due to a lower operating loss driven by higher revenues and gross margins. In the three months ended June 30, 2024, we excluded acquisition costs from the r</w:t>
      </w:r>
      <w:r>
        <w:rPr>
          <w:rFonts w:ascii="Times New Roman;Times;serif" w:hAnsi="Times New Roman;Times;serif"/>
          <w:sz w:val="20"/>
        </w:rPr>
        <w:t xml:space="preserve">econciliation of GAAP to non-GAAP net </w:t>
      </w:r>
      <w:r>
        <w:rPr>
          <w:rFonts w:ascii="Times New Roman;Times;serif" w:hAnsi="Times New Roman;Times;serif"/>
          <w:sz w:val="20"/>
          <w:shd w:fill="FFFFFF" w:val="clear"/>
        </w:rPr>
        <w:t>income (loss) as there was no definitive agreement with respect to the acquisition of Megatran as of June 30, 2024.</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experienced recurring operating losses and, as of </w:t>
      </w:r>
      <w:r>
        <w:rPr>
          <w:rFonts w:ascii="Times New Roman;Times;serif" w:hAnsi="Times New Roman;Times;serif"/>
          <w:sz w:val="20"/>
          <w:shd w:fill="FFFFFF" w:val="clear"/>
        </w:rPr>
        <w:t>September 30, 2024</w:t>
      </w:r>
      <w:r>
        <w:rPr>
          <w:rFonts w:ascii="Times New Roman;Times;serif" w:hAnsi="Times New Roman;Times;serif"/>
          <w:sz w:val="20"/>
        </w:rPr>
        <w:t xml:space="preserve">, had an accumulated deficit of $1,064.3 million.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2024, we filed a shelf registration statement on Form S-3 that will expire three years from the date on which it was declared effective, March 15, 2027 (the “First Form S-3”). The First Form S-3 allows us to offer and sell from time-to-time up to $250 million of common stock, debt securities, warrants or units comprised of any combination of these securities. The First Form S-3 is intended to provide us flexibility to conduct registered sales of our securities, subject to market conditions, in order to fund our future capital needs. The terms of any future offering under the First Form S-3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14, 2024, we completed a public offering of 6,210,000 shares of our common stock at a price of $11.25 per share under our then-existing Registration Statement on Form S-3. We received net proceeds of approximately $65.2 million after deducting underwriting discounts and commissions and offering expenses.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described above, on August 1, 2024, we acquired all of the issued and outstanding shares of Megatran,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our common stock equal to the quotient obtained by dividing (x) $31.4 million by (y) the closing price per share of Common Stock on the Nasdaq Global Select Market on the last trading day immediately preceding August 1, 2024; and (c) an additional cash payment equal to $5.0 million, as adjusted pursuant to Sections 5.6(c), (d), and (f) of the Stock Purchase Agreement. Megatran is now a wholly-owned subsidiary of the Company and, together with its wholly-owned subsidiaries and affiliates, is operated and reported as a component of its Grid business unit. On September 23, 2024, the Company paid the Additional Cash Purchase Price to the selling stockholders, which was calculated based on the agreed upon formula, in the amount of $8.3 million.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August 2024, we filed an automatically-effective shelf registration statement on Form S-3 that will expire no later than August 12, 2027 (the “Second Form S-3”). The Second Form S-3 allows us to offer and sell from time-to-time common stock, debt securities, warrants or units comprised of any combination of these securities and allows certain selling stockholders to offer and sell from time-to-time common stock. The Second Form S-3 is intended to assist the selling stockholders in the resale of their common stock and to provide us flexibility to conduct registered sales of its securities, subject to market conditions, in order to fund our future capital needs. The terms of any future offering under the Second Form S-3 will be established at the time of such offering and will be described in a prospectus supplement filed with the SEC prior to the completion of any such offering.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sz w:val="20"/>
          <w:shd w:fill="FFFFFF" w:val="clear"/>
        </w:rPr>
        <w:t>September 30, 2024</w:t>
      </w:r>
      <w:r>
        <w:rPr>
          <w:rFonts w:ascii="Times New Roman;Times;serif" w:hAnsi="Times New Roman;Times;serif"/>
          <w:sz w:val="20"/>
        </w:rPr>
        <w:t xml:space="preserve">, we had cash, cash equivalents and restricted cash of $74.8 million, compared to $92.3 million as of March 31, 2024, a decrease of $17.5 million. As of </w:t>
      </w:r>
      <w:r>
        <w:rPr>
          <w:rFonts w:ascii="Times New Roman;Times;serif" w:hAnsi="Times New Roman;Times;serif"/>
          <w:sz w:val="20"/>
          <w:shd w:fill="FFFFFF" w:val="clear"/>
        </w:rPr>
        <w:t>September 30, 2024</w:t>
      </w:r>
      <w:r>
        <w:rPr>
          <w:rFonts w:ascii="Times New Roman;Times;serif" w:hAnsi="Times New Roman;Times;serif"/>
          <w:sz w:val="20"/>
        </w:rPr>
        <w:t xml:space="preserve">, we </w:t>
      </w:r>
      <w:r>
        <w:rPr>
          <w:rFonts w:ascii="Times New Roman;Times;serif" w:hAnsi="Times New Roman;Times;serif"/>
          <w:sz w:val="20"/>
          <w:shd w:fill="FFFFFF" w:val="clear"/>
        </w:rPr>
        <w:t>had $3.9 m</w:t>
      </w:r>
      <w:r>
        <w:rPr>
          <w:rFonts w:ascii="Times New Roman;Times;serif" w:hAnsi="Times New Roman;Times;serif"/>
          <w:sz w:val="20"/>
        </w:rPr>
        <w:t>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7168" w:type="dxa"/>
        <w:jc w:val="left"/>
        <w:tblInd w:w="0" w:type="dxa"/>
        <w:tblLayout w:type="fixed"/>
        <w:tblCellMar>
          <w:top w:w="0" w:type="dxa"/>
          <w:left w:w="0" w:type="dxa"/>
          <w:bottom w:w="0" w:type="dxa"/>
          <w:right w:w="0" w:type="dxa"/>
        </w:tblCellMar>
      </w:tblPr>
      <w:tblGrid>
        <w:gridCol w:w="3890"/>
        <w:gridCol w:w="60"/>
        <w:gridCol w:w="293"/>
        <w:gridCol w:w="1391"/>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90,522</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2024, net cash provided by operating activities was $16.1 million, compared to cash used in operations of $1.3 million for the six months ended September 30, 2023. The increase in cash flows provided by operating activities in the six months ended September 30, 2024 was due primarily to increased net income, increased deferred revenue, decrease in cash spent on accounts payable and accrued expenses, and a decrease in inventory purchases, and change in fair value of contingent consideration, offset by cash spent on prepaid expenses, deferred income taxes, decreased accounts receivable, and a decrease in operating leases.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2024, net cash used in investing activities was $33.5 million, compared to $0.4 million for the six months ended September 30, 2023. The increase in net cash used in investing activities was primarily due to cash paid for the acquisition of Megatran.</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September 30, 2024, net cash used in financing activities was $0.1 million compared to net cash provided by financing activities of $0.1 million for the six months ended September 30, 2023. The decrease was due to the repurchase of common stock in connection with employee tax obligations upon the vesting of stock awards, offset by proceeds related to ESPP.</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September 30, 2024, we had $1.5 million of restricted cash included in long-term assets and $1.2 million of restricted cash included in current assets. At March 31, 2024, we had $1.3 million of restricted cash included in long-term assets and $0.5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September 30, 2024, while others are considered future commitments. We have various contractual arrangements, under which we have committed to purchase certain minimum quantities of goods or services on an annual basis. For information regarding our other contractual obligations, refer to Note 15, "Contingent Consideration," Note 16, "Debt," Note 17, "Leases" and Note 18, "Commitments and Contingencies" to our condensed consolidated financial statements included elsewhere in this Quarterly Report on Form 10-Q.</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the next twelve months. We recently raised $65.2 million, net of offering expenses, through an equity raise in February 2024.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global sources of instability, including the ongoing wars between Russia and Ukraine and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2024. As of September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September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2024, the FASB issued ASU 2024-02,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The amendments in ASU 2024-02 contain amendments to the Codification that remove references to various FASB Concepts Statements. Following the release of ASU 2024-02 in March 2024, the effective date will be annual reporting periods beginning after December 15, 2024. As of September 30, 2024,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September 30, 2024</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September 30, 2024</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September 30, 2024</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2024, filed with the SEC on May 29, 2024.</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9426" w:type="dxa"/>
        <w:jc w:val="left"/>
        <w:tblInd w:w="0" w:type="dxa"/>
        <w:tblLayout w:type="fixed"/>
        <w:tblCellMar>
          <w:top w:w="0" w:type="dxa"/>
          <w:left w:w="0" w:type="dxa"/>
          <w:bottom w:w="28" w:type="dxa"/>
          <w:right w:w="0" w:type="dxa"/>
        </w:tblCellMar>
      </w:tblPr>
      <w:tblGrid>
        <w:gridCol w:w="3305"/>
        <w:gridCol w:w="60"/>
        <w:gridCol w:w="227"/>
        <w:gridCol w:w="992"/>
        <w:gridCol w:w="60"/>
        <w:gridCol w:w="60"/>
        <w:gridCol w:w="168"/>
        <w:gridCol w:w="736"/>
        <w:gridCol w:w="60"/>
        <w:gridCol w:w="60"/>
        <w:gridCol w:w="294"/>
        <w:gridCol w:w="1285"/>
        <w:gridCol w:w="60"/>
        <w:gridCol w:w="60"/>
        <w:gridCol w:w="969"/>
        <w:gridCol w:w="970"/>
        <w:gridCol w:w="60"/>
      </w:tblGrid>
      <w:tr>
        <w:trPr/>
        <w:tc>
          <w:tcPr>
            <w:tcW w:w="33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2024 - July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2024 - August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 2024 -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September 30, 2024</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2"/>
        <w:gridCol w:w="60"/>
        <w:gridCol w:w="5410"/>
        <w:gridCol w:w="60"/>
        <w:gridCol w:w="500"/>
        <w:gridCol w:w="60"/>
        <w:gridCol w:w="710"/>
        <w:gridCol w:w="60"/>
        <w:gridCol w:w="650"/>
        <w:gridCol w:w="60"/>
        <w:gridCol w:w="873"/>
        <w:gridCol w:w="60"/>
        <w:gridCol w:w="980"/>
      </w:tblGrid>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3"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2"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hyperlink r:id="rId2">
              <w:r>
                <w:rPr>
                  <w:rStyle w:val="InternetLink"/>
                </w:rPr>
                <w:t>Stock Purchase Agreement, dated August 1, 2024, by and among the Company, the Selling Stockholders, Megatran and James David Seitz, an individual, solely in his capacity as the stockholder representative thereunder.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10"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center"/>
              <w:rPr/>
            </w:pPr>
            <w:r>
              <w:rPr/>
              <w:t> </w:t>
            </w:r>
          </w:p>
        </w:tc>
        <w:tc>
          <w:tcPr>
            <w:tcW w:w="873" w:type="dxa"/>
            <w:tcBorders/>
            <w:vAlign w:val="center"/>
          </w:tcPr>
          <w:p>
            <w:pPr>
              <w:pStyle w:val="TableContents"/>
              <w:bidi w:val="0"/>
              <w:spacing w:before="0" w:after="283"/>
              <w:jc w:val="center"/>
              <w:rPr/>
            </w:pPr>
            <w:r>
              <w:rPr/>
              <w:t>August 5, 2024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hyperlink r:id="rId3">
              <w:r>
                <w:rPr>
                  <w:rStyle w:val="InternetLink"/>
                </w:rPr>
                <w:t>2022 Stock Incentive Plan, as Amended and Restated.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10"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center"/>
              <w:rPr/>
            </w:pPr>
            <w:r>
              <w:rPr/>
              <w:t> </w:t>
            </w:r>
          </w:p>
        </w:tc>
        <w:tc>
          <w:tcPr>
            <w:tcW w:w="873" w:type="dxa"/>
            <w:tcBorders/>
            <w:vAlign w:val="center"/>
          </w:tcPr>
          <w:p>
            <w:pPr>
              <w:pStyle w:val="TableContents"/>
              <w:bidi w:val="0"/>
              <w:spacing w:before="0" w:after="283"/>
              <w:jc w:val="center"/>
              <w:rPr/>
            </w:pPr>
            <w:r>
              <w:rPr/>
              <w:t>August 5, 2024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hyperlink r:id="rId4">
              <w:r>
                <w:rPr>
                  <w:rStyle w:val="InternetLink"/>
                </w:rPr>
                <w:t>Amended and Restated 2007 Director Stock Plan,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10"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center"/>
              <w:rPr/>
            </w:pPr>
            <w:r>
              <w:rPr/>
              <w:t> </w:t>
            </w:r>
          </w:p>
        </w:tc>
        <w:tc>
          <w:tcPr>
            <w:tcW w:w="873" w:type="dxa"/>
            <w:tcBorders/>
            <w:vAlign w:val="center"/>
          </w:tcPr>
          <w:p>
            <w:pPr>
              <w:pStyle w:val="TableContents"/>
              <w:bidi w:val="0"/>
              <w:spacing w:before="0" w:after="283"/>
              <w:jc w:val="center"/>
              <w:rPr/>
            </w:pPr>
            <w:r>
              <w:rPr/>
              <w:t>August 5, 2024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hyperlink w:anchor="ex_715887.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hyperlink w:anchor="ex_715888.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hyperlink w:anchor="ex_715889.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hyperlink w:anchor="ex_715890.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pPr>
            <w:r>
              <w:rPr/>
              <w:t> </w:t>
            </w:r>
          </w:p>
        </w:tc>
      </w:tr>
      <w:tr>
        <w:trPr/>
        <w:tc>
          <w:tcPr>
            <w:tcW w:w="7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September 30, 2024</w:t>
      </w:r>
      <w:r>
        <w:rPr>
          <w:rFonts w:ascii="Times New Roman;Times;serif" w:hAnsi="Times New Roman;Times;serif"/>
          <w:sz w:val="20"/>
        </w:rPr>
        <w:t xml:space="preserve"> and March 31, 2024 (ii) Statements of Operations for the three and six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and 2023, (iii) Condensed Consolidated Statements of Comprehensive Loss for the three and six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and 2023, (iv) Condensed Consolidated Statements of Cash Flows for the six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and 2023,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6"/>
        <w:gridCol w:w="1559"/>
        <w:gridCol w:w="320"/>
        <w:gridCol w:w="7880"/>
      </w:tblGrid>
      <w:tr>
        <w:trPr/>
        <w:tc>
          <w:tcPr>
            <w:tcW w:w="446"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left"/>
              <w:rPr/>
            </w:pPr>
            <w:r>
              <w:rPr/>
              <w:t> </w:t>
            </w:r>
          </w:p>
        </w:tc>
        <w:tc>
          <w:tcPr>
            <w:tcW w:w="82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6"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left"/>
              <w:rPr/>
            </w:pPr>
            <w:r>
              <w:rPr/>
              <w:t> </w:t>
            </w:r>
          </w:p>
        </w:tc>
      </w:tr>
      <w:tr>
        <w:trPr/>
        <w:tc>
          <w:tcPr>
            <w:tcW w:w="446"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78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59" w:type="dxa"/>
            <w:tcBorders/>
            <w:vAlign w:val="center"/>
          </w:tcPr>
          <w:p>
            <w:pPr>
              <w:pStyle w:val="TableContents"/>
              <w:bidi w:val="0"/>
              <w:spacing w:before="0" w:after="283"/>
              <w:jc w:val="left"/>
              <w:rPr/>
            </w:pPr>
            <w:r>
              <w:rPr/>
              <w:t>October 30, 2024</w:t>
            </w:r>
          </w:p>
        </w:tc>
        <w:tc>
          <w:tcPr>
            <w:tcW w:w="320"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6" w:type="dxa"/>
            <w:tcBorders/>
            <w:vAlign w:val="center"/>
          </w:tcPr>
          <w:p>
            <w:pPr>
              <w:pStyle w:val="TableContents"/>
              <w:bidi w:val="0"/>
              <w:spacing w:before="0" w:after="0"/>
              <w:ind w:left="0" w:right="0" w:hanging="0"/>
              <w:jc w:val="left"/>
              <w:rPr/>
            </w:pPr>
            <w:r>
              <w:rPr/>
              <w:t> </w:t>
            </w:r>
          </w:p>
        </w:tc>
        <w:tc>
          <w:tcPr>
            <w:tcW w:w="1559"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8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right"/>
        <w:rPr>
          <w:rFonts w:ascii="Times New Roman;Times;serif" w:hAnsi="Times New Roman;Times;serif"/>
          <w:b/>
          <w:sz w:val="20"/>
        </w:rPr>
      </w:pPr>
      <w:bookmarkStart w:id="17" w:name="ex_715887.htm"/>
      <w:bookmarkStart w:id="18" w:name="ksex_715887"/>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400" w:type="dxa"/>
        <w:jc w:val="left"/>
        <w:tblInd w:w="0" w:type="dxa"/>
        <w:tblLayout w:type="fixed"/>
        <w:tblCellMar>
          <w:top w:w="0" w:type="dxa"/>
          <w:left w:w="0" w:type="dxa"/>
          <w:bottom w:w="28" w:type="dxa"/>
          <w:right w:w="0" w:type="dxa"/>
        </w:tblCellMar>
      </w:tblPr>
      <w:tblGrid>
        <w:gridCol w:w="455"/>
        <w:gridCol w:w="168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85" w:type="dxa"/>
            <w:tcBorders>
              <w:bottom w:val="single" w:sz="2" w:space="0" w:color="000000"/>
            </w:tcBorders>
            <w:vAlign w:val="center"/>
          </w:tcPr>
          <w:p>
            <w:pPr>
              <w:pStyle w:val="TableContents"/>
              <w:bidi w:val="0"/>
              <w:spacing w:before="0" w:after="283"/>
              <w:jc w:val="left"/>
              <w:rPr/>
            </w:pPr>
            <w:bookmarkStart w:id="19" w:name="led11849F20246121720812513565"/>
            <w:bookmarkEnd w:id="19"/>
            <w:r>
              <w:rPr/>
              <w:t>October 30,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715888.htm"/>
      <w:bookmarkStart w:id="21" w:name="ksex_715888"/>
      <w:bookmarkEnd w:id="20"/>
      <w:bookmarkEnd w:id="21"/>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400" w:type="dxa"/>
        <w:jc w:val="left"/>
        <w:tblInd w:w="0" w:type="dxa"/>
        <w:tblLayout w:type="fixed"/>
        <w:tblCellMar>
          <w:top w:w="0" w:type="dxa"/>
          <w:left w:w="0" w:type="dxa"/>
          <w:bottom w:w="28" w:type="dxa"/>
          <w:right w:w="0" w:type="dxa"/>
        </w:tblCellMar>
      </w:tblPr>
      <w:tblGrid>
        <w:gridCol w:w="455"/>
        <w:gridCol w:w="168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85" w:type="dxa"/>
            <w:tcBorders>
              <w:bottom w:val="single" w:sz="2" w:space="0" w:color="000000"/>
            </w:tcBorders>
            <w:vAlign w:val="center"/>
          </w:tcPr>
          <w:p>
            <w:pPr>
              <w:pStyle w:val="TableContents"/>
              <w:bidi w:val="0"/>
              <w:spacing w:before="0" w:after="283"/>
              <w:jc w:val="left"/>
              <w:rPr/>
            </w:pPr>
            <w:bookmarkStart w:id="22" w:name="led11849F20246121720812542421"/>
            <w:bookmarkEnd w:id="22"/>
            <w:r>
              <w:rPr/>
              <w:t>October 30,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3" w:name="ex_715889.htm"/>
      <w:bookmarkStart w:id="24" w:name="ksex_715889"/>
      <w:bookmarkEnd w:id="23"/>
      <w:bookmarkEnd w:id="24"/>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5" w:name="led11848F20218221632321164177"/>
      <w:bookmarkEnd w:id="25"/>
      <w:r>
        <w:rPr>
          <w:rFonts w:ascii="Times New Roman;Times;serif" w:hAnsi="Times New Roman;Times;serif"/>
          <w:sz w:val="20"/>
        </w:rPr>
        <w:t>September 30, 2024,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400" w:type="dxa"/>
        <w:jc w:val="left"/>
        <w:tblInd w:w="0" w:type="dxa"/>
        <w:tblLayout w:type="fixed"/>
        <w:tblCellMar>
          <w:top w:w="0" w:type="dxa"/>
          <w:left w:w="0" w:type="dxa"/>
          <w:bottom w:w="0" w:type="dxa"/>
          <w:right w:w="0" w:type="dxa"/>
        </w:tblCellMar>
      </w:tblPr>
      <w:tblGrid>
        <w:gridCol w:w="455"/>
        <w:gridCol w:w="1685"/>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85" w:type="dxa"/>
            <w:tcBorders/>
            <w:vAlign w:val="center"/>
          </w:tcPr>
          <w:p>
            <w:pPr>
              <w:pStyle w:val="TableContents"/>
              <w:bidi w:val="0"/>
              <w:spacing w:before="0" w:after="283"/>
              <w:jc w:val="left"/>
              <w:rPr/>
            </w:pPr>
            <w:bookmarkStart w:id="26" w:name="led11849F20246121720812578499"/>
            <w:bookmarkEnd w:id="26"/>
            <w:r>
              <w:rPr/>
              <w:t>October 30, 2024</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68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68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7" w:name="ex_715890.htm"/>
      <w:bookmarkStart w:id="28" w:name="ksex_715890"/>
      <w:bookmarkEnd w:id="27"/>
      <w:bookmarkEnd w:id="28"/>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9" w:name="led11848F20217171629241168204"/>
      <w:bookmarkEnd w:id="29"/>
      <w:r>
        <w:rPr>
          <w:rFonts w:ascii="Times New Roman;Times;serif" w:hAnsi="Times New Roman;Times;serif"/>
          <w:sz w:val="20"/>
        </w:rPr>
        <w:t>September 30, 2024,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400" w:type="dxa"/>
        <w:jc w:val="left"/>
        <w:tblInd w:w="0" w:type="dxa"/>
        <w:tblLayout w:type="fixed"/>
        <w:tblCellMar>
          <w:top w:w="0" w:type="dxa"/>
          <w:left w:w="0" w:type="dxa"/>
          <w:bottom w:w="28" w:type="dxa"/>
          <w:right w:w="0" w:type="dxa"/>
        </w:tblCellMar>
      </w:tblPr>
      <w:tblGrid>
        <w:gridCol w:w="455"/>
        <w:gridCol w:w="1685"/>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685" w:type="dxa"/>
            <w:tcBorders>
              <w:bottom w:val="single" w:sz="2" w:space="0" w:color="000000"/>
            </w:tcBorders>
            <w:vAlign w:val="center"/>
          </w:tcPr>
          <w:p>
            <w:pPr>
              <w:pStyle w:val="TableContents"/>
              <w:bidi w:val="0"/>
              <w:spacing w:before="0" w:after="283"/>
              <w:jc w:val="left"/>
              <w:rPr/>
            </w:pPr>
            <w:bookmarkStart w:id="30" w:name="led11849F20246121720812606251"/>
            <w:bookmarkEnd w:id="30"/>
            <w:r>
              <w:rPr/>
              <w:t>October 30, 2024</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68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880807/000119312524193425/d878518d8k.htm" TargetMode="External"/><Relationship Id="rId3" Type="http://schemas.openxmlformats.org/officeDocument/2006/relationships/hyperlink" Target="http://www.sec.gov/Archives/edgar/data/880807/000119312524193965/d864096dex101.htm" TargetMode="External"/><Relationship Id="rId4" Type="http://schemas.openxmlformats.org/officeDocument/2006/relationships/hyperlink" Target="http://www.sec.gov/Archives/edgar/data/880807/000119312524193965/d864096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21645</Words>
  <Characters>118270</Characters>
  <CharactersWithSpaces>142539</CharactersWithSpaces>
  <Paragraphs>7365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