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sc20240630_10q.htm"/>
      <w:bookmarkStart w:id="1" w:name="ksamsc20240630_10q"/>
      <w:bookmarkEnd w:id="0"/>
      <w:bookmarkEnd w:id="1"/>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UNITED STATES</w:t>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SECURITIES AND EXCHANGE COMMISSION</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FORM 10-Q</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pPr>
            <w:r>
              <w:rPr/>
              <w:t>☒</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2024</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ind w:left="0" w:right="0" w:hanging="0"/>
              <w:jc w:val="left"/>
              <w:rPr/>
            </w:pPr>
            <w:r>
              <w:rPr/>
              <w:t>☐</w:t>
            </w:r>
          </w:p>
        </w:tc>
        <w:tc>
          <w:tcPr>
            <w:tcW w:w="7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_____ </w:t>
      </w:r>
      <w:r>
        <w:rPr>
          <w:rFonts w:ascii="Times New Roman;Times;serif" w:hAnsi="Times New Roman;Times;serif"/>
          <w:b/>
          <w:sz w:val="20"/>
        </w:rPr>
        <w:t xml:space="preserve">to </w:t>
      </w:r>
      <w:r>
        <w:rPr>
          <w:rFonts w:ascii="Times New Roman;Times;serif" w:hAnsi="Times New Roman;Times;serif"/>
          <w:sz w:val="20"/>
        </w:rPr>
        <w:t>_____</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0-19672</w:t>
      </w:r>
    </w:p>
    <w:p>
      <w:pPr>
        <w:pStyle w:val="TextBody"/>
        <w:bidi w:val="0"/>
        <w:spacing w:before="120" w:after="12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44"/>
        </w:rPr>
      </w:pPr>
      <w:r>
        <w:rPr>
          <w:rFonts w:ascii="Times New Roman" w:hAnsi="Times New Roman"/>
          <w:b/>
          <w:sz w:val="44"/>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4645" w:type="dxa"/>
        <w:jc w:val="left"/>
        <w:tblInd w:w="0" w:type="dxa"/>
        <w:tblLayout w:type="fixed"/>
        <w:tblCellMar>
          <w:top w:w="0" w:type="dxa"/>
          <w:left w:w="0" w:type="dxa"/>
          <w:bottom w:w="0" w:type="dxa"/>
          <w:right w:w="0" w:type="dxa"/>
        </w:tblCellMar>
      </w:tblPr>
      <w:tblGrid>
        <w:gridCol w:w="3275"/>
        <w:gridCol w:w="1370"/>
      </w:tblGrid>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04-2959321</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327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114 East Main St. Ayer, Massachusetts</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01432</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842-3000</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ind w:left="0" w:right="0" w:hanging="0"/>
        <w:jc w:val="center"/>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144" w:right="144" w:hanging="0"/>
        <w:jc w:val="center"/>
        <w:rPr/>
      </w:pPr>
      <w:r>
        <w:rPr/>
        <w:t> </w:t>
      </w:r>
    </w:p>
    <w:tbl>
      <w:tblPr>
        <w:tblW w:w="7185" w:type="dxa"/>
        <w:jc w:val="left"/>
        <w:tblInd w:w="0" w:type="dxa"/>
        <w:tblLayout w:type="fixed"/>
        <w:tblCellMar>
          <w:top w:w="0" w:type="dxa"/>
          <w:left w:w="0" w:type="dxa"/>
          <w:bottom w:w="28" w:type="dxa"/>
          <w:right w:w="0" w:type="dxa"/>
        </w:tblCellMar>
      </w:tblPr>
      <w:tblGrid>
        <w:gridCol w:w="2060"/>
        <w:gridCol w:w="1535"/>
        <w:gridCol w:w="3590"/>
      </w:tblGrid>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br/>
              <w:t>$0.01 par value per share</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AMSC</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05" w:type="dxa"/>
        <w:jc w:val="left"/>
        <w:tblInd w:w="0" w:type="dxa"/>
        <w:tblLayout w:type="fixed"/>
        <w:tblCellMar>
          <w:top w:w="45" w:type="dxa"/>
          <w:left w:w="45" w:type="dxa"/>
          <w:bottom w:w="45" w:type="dxa"/>
          <w:right w:w="45" w:type="dxa"/>
        </w:tblCellMar>
      </w:tblPr>
      <w:tblGrid>
        <w:gridCol w:w="2150"/>
        <w:gridCol w:w="2555"/>
      </w:tblGrid>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50" w:type="dxa"/>
            <w:tcBorders/>
            <w:vAlign w:val="center"/>
          </w:tcPr>
          <w:p>
            <w:pPr>
              <w:pStyle w:val="TableContents"/>
              <w:bidi w:val="0"/>
              <w:spacing w:before="0" w:after="0"/>
              <w:ind w:left="0" w:right="0" w:hanging="0"/>
              <w:jc w:val="left"/>
              <w:rPr/>
            </w:pPr>
            <w:r>
              <w:rPr/>
              <w:t>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outstanding of the Registrant’s common stock:</w:t>
      </w:r>
    </w:p>
    <w:p>
      <w:pPr>
        <w:pStyle w:val="TextBody"/>
        <w:bidi w:val="0"/>
        <w:spacing w:before="0" w:after="0"/>
        <w:ind w:left="0" w:right="0" w:hanging="0"/>
        <w:jc w:val="center"/>
        <w:rPr/>
      </w:pPr>
      <w:r>
        <w:rPr/>
        <w:t> </w:t>
      </w:r>
    </w:p>
    <w:tbl>
      <w:tblPr>
        <w:tblW w:w="6430" w:type="dxa"/>
        <w:jc w:val="left"/>
        <w:tblInd w:w="0" w:type="dxa"/>
        <w:tblLayout w:type="fixed"/>
        <w:tblCellMar>
          <w:top w:w="0" w:type="dxa"/>
          <w:left w:w="0" w:type="dxa"/>
          <w:bottom w:w="28" w:type="dxa"/>
          <w:right w:w="0" w:type="dxa"/>
        </w:tblCellMar>
      </w:tblPr>
      <w:tblGrid>
        <w:gridCol w:w="3575"/>
        <w:gridCol w:w="60"/>
        <w:gridCol w:w="279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par value $0.01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38,295,761</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shd w:fill="FFFFFF" w:val="clear"/>
              </w:rPr>
              <w:t xml:space="preserve">Outstanding as </w:t>
            </w:r>
            <w:r>
              <w:rPr>
                <w:rFonts w:ascii="Times New Roman;Times;serif" w:hAnsi="Times New Roman;Times;serif"/>
                <w:b/>
                <w:sz w:val="20"/>
              </w:rPr>
              <w:t>of August 2, 2024</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83"/>
        <w:jc w:val="left"/>
        <w:rPr/>
      </w:pPr>
      <w:r>
        <w:rPr/>
        <w:t> </w:t>
      </w:r>
    </w:p>
    <w:tbl>
      <w:tblPr>
        <w:tblW w:w="8880" w:type="dxa"/>
        <w:jc w:val="left"/>
        <w:tblInd w:w="0" w:type="dxa"/>
        <w:tblLayout w:type="fixed"/>
        <w:tblCellMar>
          <w:top w:w="0" w:type="dxa"/>
          <w:left w:w="0" w:type="dxa"/>
          <w:bottom w:w="0" w:type="dxa"/>
          <w:right w:w="0" w:type="dxa"/>
        </w:tblCellMar>
      </w:tblPr>
      <w:tblGrid>
        <w:gridCol w:w="815"/>
        <w:gridCol w:w="7280"/>
        <w:gridCol w:w="785"/>
      </w:tblGrid>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8095" w:type="dxa"/>
            <w:gridSpan w:val="2"/>
            <w:tcBorders/>
            <w:vAlign w:val="center"/>
          </w:tcPr>
          <w:p>
            <w:pPr>
              <w:pStyle w:val="TableContents"/>
              <w:bidi w:val="0"/>
              <w:spacing w:before="0" w:after="0"/>
              <w:ind w:left="0" w:right="0" w:hanging="0"/>
              <w:jc w:val="left"/>
              <w:rPr/>
            </w:pPr>
            <w:hyperlink w:anchor="partone">
              <w:r>
                <w:rPr>
                  <w:rStyle w:val="InternetLink"/>
                  <w:rFonts w:ascii="Times New Roman;Times;serif" w:hAnsi="Times New Roman;Times;serif"/>
                  <w:sz w:val="20"/>
                </w:rPr>
                <w:t>PART I—FINANCIAL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finstate">
              <w:r>
                <w:rPr>
                  <w:rStyle w:val="InternetLink"/>
                  <w:rFonts w:ascii="Times New Roman;Times;serif" w:hAnsi="Times New Roman;Times;serif"/>
                  <w:sz w:val="20"/>
                </w:rPr>
                <w:t>Financial Statements</w:t>
              </w:r>
            </w:hyperlink>
          </w:p>
        </w:tc>
        <w:tc>
          <w:tcPr>
            <w:tcW w:w="785" w:type="dxa"/>
            <w:tcBorders/>
            <w:vAlign w:val="center"/>
          </w:tcPr>
          <w:p>
            <w:pPr>
              <w:pStyle w:val="TableContents"/>
              <w:bidi w:val="0"/>
              <w:spacing w:before="0" w:after="0"/>
              <w:ind w:left="0" w:right="0" w:hanging="0"/>
              <w:jc w:val="right"/>
              <w:rPr/>
            </w:pPr>
            <w:hyperlink w:anchor="finstate">
              <w:r>
                <w:rPr>
                  <w:rStyle w:val="InternetLink"/>
                  <w:rFonts w:ascii="Times New Roman;Times;serif" w:hAnsi="Times New Roman;Times;serif"/>
                  <w:sz w:val="20"/>
                </w:rPr>
                <w:t>3</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mdna">
              <w:r>
                <w:rPr>
                  <w:rStyle w:val="InternetLink"/>
                  <w:rFonts w:ascii="Times New Roman;Times;serif" w:hAnsi="Times New Roman;Times;serif"/>
                  <w:sz w:val="20"/>
                </w:rPr>
                <w:t>Management’s Discussion and Analysis of Financial Condition and Results of Operations</w:t>
              </w:r>
            </w:hyperlink>
          </w:p>
        </w:tc>
        <w:tc>
          <w:tcPr>
            <w:tcW w:w="785" w:type="dxa"/>
            <w:tcBorders/>
            <w:vAlign w:val="center"/>
          </w:tcPr>
          <w:p>
            <w:pPr>
              <w:pStyle w:val="TableContents"/>
              <w:bidi w:val="0"/>
              <w:spacing w:before="0" w:after="0"/>
              <w:ind w:left="0" w:right="0" w:hanging="0"/>
              <w:jc w:val="right"/>
              <w:rPr/>
            </w:pPr>
            <w:hyperlink w:anchor="mdna">
              <w:r>
                <w:rPr>
                  <w:rStyle w:val="InternetLink"/>
                  <w:rFonts w:ascii="Times New Roman;Times;serif" w:hAnsi="Times New Roman;Times;serif"/>
                  <w:sz w:val="20"/>
                </w:rPr>
                <w:t>27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785"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35</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785"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35</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095"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sz w:val="20"/>
                </w:rPr>
                <w:t>PART II—OTHER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itemone">
              <w:r>
                <w:rPr>
                  <w:rStyle w:val="InternetLink"/>
                  <w:rFonts w:ascii="Times New Roman;Times;serif" w:hAnsi="Times New Roman;Times;serif"/>
                  <w:sz w:val="20"/>
                </w:rPr>
                <w:t>Legal Proceedings</w:t>
              </w:r>
            </w:hyperlink>
          </w:p>
        </w:tc>
        <w:tc>
          <w:tcPr>
            <w:tcW w:w="785" w:type="dxa"/>
            <w:tcBorders/>
            <w:vAlign w:val="center"/>
          </w:tcPr>
          <w:p>
            <w:pPr>
              <w:pStyle w:val="TableContents"/>
              <w:bidi w:val="0"/>
              <w:spacing w:before="0" w:after="0"/>
              <w:ind w:left="0" w:right="0" w:hanging="0"/>
              <w:jc w:val="right"/>
              <w:rPr/>
            </w:pPr>
            <w:hyperlink w:anchor="itemone">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280"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785" w:type="dxa"/>
            <w:tcBorders/>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unregsales">
              <w:r>
                <w:rPr>
                  <w:rStyle w:val="InternetLink"/>
                  <w:rFonts w:ascii="Times New Roman;Times;serif" w:hAnsi="Times New Roman;Times;serif"/>
                  <w:sz w:val="20"/>
                  <w:shd w:fill="FFFFFF" w:val="clear"/>
                </w:rPr>
                <w:t>Unregistered Sales of Equity Securities and Use of Proceeds</w:t>
              </w:r>
            </w:hyperlink>
          </w:p>
        </w:tc>
        <w:tc>
          <w:tcPr>
            <w:tcW w:w="785" w:type="dxa"/>
            <w:tcBorders/>
            <w:vAlign w:val="center"/>
          </w:tcPr>
          <w:p>
            <w:pPr>
              <w:pStyle w:val="TableContents"/>
              <w:bidi w:val="0"/>
              <w:spacing w:before="0" w:after="0"/>
              <w:ind w:left="0" w:right="0" w:hanging="0"/>
              <w:jc w:val="right"/>
              <w:rPr/>
            </w:pPr>
            <w:hyperlink w:anchor="unregsales">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three">
              <w:r>
                <w:rPr>
                  <w:rStyle w:val="InternetLink"/>
                  <w:rFonts w:ascii="Times New Roman;Times;serif" w:hAnsi="Times New Roman;Times;serif"/>
                  <w:sz w:val="20"/>
                </w:rPr>
                <w:t>Defaults Upon Senior Securities</w:t>
              </w:r>
            </w:hyperlink>
          </w:p>
        </w:tc>
        <w:tc>
          <w:tcPr>
            <w:tcW w:w="785" w:type="dxa"/>
            <w:tcBorders/>
            <w:vAlign w:val="center"/>
          </w:tcPr>
          <w:p>
            <w:pPr>
              <w:pStyle w:val="TableContents"/>
              <w:bidi w:val="0"/>
              <w:spacing w:before="0" w:after="0"/>
              <w:ind w:left="0" w:right="0" w:hanging="0"/>
              <w:jc w:val="right"/>
              <w:rPr/>
            </w:pPr>
            <w:hyperlink w:anchor="itemthree">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four">
              <w:r>
                <w:rPr>
                  <w:rStyle w:val="InternetLink"/>
                  <w:rFonts w:ascii="Times New Roman;Times;serif" w:hAnsi="Times New Roman;Times;serif"/>
                  <w:sz w:val="20"/>
                </w:rPr>
                <w:t>Mine Safety Disclosure</w:t>
              </w:r>
            </w:hyperlink>
          </w:p>
        </w:tc>
        <w:tc>
          <w:tcPr>
            <w:tcW w:w="785" w:type="dxa"/>
            <w:tcBorders/>
            <w:vAlign w:val="center"/>
          </w:tcPr>
          <w:p>
            <w:pPr>
              <w:pStyle w:val="TableContents"/>
              <w:bidi w:val="0"/>
              <w:spacing w:before="0" w:after="0"/>
              <w:ind w:left="0" w:right="0" w:hanging="0"/>
              <w:jc w:val="right"/>
              <w:rPr/>
            </w:pPr>
            <w:hyperlink w:anchor="itemfour">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7280"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Other Information</w:t>
              </w:r>
            </w:hyperlink>
          </w:p>
        </w:tc>
        <w:tc>
          <w:tcPr>
            <w:tcW w:w="785" w:type="dxa"/>
            <w:tcBorders/>
            <w:vAlign w:val="center"/>
          </w:tcPr>
          <w:p>
            <w:pPr>
              <w:pStyle w:val="TableContents"/>
              <w:bidi w:val="0"/>
              <w:spacing w:before="0" w:after="0"/>
              <w:ind w:left="0" w:right="0" w:hanging="0"/>
              <w:jc w:val="right"/>
              <w:rPr/>
            </w:pPr>
            <w:hyperlink w:anchor="item5">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280"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sz w:val="20"/>
                </w:rPr>
                <w:t>Exhibits</w:t>
              </w:r>
            </w:hyperlink>
          </w:p>
        </w:tc>
        <w:tc>
          <w:tcPr>
            <w:tcW w:w="785" w:type="dxa"/>
            <w:tcBorders/>
            <w:vAlign w:val="center"/>
          </w:tcPr>
          <w:p>
            <w:pPr>
              <w:pStyle w:val="TableContents"/>
              <w:bidi w:val="0"/>
              <w:spacing w:before="0" w:after="0"/>
              <w:ind w:left="0" w:right="0" w:hanging="0"/>
              <w:jc w:val="right"/>
              <w:rPr/>
            </w:pPr>
            <w:hyperlink w:anchor="item6">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hyperlink w:anchor="signature">
              <w:r>
                <w:rPr>
                  <w:rStyle w:val="InternetLink"/>
                  <w:rFonts w:ascii="Times New Roman;Times;serif" w:hAnsi="Times New Roman;Times;serif"/>
                  <w:sz w:val="20"/>
                </w:rPr>
                <w:t>Signature</w:t>
              </w:r>
            </w:hyperlink>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hyperlink w:anchor="signature">
              <w:r>
                <w:rPr>
                  <w:rStyle w:val="InternetLink"/>
                  <w:rFonts w:ascii="Times New Roman;Times;serif" w:hAnsi="Times New Roman;Times;serif"/>
                  <w:sz w:val="20"/>
                </w:rPr>
                <w:t>38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lineRule="auto" w:line="480" w:before="0" w:after="0"/>
        <w:ind w:left="0" w:right="0" w:hanging="0"/>
        <w:jc w:val="center"/>
        <w:rPr>
          <w:rFonts w:ascii="Times New Roman" w:hAnsi="Times New Roman"/>
          <w:b/>
          <w:sz w:val="20"/>
        </w:rPr>
      </w:pPr>
      <w:r>
        <w:rPr>
          <w:rFonts w:ascii="Times New Roman" w:hAnsi="Times New Roman"/>
          <w:b/>
          <w:sz w:val="20"/>
        </w:rPr>
        <w:t>AMERICAN SUPERCONDUCTOR CORPORATION</w:t>
      </w:r>
    </w:p>
    <w:p>
      <w:pPr>
        <w:pStyle w:val="TextBody"/>
        <w:bidi w:val="0"/>
        <w:spacing w:lineRule="auto" w:line="480" w:before="0" w:after="0"/>
        <w:ind w:left="0" w:right="0" w:hanging="0"/>
        <w:jc w:val="center"/>
        <w:rPr>
          <w:rFonts w:ascii="Times New Roman;Times;serif" w:hAnsi="Times New Roman;Times;serif"/>
          <w:b/>
          <w:sz w:val="20"/>
        </w:rPr>
      </w:pPr>
      <w:bookmarkStart w:id="3" w:name="partone"/>
      <w:bookmarkEnd w:id="3"/>
      <w:r>
        <w:rPr>
          <w:rFonts w:ascii="Times New Roman;Times;serif" w:hAnsi="Times New Roman;Times;serif"/>
          <w:b/>
          <w:sz w:val="20"/>
        </w:rPr>
        <w:t>PART I — FINANCIAL INFORMATION</w:t>
      </w:r>
    </w:p>
    <w:p>
      <w:pPr>
        <w:pStyle w:val="TextBody"/>
        <w:bidi w:val="0"/>
        <w:spacing w:lineRule="auto" w:line="480" w:before="0" w:after="0"/>
        <w:ind w:left="0" w:right="0" w:hanging="0"/>
        <w:jc w:val="center"/>
        <w:rPr>
          <w:rFonts w:ascii="Times New Roman;Times;serif" w:hAnsi="Times New Roman;Times;serif"/>
          <w:b/>
          <w:sz w:val="20"/>
        </w:rPr>
      </w:pPr>
      <w:bookmarkStart w:id="4" w:name="finstate"/>
      <w:bookmarkEnd w:id="4"/>
      <w:r>
        <w:rPr>
          <w:rFonts w:ascii="Times New Roman;Times;serif" w:hAnsi="Times New Roman;Times;serif"/>
          <w:b/>
          <w:sz w:val="20"/>
        </w:rPr>
        <w:t>ITEM 1.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lineRule="auto" w:line="48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6563" w:type="dxa"/>
        <w:jc w:val="left"/>
        <w:tblInd w:w="0" w:type="dxa"/>
        <w:tblLayout w:type="fixed"/>
        <w:tblCellMar>
          <w:top w:w="0" w:type="dxa"/>
          <w:left w:w="0" w:type="dxa"/>
          <w:bottom w:w="0" w:type="dxa"/>
          <w:right w:w="0" w:type="dxa"/>
        </w:tblCellMar>
      </w:tblPr>
      <w:tblGrid>
        <w:gridCol w:w="3995"/>
        <w:gridCol w:w="60"/>
        <w:gridCol w:w="129"/>
        <w:gridCol w:w="940"/>
        <w:gridCol w:w="80"/>
        <w:gridCol w:w="60"/>
        <w:gridCol w:w="145"/>
        <w:gridCol w:w="1059"/>
        <w:gridCol w:w="95"/>
      </w:tblGrid>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June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March 31, 2024</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Current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90,522</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receivable, net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26,325</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Inventory, net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41,857</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7,295</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cash</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468</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current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166,467</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10,861</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Intangibles, net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6,369</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Right-of-use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2,557</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Goodwill</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43,471</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cash</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1,290</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tax assets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1,119</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assets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637</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240,143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232,771</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Current liabilities: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payable and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24,235</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716</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Debt, current portion</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Contingent consideration</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3,100</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55,984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50,732</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78,808</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revenue, long-term portion</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7,097</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Lease liability, long-term portion</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1,968</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tax liabilities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liabilities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88,200</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Commitments and Contingencies (Note 16)</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Stockholders' equity: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Additional paid-in capital</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1,214,320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1,212,913</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Treasury stock</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(3,639</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1,582</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 deficit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(1,069,182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(1,066,658</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9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stockholders' equity</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143,344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144,571</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240,143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232,771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 </w:t>
      </w:r>
    </w:p>
    <w:tbl>
      <w:tblPr>
        <w:tblW w:w="6568" w:type="dxa"/>
        <w:jc w:val="left"/>
        <w:tblInd w:w="0" w:type="dxa"/>
        <w:tblLayout w:type="fixed"/>
        <w:tblCellMar>
          <w:top w:w="0" w:type="dxa"/>
          <w:left w:w="0" w:type="dxa"/>
          <w:bottom w:w="0" w:type="dxa"/>
          <w:right w:w="0" w:type="dxa"/>
        </w:tblCellMar>
      </w:tblPr>
      <w:tblGrid>
        <w:gridCol w:w="4670"/>
        <w:gridCol w:w="60"/>
        <w:gridCol w:w="140"/>
        <w:gridCol w:w="661"/>
        <w:gridCol w:w="89"/>
        <w:gridCol w:w="67"/>
        <w:gridCol w:w="140"/>
        <w:gridCol w:w="661"/>
        <w:gridCol w:w="80"/>
      </w:tblGrid>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40,290</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30,254</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28,065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23,972</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6,282</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1,853</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7,868</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15,516</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11,615</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(2,331</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28,258</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35,676</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COMPREHENSIVE LOSS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5833" w:type="dxa"/>
        <w:jc w:val="left"/>
        <w:tblInd w:w="0" w:type="dxa"/>
        <w:tblLayout w:type="fixed"/>
        <w:tblCellMar>
          <w:top w:w="0" w:type="dxa"/>
          <w:left w:w="0" w:type="dxa"/>
          <w:bottom w:w="0" w:type="dxa"/>
          <w:right w:w="0" w:type="dxa"/>
        </w:tblCellMar>
      </w:tblPr>
      <w:tblGrid>
        <w:gridCol w:w="3935"/>
        <w:gridCol w:w="60"/>
        <w:gridCol w:w="148"/>
        <w:gridCol w:w="648"/>
        <w:gridCol w:w="95"/>
        <w:gridCol w:w="71"/>
        <w:gridCol w:w="148"/>
        <w:gridCol w:w="648"/>
        <w:gridCol w:w="80"/>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gain, net of tax:</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(loss) gain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(loss) gain, net of tax</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UNAUDITED CONDENSED CONSOLIDATED STATEMENTS OF STOCKHOLDERS’ EQUITY </w:t>
      </w:r>
    </w:p>
    <w:p>
      <w:pPr>
        <w:pStyle w:val="TextBody"/>
        <w:bidi w:val="0"/>
        <w:spacing w:before="0" w:after="0"/>
        <w:ind w:left="144" w:right="144" w:hanging="0"/>
        <w:jc w:val="center"/>
        <w:rPr>
          <w:rFonts w:ascii="Times New Roman;Times;serif" w:hAnsi="Times New Roman;Times;serif"/>
          <w:b/>
          <w:caps/>
          <w:sz w:val="20"/>
        </w:rPr>
      </w:pPr>
      <w:r>
        <w:rPr>
          <w:rFonts w:ascii="Times New Roman;Times;serif" w:hAnsi="Times New Roman;Times;serif"/>
          <w:b/>
          <w:caps/>
          <w:sz w:val="20"/>
        </w:rPr>
        <w:t>FOR THE Three Months Ended June 30, 2024 AND 2023</w:t>
      </w:r>
    </w:p>
    <w:p>
      <w:pPr>
        <w:pStyle w:val="TextBody"/>
        <w:bidi w:val="0"/>
        <w:spacing w:before="0" w:after="0"/>
        <w:ind w:left="144" w:right="144" w:hanging="0"/>
        <w:jc w:val="center"/>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1875"/>
        <w:gridCol w:w="60"/>
        <w:gridCol w:w="79"/>
        <w:gridCol w:w="793"/>
        <w:gridCol w:w="60"/>
        <w:gridCol w:w="60"/>
        <w:gridCol w:w="161"/>
        <w:gridCol w:w="435"/>
        <w:gridCol w:w="60"/>
        <w:gridCol w:w="60"/>
        <w:gridCol w:w="135"/>
        <w:gridCol w:w="915"/>
        <w:gridCol w:w="80"/>
        <w:gridCol w:w="60"/>
        <w:gridCol w:w="162"/>
        <w:gridCol w:w="713"/>
        <w:gridCol w:w="80"/>
        <w:gridCol w:w="60"/>
        <w:gridCol w:w="347"/>
        <w:gridCol w:w="1103"/>
        <w:gridCol w:w="60"/>
        <w:gridCol w:w="60"/>
        <w:gridCol w:w="152"/>
        <w:gridCol w:w="1105"/>
        <w:gridCol w:w="80"/>
        <w:gridCol w:w="60"/>
        <w:gridCol w:w="197"/>
        <w:gridCol w:w="1104"/>
        <w:gridCol w:w="89"/>
      </w:tblGrid>
      <w:tr>
        <w:trPr/>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9" w:type="dxa"/>
            <w:tcBorders/>
            <w:shd w:fill="FFFFFF" w:val="clear"/>
            <w:vAlign w:val="center"/>
          </w:tcPr>
          <w:p>
            <w:pPr>
              <w:pStyle w:val="TableContents"/>
              <w:bidi w:val="0"/>
              <w:spacing w:before="0" w:after="283"/>
              <w:jc w:val="left"/>
              <w:rPr/>
            </w:pPr>
            <w:r>
              <w:rPr/>
              <w:t> </w:t>
            </w:r>
          </w:p>
        </w:tc>
      </w:tr>
      <w:tr>
        <w:trPr/>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 Equity</w:t>
            </w:r>
          </w:p>
        </w:tc>
        <w:tc>
          <w:tcPr>
            <w:tcW w:w="89" w:type="dxa"/>
            <w:tcBorders/>
            <w:shd w:fill="FFFFFF" w:val="clear"/>
            <w:vAlign w:val="center"/>
          </w:tcPr>
          <w:p>
            <w:pPr>
              <w:pStyle w:val="TableContents"/>
              <w:bidi w:val="0"/>
              <w:spacing w:before="0" w:after="283"/>
              <w:jc w:val="left"/>
              <w:rPr/>
            </w:pPr>
            <w:r>
              <w:rPr/>
              <w:t> </w:t>
            </w:r>
          </w:p>
        </w:tc>
      </w:tr>
      <w:tr>
        <w:trPr/>
        <w:tc>
          <w:tcPr>
            <w:tcW w:w="1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2024</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(1,066,658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144,571</w:t>
            </w:r>
          </w:p>
        </w:tc>
        <w:tc>
          <w:tcPr>
            <w:tcW w:w="89" w:type="dxa"/>
            <w:tcBorders/>
            <w:shd w:fill="CCEEFF" w:val="clear"/>
            <w:vAlign w:val="center"/>
          </w:tcPr>
          <w:p>
            <w:pPr>
              <w:pStyle w:val="TableContents"/>
              <w:bidi w:val="0"/>
              <w:spacing w:before="0" w:after="283"/>
              <w:jc w:val="left"/>
              <w:rPr/>
            </w:pPr>
            <w:r>
              <w:rPr/>
              <w:t> </w:t>
            </w:r>
          </w:p>
        </w:tc>
      </w:tr>
      <w:tr>
        <w:trPr/>
        <w:tc>
          <w:tcPr>
            <w:tcW w:w="18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restricted shares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4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04" w:type="dxa"/>
            <w:tcBorders/>
            <w:shd w:fill="FFFFFF" w:val="cle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jc w:val="left"/>
              <w:rPr/>
            </w:pPr>
            <w:r>
              <w:rPr/>
              <w:t> </w:t>
            </w:r>
          </w:p>
        </w:tc>
      </w:tr>
      <w:tr>
        <w:trPr/>
        <w:tc>
          <w:tcPr>
            <w:tcW w:w="187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43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1,229</w:t>
            </w:r>
          </w:p>
        </w:tc>
        <w:tc>
          <w:tcPr>
            <w:tcW w:w="89" w:type="dxa"/>
            <w:tcBorders/>
            <w:shd w:fill="CCEEFF" w:val="clear"/>
            <w:vAlign w:val="center"/>
          </w:tcPr>
          <w:p>
            <w:pPr>
              <w:pStyle w:val="TableContents"/>
              <w:bidi w:val="0"/>
              <w:spacing w:before="0" w:after="283"/>
              <w:jc w:val="left"/>
              <w:rPr/>
            </w:pPr>
            <w:r>
              <w:rPr/>
              <w:t> </w:t>
            </w:r>
          </w:p>
        </w:tc>
      </w:tr>
      <w:tr>
        <w:trPr/>
        <w:tc>
          <w:tcPr>
            <w:tcW w:w="18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4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89" w:type="dxa"/>
            <w:tcBorders/>
            <w:shd w:fill="FFFFFF" w:val="clear"/>
            <w:vAlign w:val="center"/>
          </w:tcPr>
          <w:p>
            <w:pPr>
              <w:pStyle w:val="TableContents"/>
              <w:bidi w:val="0"/>
              <w:spacing w:before="0" w:after="283"/>
              <w:jc w:val="left"/>
              <w:rPr/>
            </w:pPr>
            <w:r>
              <w:rPr/>
              <w:t> </w:t>
            </w:r>
          </w:p>
        </w:tc>
      </w:tr>
      <w:tr>
        <w:trPr/>
        <w:tc>
          <w:tcPr>
            <w:tcW w:w="187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Repurchase of treasury stock</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43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9" w:type="dxa"/>
            <w:tcBorders/>
            <w:shd w:fill="FFFFFF" w:val="clear"/>
            <w:vAlign w:val="center"/>
          </w:tcPr>
          <w:p>
            <w:pPr>
              <w:pStyle w:val="TableContents"/>
              <w:bidi w:val="0"/>
              <w:spacing w:before="0" w:after="283"/>
              <w:jc w:val="left"/>
              <w:rPr/>
            </w:pPr>
            <w:r>
              <w:rPr/>
              <w:t> </w:t>
            </w:r>
          </w:p>
        </w:tc>
      </w:tr>
      <w:tr>
        <w:trPr/>
        <w:tc>
          <w:tcPr>
            <w:tcW w:w="187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(2,524</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2024</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(1,069,182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143,344</w:t>
            </w:r>
          </w:p>
        </w:tc>
        <w:tc>
          <w:tcPr>
            <w:tcW w:w="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41"/>
        <w:gridCol w:w="60"/>
        <w:gridCol w:w="79"/>
        <w:gridCol w:w="790"/>
        <w:gridCol w:w="60"/>
        <w:gridCol w:w="60"/>
        <w:gridCol w:w="160"/>
        <w:gridCol w:w="434"/>
        <w:gridCol w:w="60"/>
        <w:gridCol w:w="60"/>
        <w:gridCol w:w="135"/>
        <w:gridCol w:w="914"/>
        <w:gridCol w:w="80"/>
        <w:gridCol w:w="60"/>
        <w:gridCol w:w="162"/>
        <w:gridCol w:w="712"/>
        <w:gridCol w:w="80"/>
        <w:gridCol w:w="60"/>
        <w:gridCol w:w="373"/>
        <w:gridCol w:w="1202"/>
        <w:gridCol w:w="80"/>
        <w:gridCol w:w="60"/>
        <w:gridCol w:w="151"/>
        <w:gridCol w:w="1103"/>
        <w:gridCol w:w="80"/>
        <w:gridCol w:w="60"/>
        <w:gridCol w:w="226"/>
        <w:gridCol w:w="1074"/>
        <w:gridCol w:w="89"/>
      </w:tblGrid>
      <w:tr>
        <w:trPr/>
        <w:tc>
          <w:tcPr>
            <w:tcW w:w="1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9" w:type="dxa"/>
            <w:tcBorders/>
            <w:shd w:fill="FFFFFF"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Comprehensive 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Stockholders' Equity</w:t>
            </w:r>
          </w:p>
        </w:tc>
        <w:tc>
          <w:tcPr>
            <w:tcW w:w="89" w:type="dxa"/>
            <w:tcBorders/>
            <w:shd w:fill="FFFFFF" w:val="clear"/>
            <w:vAlign w:val="center"/>
          </w:tcPr>
          <w:p>
            <w:pPr>
              <w:pStyle w:val="TableContents"/>
              <w:bidi w:val="0"/>
              <w:spacing w:before="0" w:after="283"/>
              <w:jc w:val="left"/>
              <w:rPr/>
            </w:pPr>
            <w:r>
              <w:rPr/>
              <w:t> </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(1,055,547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81,797</w:t>
            </w:r>
          </w:p>
        </w:tc>
        <w:tc>
          <w:tcPr>
            <w:tcW w:w="89" w:type="dxa"/>
            <w:tcBorders/>
            <w:shd w:fill="CCEEFF"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r>
      <w:tr>
        <w:trPr/>
        <w:tc>
          <w:tcPr>
            <w:tcW w:w="17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434"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ind w:left="0" w:right="0" w:hanging="0"/>
              <w:jc w:val="left"/>
              <w:rPr/>
            </w:pPr>
            <w:r>
              <w:rPr/>
              <w:t> </w:t>
            </w:r>
          </w:p>
        </w:tc>
        <w:tc>
          <w:tcPr>
            <w:tcW w:w="1202"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89" w:type="dxa"/>
            <w:tcBorders/>
            <w:shd w:fill="CCEEFF"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20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9" w:type="dxa"/>
            <w:tcBorders/>
            <w:shd w:fill="FFFFFF" w:val="clear"/>
            <w:vAlign w:val="center"/>
          </w:tcPr>
          <w:p>
            <w:pPr>
              <w:pStyle w:val="TableContents"/>
              <w:bidi w:val="0"/>
              <w:spacing w:before="0" w:after="283"/>
              <w:jc w:val="left"/>
              <w:rPr/>
            </w:pPr>
            <w:r>
              <w:rPr/>
              <w:t> </w:t>
            </w:r>
          </w:p>
        </w:tc>
      </w:tr>
      <w:tr>
        <w:trPr/>
        <w:tc>
          <w:tcPr>
            <w:tcW w:w="17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434"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ind w:left="0" w:right="0" w:hanging="0"/>
              <w:jc w:val="left"/>
              <w:rPr/>
            </w:pPr>
            <w:r>
              <w:rPr/>
              <w:t> </w:t>
            </w:r>
          </w:p>
        </w:tc>
        <w:tc>
          <w:tcPr>
            <w:tcW w:w="12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(5,398</w:t>
            </w:r>
          </w:p>
        </w:tc>
        <w:tc>
          <w:tcPr>
            <w:tcW w:w="89"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(1,060,945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77,918</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 w:right="144"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9011" w:type="dxa"/>
        <w:jc w:val="left"/>
        <w:tblInd w:w="0" w:type="dxa"/>
        <w:tblLayout w:type="fixed"/>
        <w:tblCellMar>
          <w:top w:w="0" w:type="dxa"/>
          <w:left w:w="0" w:type="dxa"/>
          <w:bottom w:w="0" w:type="dxa"/>
          <w:right w:w="0" w:type="dxa"/>
        </w:tblCellMar>
      </w:tblPr>
      <w:tblGrid>
        <w:gridCol w:w="6365"/>
        <w:gridCol w:w="60"/>
        <w:gridCol w:w="199"/>
        <w:gridCol w:w="943"/>
        <w:gridCol w:w="127"/>
        <w:gridCol w:w="95"/>
        <w:gridCol w:w="199"/>
        <w:gridCol w:w="943"/>
        <w:gridCol w:w="80"/>
      </w:tblGrid>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(2,524</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provided by (used in) operations: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1,119</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1,229</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192</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195</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3,920</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1,350</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non-cash items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 and liability accounts: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(3,799</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(3,099</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6,738</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Operating leases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(195</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(1,734</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5,127</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7,318</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3,409</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 in other assets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Repayment of debt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Employee taxes paid related to net settlement of equity awards</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3,243</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92,280</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25,675</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95,523</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23,122</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schedule of cash flow information: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paid for income taxes, net of refunds</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Right-of-use assets obtained in exchange for new lease obligations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1,730</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to settle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Times;serif" w:hAnsi="Times New Roman;Times;serif"/>
          <w:b/>
          <w:sz w:val="20"/>
        </w:rPr>
        <w:t>1.</w:t>
      </w:r>
      <w:r>
        <w:rPr>
          <w:rFonts w:ascii="Times New Roman;Times;serif" w:hAnsi="Times New Roman;Times;serif"/>
          <w:b/>
          <w:sz w:val="20"/>
        </w:rPr>
        <w:t xml:space="preserve"> Nature of the Business and Operations and Liquidity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Nature of the Business and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American Superconductor Corporation (together with its subsidiaries, “AMSC®” or the “Company”) was founded on </w:t>
      </w:r>
      <w:r>
        <w:rPr>
          <w:rStyle w:val="Emphasis"/>
          <w:rFonts w:ascii="Times New Roman;Times;serif" w:hAnsi="Times New Roman;Times;serif"/>
          <w:sz w:val="20"/>
        </w:rPr>
        <w:t>April 9,</w:t>
      </w:r>
      <w:r>
        <w:rPr>
          <w:rFonts w:ascii="Times New Roman;Times;serif" w:hAnsi="Times New Roman;Times;serif"/>
          <w:sz w:val="20"/>
        </w:rPr>
        <w:t xml:space="preserve"> </w:t>
      </w:r>
      <w:r>
        <w:rPr>
          <w:rStyle w:val="Emphasis"/>
          <w:rFonts w:ascii="Times New Roman;Times;serif" w:hAnsi="Times New Roman;Times;serif"/>
          <w:sz w:val="20"/>
        </w:rPr>
        <w:t>1987.</w:t>
      </w:r>
      <w:r>
        <w:rPr>
          <w:rFonts w:ascii="Times New Roman;Times;serif" w:hAnsi="Times New Roman;Times;serif"/>
          <w:sz w:val="20"/>
        </w:rPr>
        <w:t xml:space="preserve"> The Company is a leading system provider of megawatt-scale power resiliency solutions that orchestrate the rhythm and harmony of power on the grid™ and protect and expand the capability of the Navy’s fleet. The Company’s system level products leverage its proprietary “smart materials” and “smart software and controls” to provide enhanced resiliency and improved performance of megawatt-scale power flow.</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These unaudited condensed consolidated financial statements of the Company have been prepared on a going concern basis in accordance with United States generally accepted accounting principles (“GAAP”) and the Securities and Exchange Commission’s (“SEC”) instructions to Form </w:t>
      </w:r>
      <w:r>
        <w:rPr>
          <w:rStyle w:val="Emphasis"/>
          <w:rFonts w:ascii="Times New Roman;Times;serif" w:hAnsi="Times New Roman;Times;serif"/>
          <w:sz w:val="20"/>
        </w:rPr>
        <w:t>10</w:t>
      </w:r>
      <w:r>
        <w:rPr>
          <w:rFonts w:ascii="Times New Roman;Times;serif" w:hAnsi="Times New Roman;Times;serif"/>
          <w:sz w:val="20"/>
        </w:rPr>
        <w:t xml:space="preserve">-Q. Certain prior period amounts were reclassified to conform to the presentation in the current period. The going concern basis of presentation assumes that the Company will continue operations and will be able to realize its assets and discharge its liabilities and commitments in the normal course of business. Certain information and footnote disclosures normally included in the condensed consolidated financial statements prepared in accordance with GAAP have been or omitted pursuant to those instructions. The year-end balance sheet data was derived from audited financial statements but does </w:t>
      </w:r>
      <w:r>
        <w:rPr>
          <w:rStyle w:val="Emphasis"/>
          <w:rFonts w:ascii="Times New Roman;Times;serif" w:hAnsi="Times New Roman;Times;serif"/>
          <w:sz w:val="20"/>
        </w:rPr>
        <w:t>not</w:t>
      </w:r>
      <w:r>
        <w:rPr>
          <w:rFonts w:ascii="Times New Roman;Times;serif" w:hAnsi="Times New Roman;Times;serif"/>
          <w:sz w:val="20"/>
        </w:rPr>
        <w:t xml:space="preserve"> include all disclosures required by GAAP. The unaudited condensed consolidated financial statements, in the opinion of management, reflect all adjustments (consisting of normal recurring adjustments) necessary for a fair statement of the results for the interim periods ended </w:t>
      </w:r>
      <w:r>
        <w:rPr>
          <w:rStyle w:val="Emphasis"/>
          <w:rFonts w:ascii="Times New Roman;Times;serif" w:hAnsi="Times New Roman;Times;serif"/>
          <w:sz w:val="20"/>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and the financial position at </w:t>
      </w:r>
      <w:r>
        <w:rPr>
          <w:rStyle w:val="Emphasis"/>
          <w:rFonts w:ascii="Times New Roman;Times;serif" w:hAnsi="Times New Roman;Times;serif"/>
          <w:sz w:val="20"/>
        </w:rPr>
        <w:t>June 30, 2024</w:t>
      </w:r>
      <w:r>
        <w:rPr>
          <w:rFonts w:ascii="Times New Roman;Times;serif" w:hAnsi="Times New Roman;Times;serif"/>
          <w:sz w:val="20"/>
        </w:rPr>
        <w:t xml:space="preserve">; however, these results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results which </w:t>
      </w:r>
      <w:r>
        <w:rPr>
          <w:rStyle w:val="Emphasis"/>
          <w:rFonts w:ascii="Times New Roman;Times;serif" w:hAnsi="Times New Roman;Times;serif"/>
          <w:sz w:val="20"/>
        </w:rPr>
        <w:t xml:space="preserve">may </w:t>
      </w:r>
      <w:r>
        <w:rPr>
          <w:rFonts w:ascii="Times New Roman;Times;serif" w:hAnsi="Times New Roman;Times;serif"/>
          <w:sz w:val="20"/>
        </w:rPr>
        <w:t>be expected for the full year. The interim condensed consolidated financial statements, and notes thereto, should be read in conjunction with the audited condensed consolidated financial statements for the year ended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-K for the year ended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filed with the SEC on </w:t>
      </w:r>
      <w:r>
        <w:rPr>
          <w:rStyle w:val="Emphasis"/>
          <w:rFonts w:ascii="Times New Roman;Times;serif" w:hAnsi="Times New Roman;Times;serif"/>
          <w:sz w:val="20"/>
        </w:rPr>
        <w:t>May 29, 2024</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historically experienced recurring operating losses and as of </w:t>
      </w:r>
      <w:r>
        <w:rPr>
          <w:rStyle w:val="Emphasis"/>
          <w:rFonts w:ascii="Times New Roman;Times;serif" w:hAnsi="Times New Roman;Times;serif"/>
          <w:sz w:val="20"/>
        </w:rPr>
        <w:t>June 30, 2024</w:t>
      </w:r>
      <w:r>
        <w:rPr>
          <w:rFonts w:ascii="Times New Roman;Times;serif" w:hAnsi="Times New Roman;Times;serif"/>
          <w:sz w:val="20"/>
        </w:rPr>
        <w:t xml:space="preserve">, the Company had an accumulated deficit of $1,069.2 million. In addition, the Company has historically experienced recurring negative operating cash flows. At </w:t>
      </w:r>
      <w:r>
        <w:rPr>
          <w:rStyle w:val="Emphasis"/>
          <w:rFonts w:ascii="Times New Roman;Times;serif" w:hAnsi="Times New Roman;Times;serif"/>
          <w:sz w:val="20"/>
        </w:rPr>
        <w:t>June 30, 2024</w:t>
      </w:r>
      <w:r>
        <w:rPr>
          <w:rFonts w:ascii="Times New Roman;Times;serif" w:hAnsi="Times New Roman;Times;serif"/>
          <w:sz w:val="20"/>
        </w:rPr>
        <w:t>, the Company had cash and cash equivalents of $93.5 million. Cash provided by operations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2024</w:t>
      </w:r>
      <w:r>
        <w:rPr>
          <w:rFonts w:ascii="Times New Roman;Times;serif" w:hAnsi="Times New Roman;Times;serif"/>
          <w:sz w:val="20"/>
        </w:rPr>
        <w:t xml:space="preserve"> was $3.4 million.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the Company filed a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that will expire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from the date on which it was declared effective, </w:t>
      </w:r>
      <w:r>
        <w:rPr>
          <w:rStyle w:val="Emphasis"/>
          <w:rFonts w:ascii="Times New Roman" w:hAnsi="Times New Roman"/>
          <w:caps w:val="false"/>
          <w:smallCaps w:val="false"/>
          <w:sz w:val="20"/>
        </w:rPr>
        <w:t>March 15, 2027 (</w:t>
      </w:r>
      <w:r>
        <w:rPr>
          <w:rFonts w:ascii="Times New Roman" w:hAnsi="Times New Roman"/>
          <w:caps w:val="false"/>
          <w:smallCaps w:val="false"/>
          <w:sz w:val="20"/>
        </w:rPr>
        <w:t>the “Form S-</w:t>
      </w:r>
      <w:r>
        <w:rPr>
          <w:rStyle w:val="Emphasis"/>
          <w:rFonts w:ascii="Times New Roman" w:hAnsi="Times New Roman"/>
          <w:caps w:val="false"/>
          <w:smallCaps w:val="false"/>
          <w:sz w:val="20"/>
        </w:rPr>
        <w:t>3”</w:t>
      </w:r>
      <w:r>
        <w:rPr>
          <w:rFonts w:ascii="Times New Roman" w:hAnsi="Times New Roman"/>
          <w:caps w:val="false"/>
          <w:smallCaps w:val="false"/>
          <w:sz w:val="20"/>
        </w:rPr>
        <w:t>).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allows the Company to offer and sell from time-to-time up to $250 million of common stock, debt securities, warrants or units comprised of any combination of these securities.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is intended to provide the Company flexibility to conduct registered sales of its securities, subject to market conditions, in order to fund its future capital needs. The terms of any future offering under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will be established at the time of such offering and will be described in a prospectus supplement filed with the SEC prior to the completion of any such offering.</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January 31, 2024, </w:t>
      </w:r>
      <w:r>
        <w:rPr>
          <w:rFonts w:ascii="Times New Roman;Times;serif" w:hAnsi="Times New Roman;Times;serif"/>
          <w:sz w:val="20"/>
        </w:rPr>
        <w:t xml:space="preserve">the Company entered into an underwriting agreement with Oppenheimer &amp; Co. Inc., as a representative of the several underwriters named therein, relating to the issuance and sale (the </w:t>
      </w:r>
      <w:r>
        <w:rPr>
          <w:rStyle w:val="Emphasis"/>
          <w:rFonts w:ascii="Times New Roman;Times;serif" w:hAnsi="Times New Roman;Times;serif"/>
          <w:sz w:val="20"/>
        </w:rPr>
        <w:t>"2024</w:t>
      </w:r>
      <w:r>
        <w:rPr>
          <w:rFonts w:ascii="Times New Roman;Times;serif" w:hAnsi="Times New Roman;Times;serif"/>
          <w:sz w:val="20"/>
        </w:rPr>
        <w:t xml:space="preserve"> Offering") of 6,210,000 shares of the Company's common stock at a public offering price of $11.25 per share. The net proceeds to the Company from the </w:t>
      </w:r>
      <w:r>
        <w:rPr>
          <w:rStyle w:val="Emphasis"/>
          <w:rFonts w:ascii="Times New Roman;Times;serif" w:hAnsi="Times New Roman;Times;serif"/>
          <w:sz w:val="20"/>
        </w:rPr>
        <w:t>2024</w:t>
      </w:r>
      <w:r>
        <w:rPr>
          <w:rFonts w:ascii="Times New Roman;Times;serif" w:hAnsi="Times New Roman;Times;serif"/>
          <w:sz w:val="20"/>
        </w:rPr>
        <w:t xml:space="preserve"> Offering were approximately $65.2 million, after deducting underwriting discounts and commissions and offering expenses payable by the Company. The </w:t>
      </w:r>
      <w:r>
        <w:rPr>
          <w:rStyle w:val="Emphasis"/>
          <w:rFonts w:ascii="Times New Roman;Times;serif" w:hAnsi="Times New Roman;Times;serif"/>
          <w:sz w:val="20"/>
        </w:rPr>
        <w:t>2024</w:t>
      </w:r>
      <w:r>
        <w:rPr>
          <w:rFonts w:ascii="Times New Roman;Times;serif" w:hAnsi="Times New Roman;Times;serif"/>
          <w:sz w:val="20"/>
        </w:rPr>
        <w:t xml:space="preserve"> Offering closed on </w:t>
      </w:r>
      <w:r>
        <w:rPr>
          <w:rStyle w:val="Emphasis"/>
          <w:rFonts w:ascii="Times New Roman;Times;serif" w:hAnsi="Times New Roman;Times;serif"/>
          <w:sz w:val="20"/>
        </w:rPr>
        <w:t>February 14, 2024.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August 1,</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the Company entered into a Stock Purchase Agreement (the “Stock Purchase Agreement”) with the selling stockholders named therein.  Pursuant to the terms of the Stock Purchase Agreement and concurrently with entering into such agreement, the Company acquired all of the issued and outstanding shares of Megatran ("the "Acquisition"), for aggregate consideration in an amount equal to $61,350,000 (the “Purchase Price”), which consideration amount shall be subject to various adjustments set forth in the Stock Purchase Agreement (including those described below) and consists of: (a) (i) $25,000,000, minus (ii) the Indebtedness (as defined in the Stock Purchase Agreement) outstanding as of immediately prior to the closing, minus (iii) Company Expenses (as defined in the Stock Purchase Agreement) (collectively, the “Cash Purchase Price”); (b) a number of restricted shares (rounded up or down to the nearest whole share, as applicable) (the “Company Shares”) of the Company’s common stock, $.01 par value per share (“Common Stock”) equal to the quotient obtained by dividing (</w:t>
      </w:r>
      <w:r>
        <w:rPr>
          <w:rStyle w:val="Emphasis"/>
          <w:rFonts w:ascii="Times New Roman;Times;serif" w:hAnsi="Times New Roman;Times;serif"/>
          <w:sz w:val="20"/>
        </w:rPr>
        <w:t>x</w:t>
      </w:r>
      <w:r>
        <w:rPr>
          <w:rFonts w:ascii="Times New Roman;Times;serif" w:hAnsi="Times New Roman;Times;serif"/>
          <w:sz w:val="20"/>
        </w:rPr>
        <w:t xml:space="preserve">) $31,350,000 (the “Share Purchase Price”) by (y) the closing price per share of Common Stock on the Nasdaq Global Select Market on the last trading day immediately preceding the Closing Date; and (c) an additional cash payment equal to $5,000,000, as adjusted pursuant to Sections </w:t>
      </w:r>
      <w:r>
        <w:rPr>
          <w:rStyle w:val="Emphasis"/>
          <w:rFonts w:ascii="Times New Roman;Times;serif" w:hAnsi="Times New Roman;Times;serif"/>
          <w:sz w:val="20"/>
        </w:rPr>
        <w:t>5.6</w:t>
      </w:r>
      <w:r>
        <w:rPr>
          <w:rFonts w:ascii="Times New Roman;Times;serif" w:hAnsi="Times New Roman;Times;serif"/>
          <w:sz w:val="20"/>
        </w:rPr>
        <w:t>(c), (d), and (f) of the Stock Purchase Agreement (the “Additional Cash Purchase Price”). Megatran is now a wholly-owned subsidiary of the Company and is operated and reported as a component of its Grid business unit.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recent periods, the Company has experienced inflationary pressure in its supply chain and some delays in sourcing materials needed for its products resulting in some production disruption, both of which have increased the Company’s cost of revenues and decreased gross margin. While the impact of inflation has been challenging, the Company has taken actions to limit this pressure, including adjusting the pricing of its products and services. Changes in macroeconomic conditions arising from various reasons, such as the ongoing wars between Russia and Ukraine and Israel and Hamas, inflation, rising interest rates, labor force availability, sourcing, material delays and global supply chain disruptions could have a material adverse effect on the Company’s business, financial condition and results of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Company believes that based on the information presented above and its quarterly management assessment, it has sufficient liquidity to fund its operations and capital expenditures for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following the issuance of the unaudited condensed consolidated financial statements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2024</w:t>
      </w:r>
      <w:r>
        <w:rPr>
          <w:rFonts w:ascii="Times New Roman" w:hAnsi="Times New Roman"/>
          <w:caps w:val="false"/>
          <w:smallCaps w:val="false"/>
          <w:sz w:val="20"/>
        </w:rPr>
        <w:t xml:space="preserve">. The Company’s liquidity is highly dependent on its ability to increase revenues, its ability to control its operating costs, and its ability to raise additional capital, if necessary. The impact of global sources of instability, including the wars between Russia and Ukraine and Israel and Hamas, on the global financing markets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reduce the Company's ability to raise additional capital, if necessary, which could negatively impact the Company's liquidity.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be able to continue to raise additional capital, on favorable terms or at all, from other sources or execute on any other means of improving liquidity described above.</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w:t>
      </w:r>
      <w:r>
        <w:rPr>
          <w:rFonts w:ascii="Times New Roman;Times;serif" w:hAnsi="Times New Roman;Times;serif"/>
          <w:b/>
          <w:sz w:val="20"/>
        </w:rPr>
        <w:t xml:space="preserve"> Revenue Recognition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w:t>
      </w:r>
      <w:r>
        <w:rPr>
          <w:rStyle w:val="Emphasis"/>
          <w:rFonts w:ascii="Times New Roman;Times;serif" w:hAnsi="Times New Roman;Times;serif"/>
          <w:sz w:val="20"/>
        </w:rPr>
        <w:t>five</w:t>
      </w:r>
      <w:r>
        <w:rPr>
          <w:rFonts w:ascii="Times New Roman;Times;serif" w:hAnsi="Times New Roman;Times;serif"/>
          <w:sz w:val="20"/>
        </w:rPr>
        <w:t xml:space="preserve">-step model in accordance with Accounting Standards Codification ("ASC") </w:t>
      </w:r>
      <w:r>
        <w:rPr>
          <w:rStyle w:val="Emphasis"/>
          <w:rFonts w:ascii="Times New Roman;Times;serif" w:hAnsi="Times New Roman;Times;serif"/>
          <w:sz w:val="20"/>
        </w:rPr>
        <w:t>606.</w:t>
      </w:r>
      <w:r>
        <w:rPr>
          <w:rFonts w:ascii="Times New Roman;Times;serif" w:hAnsi="Times New Roman;Times;serif"/>
          <w:sz w:val="20"/>
        </w:rPr>
        <w:t xml:space="preserve">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88% and 76% of revenue, respectively, was recognized at the point in time when control transferred to the customer, with the remainder being recognized over time.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w:t>
      </w:r>
      <w:r>
        <w:rPr>
          <w:rStyle w:val="Emphasis"/>
          <w:rFonts w:ascii="Times New Roman;Times;serif" w:hAnsi="Times New Roman;Times;serif"/>
          <w:sz w:val="20"/>
        </w:rPr>
        <w:t>no</w:t>
      </w:r>
      <w:r>
        <w:rPr>
          <w:rFonts w:ascii="Times New Roman;Times;serif" w:hAnsi="Times New Roman;Times;serif"/>
          <w:sz w:val="20"/>
        </w:rPr>
        <w:t>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w:t>
      </w:r>
      <w:r>
        <w:rPr>
          <w:rStyle w:val="Emphasis"/>
          <w:rFonts w:ascii="Times New Roman;Times;serif" w:hAnsi="Times New Roman;Times;serif"/>
          <w:sz w:val="20"/>
        </w:rPr>
        <w:t>not</w:t>
      </w:r>
      <w:r>
        <w:rPr>
          <w:rFonts w:ascii="Times New Roman;Times;serif" w:hAnsi="Times New Roman;Times;serif"/>
          <w:sz w:val="20"/>
        </w:rPr>
        <w: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w:t>
      </w:r>
      <w:r>
        <w:rPr>
          <w:rStyle w:val="Emphasis"/>
          <w:rFonts w:ascii="Times New Roman;Times;serif" w:hAnsi="Times New Roman;Times;serif"/>
          <w:sz w:val="20"/>
        </w:rPr>
        <w:t>not</w:t>
      </w:r>
      <w:r>
        <w:rPr>
          <w:rFonts w:ascii="Times New Roman;Times;serif" w:hAnsi="Times New Roman;Times;serif"/>
          <w:sz w:val="20"/>
        </w:rPr>
        <w:t> assured and a contract does </w:t>
      </w:r>
      <w:r>
        <w:rPr>
          <w:rStyle w:val="Emphasis"/>
          <w:rFonts w:ascii="Times New Roman;Times;serif" w:hAnsi="Times New Roman;Times;serif"/>
          <w:sz w:val="20"/>
        </w:rPr>
        <w:t>not</w:t>
      </w:r>
      <w:r>
        <w:rPr>
          <w:rFonts w:ascii="Times New Roman;Times;serif" w:hAnsi="Times New Roman;Times;serif"/>
          <w:sz w:val="20"/>
        </w:rPr>
        <w:t> exist under ASC </w:t>
      </w:r>
      <w:r>
        <w:rPr>
          <w:rStyle w:val="Emphasis"/>
          <w:rFonts w:ascii="Times New Roman;Times;serif" w:hAnsi="Times New Roman;Times;serif"/>
          <w:sz w:val="20"/>
        </w:rPr>
        <w:t>606,</w:t>
      </w:r>
      <w:r>
        <w:rPr>
          <w:rFonts w:ascii="Times New Roman;Times;serif" w:hAnsi="Times New Roman;Times;serif"/>
          <w:sz w:val="20"/>
        </w:rPr>
        <w:t> revenue is deferred until a non-refundable payment has been received for substantially all the amount that is due and there are </w:t>
      </w:r>
      <w:r>
        <w:rPr>
          <w:rStyle w:val="Emphasis"/>
          <w:rFonts w:ascii="Times New Roman;Times;serif" w:hAnsi="Times New Roman;Times;serif"/>
          <w:sz w:val="20"/>
        </w:rPr>
        <w:t>no</w:t>
      </w:r>
      <w:r>
        <w:rPr>
          <w:rFonts w:ascii="Times New Roman;Times;serif" w:hAnsi="Times New Roman;Times;serif"/>
          <w:sz w:val="20"/>
        </w:rPr>
        <w:t> further remaining performance obligations.</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policy is </w:t>
      </w:r>
      <w:r>
        <w:rPr>
          <w:rStyle w:val="Emphasis"/>
          <w:rFonts w:ascii="Times New Roman;Times;serif" w:hAnsi="Times New Roman;Times;serif"/>
          <w:sz w:val="20"/>
        </w:rPr>
        <w:t>not</w:t>
      </w:r>
      <w:r>
        <w:rPr>
          <w:rFonts w:ascii="Times New Roman;Times;serif" w:hAnsi="Times New Roman;Times;serif"/>
          <w:sz w:val="20"/>
        </w:rPr>
        <w:t xml:space="preserve">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w:t>
      </w:r>
      <w:r>
        <w:rPr>
          <w:rStyle w:val="Emphasis"/>
          <w:rFonts w:ascii="Times New Roman;Times;serif" w:hAnsi="Times New Roman;Times;serif"/>
          <w:sz w:val="20"/>
        </w:rPr>
        <w:t>twelve</w:t>
      </w:r>
      <w:r>
        <w:rPr>
          <w:rFonts w:ascii="Times New Roman;Times;serif" w:hAnsi="Times New Roman;Times;serif"/>
          <w:sz w:val="20"/>
        </w:rPr>
        <w:t xml:space="preserve"> months. In such cases the long term amount will be assessed for materiality. As of </w:t>
      </w:r>
      <w:r>
        <w:rPr>
          <w:rStyle w:val="Emphasis"/>
          <w:rFonts w:ascii="Times New Roman;Times;serif" w:hAnsi="Times New Roman;Times;serif"/>
          <w:sz w:val="20"/>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March 31, 2024</w:t>
      </w:r>
      <w:r>
        <w:rPr>
          <w:rFonts w:ascii="Times New Roman;Times;serif" w:hAnsi="Times New Roman;Times;serif"/>
          <w:sz w:val="20"/>
        </w:rPr>
        <w:t xml:space="preserve">, the Company's capitalized incremental contract costs were </w:t>
      </w:r>
      <w:r>
        <w:rPr>
          <w:rStyle w:val="Emphasis"/>
          <w:rFonts w:ascii="Times New Roman;Times;serif" w:hAnsi="Times New Roman;Times;serif"/>
          <w:sz w:val="20"/>
        </w:rPr>
        <w:t>not</w:t>
      </w:r>
      <w:r>
        <w:rPr>
          <w:rFonts w:ascii="Times New Roman;Times;serif" w:hAnsi="Times New Roman;Times;serif"/>
          <w:sz w:val="20"/>
        </w:rPr>
        <w:t xml:space="preserve"> material. The Company has elected </w:t>
      </w:r>
      <w:r>
        <w:rPr>
          <w:rStyle w:val="Emphasis"/>
          <w:rFonts w:ascii="Times New Roman;Times;serif" w:hAnsi="Times New Roman;Times;serif"/>
          <w:sz w:val="20"/>
        </w:rPr>
        <w:t>not</w:t>
      </w:r>
      <w:r>
        <w:rPr>
          <w:rFonts w:ascii="Times New Roman;Times;serif" w:hAnsi="Times New Roman;Times;serif"/>
          <w:sz w:val="20"/>
        </w:rPr>
        <w:t xml:space="preserve"> to adjust the promised amount of consideration for the effects of a significant financing component if the period of financing is </w:t>
      </w:r>
      <w:r>
        <w:rPr>
          <w:rStyle w:val="Emphasis"/>
          <w:rFonts w:ascii="Times New Roman;Times;serif" w:hAnsi="Times New Roman;Times;serif"/>
          <w:sz w:val="20"/>
        </w:rPr>
        <w:t>twelve</w:t>
      </w:r>
      <w:r>
        <w:rPr>
          <w:rFonts w:ascii="Times New Roman;Times;serif" w:hAnsi="Times New Roman;Times;serif"/>
          <w:sz w:val="20"/>
        </w:rPr>
        <w:t xml:space="preserve"> months or less.  The Company has elected to recognize revenue based on the as invoiced practical expedient if there is a right to consideration from a customer in an amount that corresponds directly with the value of the Company's performance.</w:t>
      </w:r>
    </w:p>
    <w:p>
      <w:pPr>
        <w:pStyle w:val="TextBody"/>
        <w:bidi w:val="0"/>
        <w:spacing w:before="0" w:after="0"/>
        <w:ind w:left="0" w:right="0" w:firstLine="54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contracts with customers do </w:t>
      </w:r>
      <w:r>
        <w:rPr>
          <w:rStyle w:val="Emphasis"/>
          <w:rFonts w:ascii="Times New Roman;Times;serif" w:hAnsi="Times New Roman;Times;serif"/>
          <w:sz w:val="20"/>
        </w:rPr>
        <w:t>not</w:t>
      </w:r>
      <w:r>
        <w:rPr>
          <w:rFonts w:ascii="Times New Roman;Times;serif" w:hAnsi="Times New Roman;Times;serif"/>
          <w:sz w:val="20"/>
        </w:rPr>
        <w:t xml:space="preserve"> typically include extended payment terms and </w:t>
      </w:r>
      <w:r>
        <w:rPr>
          <w:rStyle w:val="Emphasis"/>
          <w:rFonts w:ascii="Times New Roman;Times;serif" w:hAnsi="Times New Roman;Times;serif"/>
          <w:sz w:val="20"/>
        </w:rPr>
        <w:t xml:space="preserve">may </w:t>
      </w:r>
      <w:r>
        <w:rPr>
          <w:rFonts w:ascii="Times New Roman;Times;serif" w:hAnsi="Times New Roman;Times;serif"/>
          <w:sz w:val="20"/>
        </w:rPr>
        <w:t>include milestone billing over the life of the contract. Payment terms vary by contract type and type of customer and generally range from 30 to 60 days from delivery.  </w:t>
      </w:r>
    </w:p>
    <w:p>
      <w:pPr>
        <w:pStyle w:val="TextBody"/>
        <w:bidi w:val="0"/>
        <w:spacing w:before="0" w:after="0"/>
        <w:ind w:left="0" w:right="0" w:firstLine="54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product line and by shipment destination (in thousands):</w:t>
      </w:r>
    </w:p>
    <w:p>
      <w:pPr>
        <w:pStyle w:val="TextBody"/>
        <w:bidi w:val="0"/>
        <w:spacing w:before="0" w:after="0"/>
        <w:ind w:left="0" w:right="0" w:firstLine="720"/>
        <w:jc w:val="both"/>
        <w:rPr/>
      </w:pPr>
      <w:r>
        <w:rPr/>
        <w:t> </w:t>
      </w:r>
    </w:p>
    <w:tbl>
      <w:tblPr>
        <w:tblW w:w="6247" w:type="dxa"/>
        <w:jc w:val="left"/>
        <w:tblInd w:w="0" w:type="dxa"/>
        <w:tblLayout w:type="fixed"/>
        <w:tblCellMar>
          <w:top w:w="0" w:type="dxa"/>
          <w:left w:w="0" w:type="dxa"/>
          <w:bottom w:w="0" w:type="dxa"/>
          <w:right w:w="0" w:type="dxa"/>
        </w:tblCellMar>
      </w:tblPr>
      <w:tblGrid>
        <w:gridCol w:w="3140"/>
        <w:gridCol w:w="60"/>
        <w:gridCol w:w="257"/>
        <w:gridCol w:w="1214"/>
        <w:gridCol w:w="123"/>
        <w:gridCol w:w="123"/>
        <w:gridCol w:w="257"/>
        <w:gridCol w:w="998"/>
        <w:gridCol w:w="75"/>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2024</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4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and 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29,726</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7,424</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technology development</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32,336</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7,954</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30,479</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2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7,952</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32,336</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6247" w:type="dxa"/>
        <w:jc w:val="left"/>
        <w:tblInd w:w="0" w:type="dxa"/>
        <w:tblLayout w:type="fixed"/>
        <w:tblCellMar>
          <w:top w:w="0" w:type="dxa"/>
          <w:left w:w="0" w:type="dxa"/>
          <w:bottom w:w="0" w:type="dxa"/>
          <w:right w:w="0" w:type="dxa"/>
        </w:tblCellMar>
      </w:tblPr>
      <w:tblGrid>
        <w:gridCol w:w="3140"/>
        <w:gridCol w:w="60"/>
        <w:gridCol w:w="257"/>
        <w:gridCol w:w="1214"/>
        <w:gridCol w:w="123"/>
        <w:gridCol w:w="123"/>
        <w:gridCol w:w="257"/>
        <w:gridCol w:w="998"/>
        <w:gridCol w:w="75"/>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2023</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4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and 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23,126</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3,982</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technology development</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25,737</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23,161</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2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4,465</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25,737</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w:t>
      </w:r>
      <w:r>
        <w:rPr>
          <w:rStyle w:val="Emphasis"/>
          <w:rFonts w:ascii="Times New Roman;Times;serif" w:hAnsi="Times New Roman;Times;serif"/>
          <w:sz w:val="20"/>
        </w:rPr>
        <w:t>7,</w:t>
      </w:r>
      <w:r>
        <w:rPr>
          <w:rFonts w:ascii="Times New Roman;Times;serif" w:hAnsi="Times New Roman;Times;serif"/>
          <w:sz w:val="20"/>
        </w:rPr>
        <w:t xml:space="preserve"> “Accounts Receivable” and Note </w:t>
      </w:r>
      <w:r>
        <w:rPr>
          <w:rStyle w:val="Emphasis"/>
          <w:rFonts w:ascii="Times New Roman;Times;serif" w:hAnsi="Times New Roman;Times;serif"/>
          <w:sz w:val="20"/>
        </w:rPr>
        <w:t>8,</w:t>
      </w:r>
      <w:r>
        <w:rPr>
          <w:rFonts w:ascii="Times New Roman;Times;serif" w:hAnsi="Times New Roman;Times;serif"/>
          <w:sz w:val="20"/>
        </w:rPr>
        <w:t xml:space="preserve">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90"/>
        <w:gridCol w:w="60"/>
        <w:gridCol w:w="337"/>
        <w:gridCol w:w="1475"/>
        <w:gridCol w:w="80"/>
        <w:gridCol w:w="60"/>
        <w:gridCol w:w="297"/>
        <w:gridCol w:w="1159"/>
        <w:gridCol w:w="80"/>
        <w:gridCol w:w="60"/>
        <w:gridCol w:w="210"/>
        <w:gridCol w:w="1098"/>
        <w:gridCol w:w="99"/>
      </w:tblGrid>
      <w:tr>
        <w:trPr/>
        <w:tc>
          <w:tcPr>
            <w:tcW w:w="5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as of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57,829</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0"/>
              <w:ind w:left="0" w:right="0" w:hanging="0"/>
              <w:jc w:val="left"/>
              <w:rPr/>
            </w:pPr>
            <w:r>
              <w:rPr/>
              <w:t> </w:t>
            </w:r>
          </w:p>
        </w:tc>
        <w:tc>
          <w:tcPr>
            <w:tcW w:w="115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pPr>
            <w:r>
              <w:rPr>
                <w:rStyle w:val="Emphasis"/>
              </w:rPr>
              <w:t>—</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27,577</w:t>
            </w:r>
          </w:p>
        </w:tc>
        <w:tc>
          <w:tcPr>
            <w:tcW w:w="99" w:type="dxa"/>
            <w:tcBorders/>
            <w:shd w:fill="CCEEFF" w:val="clear"/>
            <w:vAlign w:val="center"/>
          </w:tcPr>
          <w:p>
            <w:pPr>
              <w:pStyle w:val="TableContents"/>
              <w:bidi w:val="0"/>
              <w:spacing w:before="0" w:after="0"/>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0"/>
              <w:ind w:left="0" w:right="0" w:hanging="0"/>
              <w:jc w:val="left"/>
              <w:rPr/>
            </w:pPr>
            <w:r>
              <w:rPr/>
              <w:t> </w:t>
            </w:r>
          </w:p>
        </w:tc>
        <w:tc>
          <w:tcPr>
            <w:tcW w:w="115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pPr>
            <w:r>
              <w:rPr>
                <w:rStyle w:val="Emphasis"/>
              </w:rPr>
              <w:t>—</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(22,443</w:t>
            </w:r>
          </w:p>
        </w:tc>
        <w:tc>
          <w:tcPr>
            <w:tcW w:w="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99"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June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62,913</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90"/>
        <w:gridCol w:w="60"/>
        <w:gridCol w:w="337"/>
        <w:gridCol w:w="1475"/>
        <w:gridCol w:w="80"/>
        <w:gridCol w:w="60"/>
        <w:gridCol w:w="269"/>
        <w:gridCol w:w="1187"/>
        <w:gridCol w:w="80"/>
        <w:gridCol w:w="60"/>
        <w:gridCol w:w="227"/>
        <w:gridCol w:w="1082"/>
        <w:gridCol w:w="98"/>
      </w:tblGrid>
      <w:tr>
        <w:trPr/>
        <w:tc>
          <w:tcPr>
            <w:tcW w:w="5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8"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as of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50,760</w:t>
            </w:r>
          </w:p>
        </w:tc>
        <w:tc>
          <w:tcPr>
            <w:tcW w:w="98" w:type="dxa"/>
            <w:tcBorders/>
            <w:shd w:fill="CCEEFF" w:val="clear"/>
            <w:vAlign w:val="center"/>
          </w:tcPr>
          <w:p>
            <w:pPr>
              <w:pStyle w:val="TableContents"/>
              <w:bidi w:val="0"/>
              <w:spacing w:before="0" w:after="283"/>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8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7" w:type="dxa"/>
            <w:tcBorders/>
            <w:shd w:fill="FFFFFF" w:val="clear"/>
            <w:vAlign w:val="center"/>
          </w:tcPr>
          <w:p>
            <w:pPr>
              <w:pStyle w:val="TableContents"/>
              <w:bidi w:val="0"/>
              <w:spacing w:before="0" w:after="0"/>
              <w:ind w:left="0" w:right="0" w:hanging="0"/>
              <w:jc w:val="left"/>
              <w:rPr/>
            </w:pPr>
            <w:r>
              <w:rPr/>
              <w:t> </w:t>
            </w:r>
          </w:p>
        </w:tc>
        <w:tc>
          <w:tcPr>
            <w:tcW w:w="1082" w:type="dxa"/>
            <w:tcBorders/>
            <w:shd w:fill="FFFFFF" w:val="clear"/>
            <w:vAlign w:val="center"/>
          </w:tcPr>
          <w:p>
            <w:pPr>
              <w:pStyle w:val="TableContents"/>
              <w:bidi w:val="0"/>
              <w:spacing w:before="0" w:after="0"/>
              <w:ind w:left="0" w:right="0" w:hanging="0"/>
              <w:jc w:val="right"/>
              <w:rPr/>
            </w:pPr>
            <w:r>
              <w:rPr>
                <w:rStyle w:val="Emphasis"/>
              </w:rPr>
              <w:t>—</w:t>
            </w:r>
          </w:p>
        </w:tc>
        <w:tc>
          <w:tcPr>
            <w:tcW w:w="98"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87"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pPr>
            <w:r>
              <w:rPr/>
              <w:t> </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16,308</w:t>
            </w:r>
          </w:p>
        </w:tc>
        <w:tc>
          <w:tcPr>
            <w:tcW w:w="98" w:type="dxa"/>
            <w:tcBorders/>
            <w:shd w:fill="CCEEFF" w:val="clear"/>
            <w:vAlign w:val="center"/>
          </w:tcPr>
          <w:p>
            <w:pPr>
              <w:pStyle w:val="TableContents"/>
              <w:bidi w:val="0"/>
              <w:spacing w:before="0" w:after="0"/>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8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7" w:type="dxa"/>
            <w:tcBorders/>
            <w:shd w:fill="FFFFFF" w:val="clear"/>
            <w:vAlign w:val="center"/>
          </w:tcPr>
          <w:p>
            <w:pPr>
              <w:pStyle w:val="TableContents"/>
              <w:bidi w:val="0"/>
              <w:spacing w:before="0" w:after="0"/>
              <w:ind w:left="0" w:right="0" w:hanging="0"/>
              <w:jc w:val="left"/>
              <w:rPr/>
            </w:pPr>
            <w:r>
              <w:rPr/>
              <w:t> </w:t>
            </w:r>
          </w:p>
        </w:tc>
        <w:tc>
          <w:tcPr>
            <w:tcW w:w="1082" w:type="dxa"/>
            <w:tcBorders/>
            <w:shd w:fill="FFFFFF" w:val="clear"/>
            <w:vAlign w:val="center"/>
          </w:tcPr>
          <w:p>
            <w:pPr>
              <w:pStyle w:val="TableContents"/>
              <w:bidi w:val="0"/>
              <w:spacing w:before="0" w:after="0"/>
              <w:ind w:left="0" w:right="0" w:hanging="0"/>
              <w:jc w:val="right"/>
              <w:rPr/>
            </w:pPr>
            <w:r>
              <w:rPr>
                <w:rStyle w:val="Emphasis"/>
              </w:rPr>
              <w:t>—</w:t>
            </w:r>
          </w:p>
        </w:tc>
        <w:tc>
          <w:tcPr>
            <w:tcW w:w="98"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87"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pPr>
            <w:r>
              <w:rPr/>
              <w:t> </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(8,974</w:t>
            </w:r>
          </w:p>
        </w:tc>
        <w:tc>
          <w:tcPr>
            <w:tcW w:w="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98"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June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58,083</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Company’s remaining performance obligations represent the unrecognized revenue value of the Company’s contractual commitments. The Company’s performance obligations </w:t>
      </w:r>
      <w:r>
        <w:rPr>
          <w:rStyle w:val="Emphasis"/>
          <w:rFonts w:ascii="Times New Roman;Times;serif" w:hAnsi="Times New Roman;Times;serif"/>
          <w:sz w:val="20"/>
        </w:rPr>
        <w:t xml:space="preserve">may </w:t>
      </w:r>
      <w:r>
        <w:rPr>
          <w:rFonts w:ascii="Times New Roman;Times;serif" w:hAnsi="Times New Roman;Times;serif"/>
          <w:sz w:val="20"/>
        </w:rPr>
        <w:t xml:space="preserve">vary significantly each reporting period based on the timing of major new contractual commitments. As of </w:t>
      </w:r>
      <w:r>
        <w:rPr>
          <w:rStyle w:val="Emphasis"/>
          <w:rFonts w:ascii="Times New Roman;Times;serif" w:hAnsi="Times New Roman;Times;serif"/>
          <w:sz w:val="20"/>
        </w:rPr>
        <w:t>June 30, 2024</w:t>
      </w:r>
      <w:r>
        <w:rPr>
          <w:rFonts w:ascii="Times New Roman;Times;serif" w:hAnsi="Times New Roman;Times;serif"/>
          <w:sz w:val="20"/>
        </w:rPr>
        <w:t xml:space="preserve">, the Company had outstanding performance obligations on existing contracts under ASC </w:t>
      </w:r>
      <w:r>
        <w:rPr>
          <w:rStyle w:val="Emphasis"/>
          <w:rFonts w:ascii="Times New Roman;Times;serif" w:hAnsi="Times New Roman;Times;serif"/>
          <w:sz w:val="20"/>
        </w:rPr>
        <w:t>606</w:t>
      </w:r>
      <w:r>
        <w:rPr>
          <w:rFonts w:ascii="Times New Roman;Times;serif" w:hAnsi="Times New Roman;Times;serif"/>
          <w:sz w:val="20"/>
        </w:rPr>
        <w:t xml:space="preserve"> to be recognized in the next twelve months of approximately $161.0 </w:t>
      </w:r>
      <w:r>
        <w:rPr>
          <w:rFonts w:ascii="Times New Roman;Times;serif" w:hAnsi="Times New Roman;Times;serif"/>
          <w:sz w:val="20"/>
          <w:shd w:fill="FFFFFF" w:val="clear"/>
        </w:rPr>
        <w:t>million</w:t>
      </w:r>
      <w:r>
        <w:rPr>
          <w:rFonts w:ascii="Times New Roman;Times;serif" w:hAnsi="Times New Roman;Times;serif"/>
          <w:sz w:val="20"/>
        </w:rPr>
        <w:t>. There are also approximately $90.0 m</w:t>
      </w:r>
      <w:r>
        <w:rPr>
          <w:rFonts w:ascii="Times New Roman;Times;serif" w:hAnsi="Times New Roman;Times;serif"/>
          <w:sz w:val="20"/>
          <w:shd w:fill="FFFFFF" w:val="clear"/>
        </w:rPr>
        <w:t>illion o</w:t>
      </w:r>
      <w:r>
        <w:rPr>
          <w:rFonts w:ascii="Times New Roman;Times;serif" w:hAnsi="Times New Roman;Times;serif"/>
          <w:sz w:val="20"/>
        </w:rPr>
        <w:t>f outstanding performance obligations to be recognized over a period of thirteen to sixty months. The remaining performance obligations are subject to customer actions and therefore the timing of revenue recognition cannot be reasonably estimated. </w:t>
      </w:r>
    </w:p>
    <w:p>
      <w:pPr>
        <w:pStyle w:val="TextBody"/>
        <w:bidi w:val="0"/>
        <w:spacing w:before="0" w:after="0"/>
        <w:ind w:left="0" w:right="0" w:firstLine="555"/>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following table sets forth customers who represented </w:t>
      </w:r>
      <w:r>
        <w:rPr>
          <w:rStyle w:val="Emphasis"/>
          <w:rFonts w:ascii="Times New Roman;Times;serif" w:hAnsi="Times New Roman;Times;serif"/>
          <w:sz w:val="20"/>
        </w:rPr>
        <w:t>10%</w:t>
      </w:r>
      <w:r>
        <w:rPr>
          <w:rFonts w:ascii="Times New Roman;Times;serif" w:hAnsi="Times New Roman;Times;serif"/>
          <w:sz w:val="20"/>
        </w:rPr>
        <w:t xml:space="preserve"> or more of the Company’s total revenues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w:t>
      </w:r>
    </w:p>
    <w:p>
      <w:pPr>
        <w:pStyle w:val="TextBody"/>
        <w:bidi w:val="0"/>
        <w:spacing w:before="0" w:after="0"/>
        <w:ind w:left="0" w:right="0" w:hanging="0"/>
        <w:jc w:val="left"/>
        <w:rPr/>
      </w:pPr>
      <w:r>
        <w:rPr/>
        <w:t> </w:t>
      </w:r>
    </w:p>
    <w:tbl>
      <w:tblPr>
        <w:tblW w:w="4533" w:type="dxa"/>
        <w:jc w:val="left"/>
        <w:tblInd w:w="0" w:type="dxa"/>
        <w:tblLayout w:type="fixed"/>
        <w:tblCellMar>
          <w:top w:w="0" w:type="dxa"/>
          <w:left w:w="0" w:type="dxa"/>
          <w:bottom w:w="0" w:type="dxa"/>
          <w:right w:w="0" w:type="dxa"/>
        </w:tblCellMar>
      </w:tblPr>
      <w:tblGrid>
        <w:gridCol w:w="1580"/>
        <w:gridCol w:w="950"/>
        <w:gridCol w:w="60"/>
        <w:gridCol w:w="128"/>
        <w:gridCol w:w="490"/>
        <w:gridCol w:w="394"/>
        <w:gridCol w:w="128"/>
        <w:gridCol w:w="128"/>
        <w:gridCol w:w="490"/>
        <w:gridCol w:w="185"/>
      </w:tblGrid>
      <w:tr>
        <w:trPr/>
        <w:tc>
          <w:tcPr>
            <w:tcW w:w="158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Reportable</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6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394"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Inox Wind Limited</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3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Stock-Based Compensation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accounts for its stock-based compensation at fair value. The following table summarizes stock-based compensation expense by financial statement line item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(in thousands):</w:t>
      </w:r>
    </w:p>
    <w:p>
      <w:pPr>
        <w:pStyle w:val="TextBody"/>
        <w:bidi w:val="0"/>
        <w:spacing w:before="0" w:after="0"/>
        <w:ind w:left="0" w:right="0" w:firstLine="720"/>
        <w:jc w:val="both"/>
        <w:rPr/>
      </w:pPr>
      <w:r>
        <w:rPr/>
        <w:t> </w:t>
      </w:r>
    </w:p>
    <w:tbl>
      <w:tblPr>
        <w:tblW w:w="5483" w:type="dxa"/>
        <w:jc w:val="left"/>
        <w:tblInd w:w="0" w:type="dxa"/>
        <w:tblLayout w:type="fixed"/>
        <w:tblCellMar>
          <w:top w:w="0" w:type="dxa"/>
          <w:left w:w="0" w:type="dxa"/>
          <w:bottom w:w="0" w:type="dxa"/>
          <w:right w:w="0" w:type="dxa"/>
        </w:tblCellMar>
      </w:tblPr>
      <w:tblGrid>
        <w:gridCol w:w="2855"/>
        <w:gridCol w:w="60"/>
        <w:gridCol w:w="234"/>
        <w:gridCol w:w="908"/>
        <w:gridCol w:w="112"/>
        <w:gridCol w:w="112"/>
        <w:gridCol w:w="234"/>
        <w:gridCol w:w="908"/>
        <w:gridCol w:w="6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issued 25,000 shares of restricted stock and 19,200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 The Company issued 672,500 shares of restricted stock and 53,675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estimated fair value of the Company’s stock-based awards, less expected annual forfeitures, is amortized over the </w:t>
      </w:r>
      <w:r>
        <w:rPr>
          <w:rFonts w:ascii="Times New Roman;Times;serif" w:hAnsi="Times New Roman;Times;serif"/>
          <w:sz w:val="20"/>
          <w:shd w:fill="FFFFFF" w:val="clear"/>
        </w:rPr>
        <w:t xml:space="preserve">awards’ service period. There were no unrecognized compensation costs for unvested stock options </w:t>
      </w:r>
      <w:r>
        <w:rPr>
          <w:rFonts w:ascii="Times New Roman;Times;serif" w:hAnsi="Times New Roman;Times;serif"/>
          <w:sz w:val="20"/>
        </w:rPr>
        <w:t>as</w:t>
      </w:r>
      <w:r>
        <w:rPr>
          <w:rFonts w:ascii="Times New Roman;Times;serif" w:hAnsi="Times New Roman;Times;serif"/>
          <w:sz w:val="20"/>
          <w:shd w:fill="FFFFFF" w:val="clear"/>
        </w:rPr>
        <w:t xml:space="preserve"> of </w:t>
      </w:r>
      <w:r>
        <w:rPr>
          <w:rStyle w:val="Emphasis"/>
          <w:rFonts w:ascii="Times New Roman;Times;serif" w:hAnsi="Times New Roman;Times;serif"/>
          <w:sz w:val="20"/>
          <w:shd w:fill="FFFFFF" w:val="clear"/>
        </w:rPr>
        <w:t>June 30, 2024</w:t>
      </w:r>
      <w:r>
        <w:rPr>
          <w:rFonts w:ascii="Times New Roman;Times;serif" w:hAnsi="Times New Roman;Times;serif"/>
          <w:sz w:val="20"/>
          <w:shd w:fill="FFFFFF" w:val="clear"/>
        </w:rPr>
        <w:t xml:space="preserve">. The total unrecognized compensation cost for unvested outstanding restricted stock was </w:t>
      </w:r>
      <w:r>
        <w:rPr>
          <w:rFonts w:ascii="Times New Roman;Times;serif" w:hAnsi="Times New Roman;Times;serif"/>
          <w:sz w:val="20"/>
        </w:rPr>
        <w:t>$4.1 mi</w:t>
      </w:r>
      <w:r>
        <w:rPr>
          <w:rFonts w:ascii="Times New Roman;Times;serif" w:hAnsi="Times New Roman;Times;serif"/>
          <w:sz w:val="20"/>
          <w:shd w:fill="FFFFFF" w:val="clear"/>
        </w:rPr>
        <w:t>llion as of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shd w:fill="FFFFFF" w:val="clear"/>
        </w:rPr>
        <w:t>. This expense will be recognized over a weighted-average expense period of approximately 1.4 years.</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Company granted no stock options during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4.</w:t>
      </w:r>
      <w:r>
        <w:rPr>
          <w:rFonts w:ascii="Times New Roman;Times;serif" w:hAnsi="Times New Roman;Times;serif"/>
          <w:b/>
          <w:sz w:val="20"/>
        </w:rPr>
        <w:t xml:space="preserve"> Computation of Net Loss per Common Share</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are excluded from the computation of diluted EPS as the effect of their inclusion would be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 xml:space="preserve">, 336,206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w:t>
      </w:r>
      <w:r>
        <w:rPr>
          <w:rFonts w:ascii="Times New Roman;Times;serif" w:hAnsi="Times New Roman;Times;serif"/>
          <w:sz w:val="20"/>
          <w:shd w:fill="FFFFFF" w:val="clear"/>
        </w:rPr>
        <w:t xml:space="preserve"> 300,000 </w:t>
      </w:r>
      <w:r>
        <w:rPr>
          <w:rFonts w:ascii="Times New Roman;Times;serif" w:hAnsi="Times New Roman;Times;serif"/>
          <w:sz w:val="20"/>
        </w:rPr>
        <w:t xml:space="preserve">relate to shares associated with the contingent consideration derivative liability for which the contingency has </w:t>
      </w:r>
      <w:r>
        <w:rPr>
          <w:rStyle w:val="Emphasis"/>
          <w:rFonts w:ascii="Times New Roman;Times;serif" w:hAnsi="Times New Roman;Times;serif"/>
          <w:sz w:val="20"/>
        </w:rPr>
        <w:t>not</w:t>
      </w:r>
      <w:r>
        <w:rPr>
          <w:rFonts w:ascii="Times New Roman;Times;serif" w:hAnsi="Times New Roman;Times;serif"/>
          <w:sz w:val="20"/>
        </w:rPr>
        <w:t xml:space="preserve"> yet been met, and 36,206 relate to outstanding stock options as they were considered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 xml:space="preserve">, 1,071,504 million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w:t>
      </w:r>
      <w:r>
        <w:rPr>
          <w:rFonts w:ascii="Times New Roman;Times;serif" w:hAnsi="Times New Roman;Times;serif"/>
          <w:sz w:val="20"/>
          <w:shd w:fill="FFFFFF" w:val="clear"/>
        </w:rPr>
        <w:t> 1,000,000 </w:t>
      </w:r>
      <w:r>
        <w:rPr>
          <w:rFonts w:ascii="Times New Roman;Times;serif" w:hAnsi="Times New Roman;Times;serif"/>
          <w:sz w:val="20"/>
        </w:rPr>
        <w:t xml:space="preserve">relate to shares associated with the contingent consideration derivative liability for which the contingency has </w:t>
      </w:r>
      <w:r>
        <w:rPr>
          <w:rStyle w:val="Emphasis"/>
          <w:rFonts w:ascii="Times New Roman;Times;serif" w:hAnsi="Times New Roman;Times;serif"/>
          <w:sz w:val="20"/>
        </w:rPr>
        <w:t>not</w:t>
      </w:r>
      <w:r>
        <w:rPr>
          <w:rFonts w:ascii="Times New Roman;Times;serif" w:hAnsi="Times New Roman;Times;serif"/>
          <w:sz w:val="20"/>
        </w:rPr>
        <w:t xml:space="preserve"> yet been met, and 71,504 relate to outstanding stock options as they were considered anti-dilutive. </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The following table reconciles the numerators and denominators of the earnings per share calculation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(in thousands, except per share data):</w:t>
      </w:r>
    </w:p>
    <w:p>
      <w:pPr>
        <w:pStyle w:val="TextBody"/>
        <w:bidi w:val="0"/>
        <w:spacing w:before="0" w:after="0"/>
        <w:ind w:left="0" w:right="0" w:hanging="0"/>
        <w:jc w:val="left"/>
        <w:rPr/>
      </w:pPr>
      <w:r>
        <w:rPr/>
        <w:t> </w:t>
      </w:r>
    </w:p>
    <w:tbl>
      <w:tblPr>
        <w:tblW w:w="7151" w:type="dxa"/>
        <w:jc w:val="left"/>
        <w:tblInd w:w="0" w:type="dxa"/>
        <w:tblLayout w:type="fixed"/>
        <w:tblCellMar>
          <w:top w:w="0" w:type="dxa"/>
          <w:left w:w="0" w:type="dxa"/>
          <w:bottom w:w="0" w:type="dxa"/>
          <w:right w:w="0" w:type="dxa"/>
        </w:tblCellMar>
      </w:tblPr>
      <w:tblGrid>
        <w:gridCol w:w="4505"/>
        <w:gridCol w:w="60"/>
        <w:gridCol w:w="199"/>
        <w:gridCol w:w="943"/>
        <w:gridCol w:w="127"/>
        <w:gridCol w:w="95"/>
        <w:gridCol w:w="199"/>
        <w:gridCol w:w="943"/>
        <w:gridCol w:w="80"/>
      </w:tblGrid>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36,991</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29,706</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subject to repurchase</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per-share calculation ― basic</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28,258</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per-share calculation ― diluted</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35,676</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28,258</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5.</w:t>
      </w:r>
      <w:r>
        <w:rPr>
          <w:rFonts w:ascii="Times New Roman;Times;serif" w:hAnsi="Times New Roman;Times;serif"/>
          <w:b/>
          <w:sz w:val="20"/>
        </w:rPr>
        <w:t xml:space="preserve"> Goodwill and Other Intangibles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both"/>
        <w:rPr/>
      </w:pPr>
      <w:r>
        <w:rPr/>
        <w:t> </w:t>
      </w:r>
    </w:p>
    <w:p>
      <w:pPr>
        <w:pStyle w:val="TextBody"/>
        <w:bidi w:val="0"/>
        <w:spacing w:before="0" w:after="0"/>
        <w:ind w:left="144" w:right="144" w:firstLine="540"/>
        <w:jc w:val="both"/>
        <w:rPr/>
      </w:pPr>
      <w:r>
        <w:rPr>
          <w:rFonts w:ascii="Times New Roman;Times;serif" w:hAnsi="Times New Roman;Times;serif"/>
          <w:sz w:val="20"/>
        </w:rPr>
        <w:t xml:space="preserve">Goodwill represents the difference between the purchase price and the fair value of the identifiable tangible and intangible net assets when accounted for using the purchase method of accounting. Goodwill is </w:t>
      </w:r>
      <w:r>
        <w:rPr>
          <w:rStyle w:val="Emphasis"/>
          <w:rFonts w:ascii="Times New Roman;Times;serif" w:hAnsi="Times New Roman;Times;serif"/>
          <w:sz w:val="20"/>
        </w:rPr>
        <w:t>not</w:t>
      </w:r>
      <w:r>
        <w:rPr>
          <w:rFonts w:ascii="Times New Roman;Times;serif" w:hAnsi="Times New Roman;Times;serif"/>
          <w:sz w:val="20"/>
        </w:rPr>
        <w:t xml:space="preserve"> amortized but reviewed for impairment. Goodwill is reviewed annually on </w:t>
      </w:r>
      <w:r>
        <w:rPr>
          <w:rStyle w:val="Emphasis"/>
          <w:rFonts w:ascii="Times New Roman;Times;serif" w:hAnsi="Times New Roman;Times;serif"/>
          <w:sz w:val="20"/>
        </w:rPr>
        <w:t>February 28th</w:t>
      </w:r>
      <w:r>
        <w:rPr>
          <w:rFonts w:ascii="Times New Roman;Times;serif" w:hAnsi="Times New Roman;Times;serif"/>
          <w:sz w:val="20"/>
        </w:rPr>
        <w:t xml:space="preserve"> and whenever events or changes in circumstances indicate that the carrying value of the goodwill might </w:t>
      </w:r>
      <w:r>
        <w:rPr>
          <w:rStyle w:val="Emphasis"/>
          <w:rFonts w:ascii="Times New Roman;Times;serif" w:hAnsi="Times New Roman;Times;serif"/>
          <w:sz w:val="20"/>
        </w:rPr>
        <w:t>not</w:t>
      </w:r>
      <w:r>
        <w:rPr>
          <w:rFonts w:ascii="Times New Roman;Times;serif" w:hAnsi="Times New Roman;Times;serif"/>
          <w:sz w:val="20"/>
        </w:rPr>
        <w:t xml:space="preserve"> be recoverable.</w:t>
      </w:r>
    </w:p>
    <w:p>
      <w:pPr>
        <w:pStyle w:val="TextBody"/>
        <w:bidi w:val="0"/>
        <w:spacing w:before="0" w:after="0"/>
        <w:ind w:left="144" w:right="144" w:firstLine="540"/>
        <w:jc w:val="both"/>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44" w:right="144" w:firstLine="540"/>
        <w:jc w:val="both"/>
        <w:rPr/>
      </w:pPr>
      <w:r>
        <w:rPr>
          <w:rFonts w:ascii="Times New Roman;Times;serif" w:hAnsi="Times New Roman;Times;serif"/>
          <w:sz w:val="20"/>
        </w:rPr>
        <w:t xml:space="preserve">There were </w:t>
      </w:r>
      <w:r>
        <w:rPr>
          <w:rStyle w:val="Emphasis"/>
          <w:rFonts w:ascii="Times New Roman;Times;serif" w:hAnsi="Times New Roman;Times;serif"/>
          <w:sz w:val="20"/>
        </w:rPr>
        <w:t>no</w:t>
      </w:r>
      <w:r>
        <w:rPr>
          <w:rFonts w:ascii="Times New Roman;Times;serif" w:hAnsi="Times New Roman;Times;serif"/>
          <w:sz w:val="20"/>
        </w:rPr>
        <w:t xml:space="preserve"> changes to goodwill during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2024</w:t>
      </w:r>
      <w:r>
        <w:rPr>
          <w:rFonts w:ascii="Times New Roman;Times;serif" w:hAnsi="Times New Roman;Times;serif"/>
          <w:sz w:val="20"/>
        </w:rPr>
        <w:t xml:space="preserve"> or the year ended </w:t>
      </w:r>
      <w:r>
        <w:rPr>
          <w:rStyle w:val="Emphasis"/>
          <w:rFonts w:ascii="Times New Roman;Times;serif" w:hAnsi="Times New Roman;Times;serif"/>
          <w:sz w:val="20"/>
        </w:rPr>
        <w:t>March 31, 2024</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Company did not identify any triggering events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2024</w:t>
      </w:r>
      <w:r>
        <w:rPr>
          <w:rFonts w:ascii="Times New Roman;Times;serif" w:hAnsi="Times New Roman;Times;serif"/>
          <w:sz w:val="20"/>
        </w:rPr>
        <w:t xml:space="preserve"> that would require interim impairment testing of goodwill.</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Intangibles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Intangible assets at </w:t>
      </w:r>
      <w:r>
        <w:rPr>
          <w:rStyle w:val="Emphasis"/>
          <w:rFonts w:ascii="Times New Roman;Times;serif" w:hAnsi="Times New Roman;Times;serif"/>
          <w:sz w:val="20"/>
        </w:rPr>
        <w:t xml:space="preserve"> June 30, 2024</w:t>
      </w:r>
      <w:r>
        <w:rPr>
          <w:rFonts w:ascii="Times New Roman;Times;serif" w:hAnsi="Times New Roman;Times;serif"/>
          <w:sz w:val="20"/>
        </w:rPr>
        <w:t> and </w:t>
      </w:r>
      <w:r>
        <w:rPr>
          <w:rStyle w:val="Emphasis"/>
          <w:rFonts w:ascii="Times New Roman;Times;serif" w:hAnsi="Times New Roman;Times;serif"/>
          <w:sz w:val="20"/>
        </w:rPr>
        <w:t xml:space="preserve"> March 31, 2024</w:t>
      </w:r>
      <w:r>
        <w:rPr>
          <w:rFonts w:ascii="Times New Roman;Times;serif" w:hAnsi="Times New Roman;Times;serif"/>
          <w:sz w:val="20"/>
        </w:rPr>
        <w:t> consisted of the following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1615"/>
        <w:gridCol w:w="60"/>
        <w:gridCol w:w="154"/>
        <w:gridCol w:w="726"/>
        <w:gridCol w:w="60"/>
        <w:gridCol w:w="60"/>
        <w:gridCol w:w="243"/>
        <w:gridCol w:w="1270"/>
        <w:gridCol w:w="80"/>
        <w:gridCol w:w="60"/>
        <w:gridCol w:w="177"/>
        <w:gridCol w:w="687"/>
        <w:gridCol w:w="60"/>
        <w:gridCol w:w="60"/>
        <w:gridCol w:w="154"/>
        <w:gridCol w:w="726"/>
        <w:gridCol w:w="60"/>
        <w:gridCol w:w="60"/>
        <w:gridCol w:w="243"/>
        <w:gridCol w:w="1270"/>
        <w:gridCol w:w="80"/>
        <w:gridCol w:w="60"/>
        <w:gridCol w:w="177"/>
        <w:gridCol w:w="687"/>
        <w:gridCol w:w="60"/>
        <w:gridCol w:w="60"/>
        <w:gridCol w:w="244"/>
        <w:gridCol w:w="945"/>
        <w:gridCol w:w="67"/>
      </w:tblGrid>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center"/>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 Useful Life</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w:t>
            </w:r>
          </w:p>
        </w:tc>
        <w:tc>
          <w:tcPr>
            <w:tcW w:w="67" w:type="dxa"/>
            <w:tcBorders/>
            <w:shd w:fill="CCEE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name and trademarks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27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27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Indefinite</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7</w:t>
            </w:r>
          </w:p>
        </w:tc>
        <w:tc>
          <w:tcPr>
            <w:tcW w:w="67" w:type="dxa"/>
            <w:tcBorders/>
            <w:shd w:fill="CCEE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Core technology and know-how</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5-10</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(12,094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rStyle w:val="Emphasis"/>
              </w:rPr>
              <w:t> </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intangible amortization expense related to customer relationship and core technology and know-how of $0.4 million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shd w:fill="FFFFFF" w:val="clear"/>
        </w:rPr>
        <w:t> a</w:t>
      </w:r>
      <w:r>
        <w:rPr>
          <w:rFonts w:ascii="Times New Roman;Times;serif" w:hAnsi="Times New Roman;Times;serif"/>
          <w:sz w:val="20"/>
        </w:rPr>
        <w:t xml:space="preserve">nd $0.5 million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shd w:fill="FFFFFF" w:val="clear"/>
        </w:rPr>
        <w:t xml:space="preserve">. </w:t>
      </w:r>
      <w:r>
        <w:rPr>
          <w:rFonts w:ascii="Times New Roman;Times;serif" w:hAnsi="Times New Roman;Times;serif"/>
          <w:sz w:val="20"/>
        </w:rPr>
        <w:t xml:space="preserve">The Company recorded no intangible amortization related to backlog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rPr>
        <w:t xml:space="preserve"> as the asset is fully amortized. Amortization expense of less than $0.1 million was reported in cost of revenues during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shd w:fill="FFFFFF" w:val="clear"/>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Expected future amortization expense related to intangible assets is as follows (in thousands):</w:t>
      </w:r>
    </w:p>
    <w:p>
      <w:pPr>
        <w:pStyle w:val="TextBody"/>
        <w:bidi w:val="0"/>
        <w:spacing w:before="0" w:after="0"/>
        <w:ind w:left="0" w:right="0" w:firstLine="720"/>
        <w:jc w:val="both"/>
        <w:rPr/>
      </w:pPr>
      <w:r>
        <w:rPr/>
        <w:t> </w:t>
      </w:r>
    </w:p>
    <w:tbl>
      <w:tblPr>
        <w:tblW w:w="2775" w:type="dxa"/>
        <w:jc w:val="left"/>
        <w:tblInd w:w="0" w:type="dxa"/>
        <w:tblLayout w:type="fixed"/>
        <w:tblCellMar>
          <w:top w:w="0" w:type="dxa"/>
          <w:left w:w="0" w:type="dxa"/>
          <w:bottom w:w="0" w:type="dxa"/>
          <w:right w:w="0" w:type="dxa"/>
        </w:tblCellMar>
      </w:tblPr>
      <w:tblGrid>
        <w:gridCol w:w="2045"/>
        <w:gridCol w:w="60"/>
        <w:gridCol w:w="125"/>
        <w:gridCol w:w="485"/>
        <w:gridCol w:w="60"/>
      </w:tblGrid>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 ending March 31,</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1,236</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1,221</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1,085</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intangible assets relate entirely to the Grid business segment operations in the United States.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ind w:left="0" w:right="0" w:hanging="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6.</w:t>
      </w:r>
      <w:r>
        <w:rPr>
          <w:rFonts w:ascii="Times New Roman;Times;serif" w:hAnsi="Times New Roman;Times;serif"/>
          <w:b/>
          <w:sz w:val="20"/>
        </w:rPr>
        <w:t xml:space="preserve"> Fair Value Measurements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 valuation hierarchy for disclosure of the inputs to valuation used to measure fair value has been established. This hierarchy prioritizes the inputs into </w:t>
      </w:r>
      <w:r>
        <w:rPr>
          <w:rStyle w:val="Emphasis"/>
          <w:rFonts w:ascii="Times New Roman;Times;serif" w:hAnsi="Times New Roman;Times;serif"/>
          <w:sz w:val="20"/>
        </w:rPr>
        <w:t>three</w:t>
      </w:r>
      <w:r>
        <w:rPr>
          <w:rFonts w:ascii="Times New Roman;Times;serif" w:hAnsi="Times New Roman;Times;serif"/>
          <w:sz w:val="20"/>
        </w:rPr>
        <w:t xml:space="preserve"> broad levels as follows: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710"/>
        <w:gridCol w:w="80"/>
        <w:gridCol w:w="9415"/>
      </w:tblGrid>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1</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Inputs are unadjusted quoted prices in active markets for identical assets or liabilities that the Company has the ability to access at the measurement date.</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2</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Inputs include quoted prices for similar assets and liabilities in active markets,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inputs other than quoted prices that are observable for the asset or liability, and inputs that are derived principally from or corroborated by observable market data by correlation or other means (market corroborated inputs).</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3</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Unobservable inputs that reflect the Company’s assumptions that market participants would use in pricing the asset or liability. The Company develops these inputs based on the best information available, including its own data.</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provides a gross presentation of activity within Level </w:t>
      </w:r>
      <w:r>
        <w:rPr>
          <w:rStyle w:val="Emphasis"/>
          <w:rFonts w:ascii="Times New Roman;Times;serif" w:hAnsi="Times New Roman;Times;serif"/>
          <w:sz w:val="20"/>
        </w:rPr>
        <w:t>3</w:t>
      </w:r>
      <w:r>
        <w:rPr>
          <w:rFonts w:ascii="Times New Roman;Times;serif" w:hAnsi="Times New Roman;Times;serif"/>
          <w:sz w:val="20"/>
        </w:rPr>
        <w:t xml:space="preserve"> measurement roll-forward and details of transfers in and out of Level </w:t>
      </w:r>
      <w:r>
        <w:rPr>
          <w:rStyle w:val="Emphasis"/>
          <w:rFonts w:ascii="Times New Roman;Times;serif" w:hAnsi="Times New Roman;Times;serif"/>
          <w:sz w:val="20"/>
        </w:rPr>
        <w:t>1</w:t>
      </w:r>
      <w:r>
        <w:rPr>
          <w:rFonts w:ascii="Times New Roman;Times;serif" w:hAnsi="Times New Roman;Times;serif"/>
          <w:sz w:val="20"/>
        </w:rPr>
        <w:t xml:space="preserve"> and </w:t>
      </w:r>
      <w:r>
        <w:rPr>
          <w:rStyle w:val="Emphasis"/>
          <w:rFonts w:ascii="Times New Roman;Times;serif" w:hAnsi="Times New Roman;Times;serif"/>
          <w:sz w:val="20"/>
        </w:rPr>
        <w:t>2</w:t>
      </w:r>
      <w:r>
        <w:rPr>
          <w:rFonts w:ascii="Times New Roman;Times;serif" w:hAnsi="Times New Roman;Times;serif"/>
          <w:sz w:val="20"/>
        </w:rPr>
        <w:t xml:space="preserve"> measurements. A change in the hierarchy of an investment from its current level is reflected in the period during which the pricing methodology of such investment changes. Disclosure of the transfer of securities from Level </w:t>
      </w:r>
      <w:r>
        <w:rPr>
          <w:rStyle w:val="Emphasis"/>
          <w:rFonts w:ascii="Times New Roman;Times;serif" w:hAnsi="Times New Roman;Times;serif"/>
          <w:sz w:val="20"/>
        </w:rPr>
        <w:t>1</w:t>
      </w:r>
      <w:r>
        <w:rPr>
          <w:rFonts w:ascii="Times New Roman;Times;serif" w:hAnsi="Times New Roman;Times;serif"/>
          <w:sz w:val="20"/>
        </w:rPr>
        <w:t xml:space="preserve"> to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is made in the event that the related security is significant to total cash and investments. The Company did </w:t>
      </w:r>
      <w:r>
        <w:rPr>
          <w:rStyle w:val="Emphasis"/>
          <w:rFonts w:ascii="Times New Roman;Times;serif" w:hAnsi="Times New Roman;Times;serif"/>
          <w:sz w:val="20"/>
        </w:rPr>
        <w:t>not</w:t>
      </w:r>
      <w:r>
        <w:rPr>
          <w:rFonts w:ascii="Times New Roman;Times;serif" w:hAnsi="Times New Roman;Times;serif"/>
          <w:sz w:val="20"/>
        </w:rPr>
        <w:t xml:space="preserve"> have any transfers of assets and liabilities from Level </w:t>
      </w:r>
      <w:r>
        <w:rPr>
          <w:rStyle w:val="Emphasis"/>
          <w:rFonts w:ascii="Times New Roman;Times;serif" w:hAnsi="Times New Roman;Times;serif"/>
          <w:sz w:val="20"/>
        </w:rPr>
        <w:t>1,</w:t>
      </w:r>
      <w:r>
        <w:rPr>
          <w:rFonts w:ascii="Times New Roman;Times;serif" w:hAnsi="Times New Roman;Times;serif"/>
          <w:sz w:val="20"/>
        </w:rPr>
        <w:t xml:space="preserve">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of the fair value measurement hierarchy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2024</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financial asset’s or liability’s classification within the hierarchy is determined based on the lowest level input that is significant to the fair value measurement.</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Valuation Techniques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Equivalents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Cash equivalents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and are classified within Level </w:t>
      </w:r>
      <w:r>
        <w:rPr>
          <w:rStyle w:val="Emphasis"/>
          <w:rFonts w:ascii="Times New Roman;Times;serif" w:hAnsi="Times New Roman;Times;serif"/>
          <w:sz w:val="20"/>
        </w:rPr>
        <w:t>1</w:t>
      </w:r>
      <w:r>
        <w:rPr>
          <w:rFonts w:ascii="Times New Roman;Times;serif" w:hAnsi="Times New Roman;Times;serif"/>
          <w:sz w:val="20"/>
        </w:rPr>
        <w:t xml:space="preserve"> of the valuation hierarchy. Cash equivalents consist principally of certificates of deposits and money market accounts.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Contingent consideration relates to the earnout payment set forth in the Stock Purchase Agreement governing the acquisition of Northeast Power Systems, Inc ("NEPSI") that provides that the selling stockholders </w:t>
      </w:r>
      <w:r>
        <w:rPr>
          <w:rStyle w:val="Emphasis"/>
          <w:rFonts w:ascii="Times New Roman;Times;serif" w:hAnsi="Times New Roman;Times;serif"/>
          <w:sz w:val="20"/>
        </w:rPr>
        <w:t xml:space="preserve">may </w:t>
      </w:r>
      <w:r>
        <w:rPr>
          <w:rFonts w:ascii="Times New Roman;Times;serif" w:hAnsi="Times New Roman;Times;serif"/>
          <w:sz w:val="20"/>
        </w:rPr>
        <w:t xml:space="preserve">receive up to an additional 1,000,000 shares of common stock of the Company upon the achievement of certain specified revenue objectives over varying periods of up to </w:t>
      </w:r>
      <w:r>
        <w:rPr>
          <w:rStyle w:val="Emphasis"/>
          <w:rFonts w:ascii="Times New Roman;Times;serif" w:hAnsi="Times New Roman;Times;serif"/>
          <w:sz w:val="20"/>
        </w:rPr>
        <w:t>four</w:t>
      </w:r>
      <w:r>
        <w:rPr>
          <w:rFonts w:ascii="Times New Roman;Times;serif" w:hAnsi="Times New Roman;Times;serif"/>
          <w:sz w:val="20"/>
        </w:rPr>
        <w:t xml:space="preserve"> years following the NEPSI Acquisition Date which must occur by </w:t>
      </w:r>
      <w:r>
        <w:rPr>
          <w:rStyle w:val="Emphasis"/>
          <w:rFonts w:ascii="Times New Roman;Times;serif" w:hAnsi="Times New Roman;Times;serif"/>
          <w:sz w:val="20"/>
        </w:rPr>
        <w:t>September 30, 2024.</w:t>
      </w:r>
      <w:r>
        <w:rPr>
          <w:rFonts w:ascii="Times New Roman;Times;serif" w:hAnsi="Times New Roman;Times;serif"/>
          <w:sz w:val="20"/>
        </w:rPr>
        <w:t xml:space="preserve"> </w:t>
      </w:r>
      <w:r>
        <w:rPr>
          <w:rFonts w:ascii="Times New Roman;Times;serif" w:hAnsi="Times New Roman;Times;serif"/>
          <w:sz w:val="20"/>
          <w:shd w:fill="FFFFFF" w:val="clear"/>
        </w:rPr>
        <w:t xml:space="preserve">See Note </w:t>
      </w:r>
      <w:r>
        <w:rPr>
          <w:rStyle w:val="Emphasis"/>
          <w:rFonts w:ascii="Times New Roman;Times;serif" w:hAnsi="Times New Roman;Times;serif"/>
          <w:sz w:val="20"/>
          <w:shd w:fill="FFFFFF" w:val="clear"/>
        </w:rPr>
        <w:t>13</w:t>
      </w:r>
      <w:r>
        <w:rPr>
          <w:rFonts w:ascii="Times New Roman;Times;serif" w:hAnsi="Times New Roman;Times;serif"/>
          <w:sz w:val="20"/>
        </w:rPr>
        <w:t>, "Contingent Consideration" for further discussion. The Company relied on a Monte Carlo method to determine the fair value of the contingent consideration on the closing of the acquisition of NEPSI and continues to revalue the fair value of the contingent consideration using the same method at each subsequent balance sheet date until the contingencies are resolved and the shares to be issued are determined, with the change in fair value recorded in the current period operating loss.</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following table provides the assets and liabilities carried at fair value on a recurring basis, measured as of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(in thousands):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1713"/>
        <w:gridCol w:w="60"/>
        <w:gridCol w:w="223"/>
        <w:gridCol w:w="1061"/>
        <w:gridCol w:w="60"/>
        <w:gridCol w:w="60"/>
        <w:gridCol w:w="363"/>
        <w:gridCol w:w="1715"/>
        <w:gridCol w:w="60"/>
        <w:gridCol w:w="60"/>
        <w:gridCol w:w="760"/>
        <w:gridCol w:w="1585"/>
        <w:gridCol w:w="60"/>
        <w:gridCol w:w="60"/>
        <w:gridCol w:w="470"/>
        <w:gridCol w:w="1832"/>
        <w:gridCol w:w="63"/>
      </w:tblGrid>
      <w:tr>
        <w:trPr/>
        <w:tc>
          <w:tcPr>
            <w:tcW w:w="1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Unobservable Inputs (Level 3)</w:t>
            </w:r>
          </w:p>
        </w:tc>
        <w:tc>
          <w:tcPr>
            <w:tcW w:w="63" w:type="dxa"/>
            <w:tcBorders/>
            <w:shd w:fill="FFFFFF" w:val="clear"/>
            <w:vAlign w:val="center"/>
          </w:tcPr>
          <w:p>
            <w:pPr>
              <w:pStyle w:val="TableContents"/>
              <w:bidi w:val="0"/>
              <w:spacing w:before="0" w:after="283"/>
              <w:jc w:val="left"/>
              <w:rPr/>
            </w:pPr>
            <w:r>
              <w:rPr/>
              <w:t> </w:t>
            </w:r>
          </w:p>
        </w:tc>
      </w:tr>
      <w:tr>
        <w:trPr/>
        <w:tc>
          <w:tcPr>
            <w:tcW w:w="1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2024:</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183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17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183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1713"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32"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r>
      <w:tr>
        <w:trPr/>
        <w:tc>
          <w:tcPr>
            <w:tcW w:w="17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183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1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7,020</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25"/>
        <w:gridCol w:w="60"/>
        <w:gridCol w:w="225"/>
        <w:gridCol w:w="1069"/>
        <w:gridCol w:w="60"/>
        <w:gridCol w:w="60"/>
        <w:gridCol w:w="368"/>
        <w:gridCol w:w="1737"/>
        <w:gridCol w:w="60"/>
        <w:gridCol w:w="60"/>
        <w:gridCol w:w="769"/>
        <w:gridCol w:w="1604"/>
        <w:gridCol w:w="60"/>
        <w:gridCol w:w="60"/>
        <w:gridCol w:w="474"/>
        <w:gridCol w:w="1850"/>
        <w:gridCol w:w="64"/>
      </w:tblGrid>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Unobservable Inputs (Level 3)</w:t>
            </w:r>
          </w:p>
        </w:tc>
        <w:tc>
          <w:tcPr>
            <w:tcW w:w="64"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2024</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3,100</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ind w:left="144" w:right="144" w:firstLine="555"/>
        <w:jc w:val="both"/>
        <w:rPr>
          <w:rFonts w:ascii="Times New Roman;Times;serif" w:hAnsi="Times New Roman;Times;serif"/>
          <w:sz w:val="20"/>
        </w:rPr>
      </w:pPr>
      <w:r>
        <w:rPr>
          <w:rFonts w:ascii="Times New Roman;Times;serif" w:hAnsi="Times New Roman;Times;serif"/>
          <w:sz w:val="20"/>
        </w:rPr>
        <w:t>The table below reflects the activity for the Company’s contingent consideration derivative liability measured at fair value on a recurring basis (in thousands):</w:t>
      </w:r>
    </w:p>
    <w:p>
      <w:pPr>
        <w:pStyle w:val="TextBody"/>
        <w:bidi w:val="0"/>
        <w:spacing w:before="0" w:after="0"/>
        <w:ind w:left="144" w:right="144" w:hanging="0"/>
        <w:jc w:val="left"/>
        <w:rPr/>
      </w:pPr>
      <w:r>
        <w:rPr/>
        <w:t> </w:t>
      </w:r>
    </w:p>
    <w:tbl>
      <w:tblPr>
        <w:tblW w:w="6509" w:type="dxa"/>
        <w:jc w:val="left"/>
        <w:tblInd w:w="0" w:type="dxa"/>
        <w:tblLayout w:type="fixed"/>
        <w:tblCellMar>
          <w:top w:w="0" w:type="dxa"/>
          <w:left w:w="0" w:type="dxa"/>
          <w:bottom w:w="0" w:type="dxa"/>
          <w:right w:w="0" w:type="dxa"/>
        </w:tblCellMar>
      </w:tblPr>
      <w:tblGrid>
        <w:gridCol w:w="3185"/>
        <w:gridCol w:w="60"/>
        <w:gridCol w:w="592"/>
        <w:gridCol w:w="2592"/>
        <w:gridCol w:w="8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Acquisition Contingent Consideration</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ind w:left="0" w:right="0" w:hanging="0"/>
              <w:jc w:val="left"/>
              <w:rPr/>
            </w:pPr>
            <w:r>
              <w:rPr/>
              <w:t> </w:t>
            </w:r>
          </w:p>
        </w:tc>
        <w:tc>
          <w:tcPr>
            <w:tcW w:w="2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4,922</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contingent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left"/>
              <w:rPr/>
            </w:pPr>
            <w:r>
              <w:rPr/>
              <w:t> </w:t>
            </w:r>
          </w:p>
        </w:tc>
        <w:tc>
          <w:tcPr>
            <w:tcW w:w="2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CCEEFF" w:val="clear"/>
            <w:vAlign w:val="center"/>
          </w:tcPr>
          <w:p>
            <w:pPr>
              <w:pStyle w:val="TableContents"/>
              <w:bidi w:val="0"/>
              <w:spacing w:before="0" w:after="0"/>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60" w:type="dxa"/>
            <w:tcBorders/>
            <w:shd w:fill="FFFFFF" w:val="clear"/>
            <w:vAlign w:val="center"/>
          </w:tcPr>
          <w:p>
            <w:pPr>
              <w:pStyle w:val="TableContents"/>
              <w:bidi w:val="0"/>
              <w:spacing w:before="0" w:after="0"/>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9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7,020</w:t>
            </w:r>
          </w:p>
        </w:tc>
        <w:tc>
          <w:tcPr>
            <w:tcW w:w="80" w:type="dxa"/>
            <w:tcBorders/>
            <w:shd w:fill="FFFFFF" w:val="clear"/>
            <w:vAlign w:val="center"/>
          </w:tcPr>
          <w:p>
            <w:pPr>
              <w:pStyle w:val="TableContents"/>
              <w:bidi w:val="0"/>
              <w:spacing w:before="0" w:after="0"/>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25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25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Accounts Receivable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Accounts receivable at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293" w:type="dxa"/>
        <w:jc w:val="left"/>
        <w:tblInd w:w="0" w:type="dxa"/>
        <w:tblLayout w:type="fixed"/>
        <w:tblCellMar>
          <w:top w:w="0" w:type="dxa"/>
          <w:left w:w="0" w:type="dxa"/>
          <w:bottom w:w="0" w:type="dxa"/>
          <w:right w:w="0" w:type="dxa"/>
        </w:tblCellMar>
      </w:tblPr>
      <w:tblGrid>
        <w:gridCol w:w="2525"/>
        <w:gridCol w:w="60"/>
        <w:gridCol w:w="208"/>
        <w:gridCol w:w="981"/>
        <w:gridCol w:w="60"/>
        <w:gridCol w:w="60"/>
        <w:gridCol w:w="234"/>
        <w:gridCol w:w="1105"/>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(billed)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20,175</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(unbilled)</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6,150</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Inventory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Inventory, net of reserves, at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consisted of the following (in thousands):</w:t>
      </w:r>
    </w:p>
    <w:p>
      <w:pPr>
        <w:pStyle w:val="TextBody"/>
        <w:bidi w:val="0"/>
        <w:spacing w:before="0" w:after="0"/>
        <w:ind w:left="0" w:right="0" w:firstLine="720"/>
        <w:jc w:val="both"/>
        <w:rPr/>
      </w:pPr>
      <w:r>
        <w:rPr/>
        <w:t> </w:t>
      </w:r>
    </w:p>
    <w:tbl>
      <w:tblPr>
        <w:tblW w:w="4648" w:type="dxa"/>
        <w:jc w:val="left"/>
        <w:tblInd w:w="0" w:type="dxa"/>
        <w:tblLayout w:type="fixed"/>
        <w:tblCellMar>
          <w:top w:w="0" w:type="dxa"/>
          <w:left w:w="0" w:type="dxa"/>
          <w:bottom w:w="0" w:type="dxa"/>
          <w:right w:w="0" w:type="dxa"/>
        </w:tblCellMar>
      </w:tblPr>
      <w:tblGrid>
        <w:gridCol w:w="1880"/>
        <w:gridCol w:w="60"/>
        <w:gridCol w:w="208"/>
        <w:gridCol w:w="981"/>
        <w:gridCol w:w="60"/>
        <w:gridCol w:w="60"/>
        <w:gridCol w:w="234"/>
        <w:gridCol w:w="1105"/>
        <w:gridCol w:w="60"/>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20,622</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Work-in-process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14,872</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3,840</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program costs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2,523</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41,857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inventory write-downs of $0.5 million and $0.4 million </w:t>
      </w:r>
      <w:r>
        <w:rPr>
          <w:rFonts w:ascii="Times New Roman;Times;serif" w:hAnsi="Times New Roman;Times;serif"/>
          <w:sz w:val="20"/>
        </w:rPr>
        <w:t>f</w:t>
      </w:r>
      <w:r>
        <w:rPr>
          <w:rFonts w:ascii="Times New Roman;Times;serif" w:hAnsi="Times New Roman;Times;serif"/>
          <w:sz w:val="20"/>
          <w:shd w:fill="FFFFFF" w:val="clear"/>
        </w:rPr>
        <w:t xml:space="preserve">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June 30, 2024</w:t>
      </w:r>
      <w:r>
        <w:rPr>
          <w:rFonts w:ascii="Times New Roman;Times;serif" w:hAnsi="Times New Roman;Times;serif"/>
          <w:sz w:val="20"/>
          <w:shd w:fill="FFFFFF" w:val="clear"/>
        </w:rPr>
        <w:t xml:space="preserve"> and </w:t>
      </w:r>
      <w:r>
        <w:rPr>
          <w:rStyle w:val="Emphasis"/>
          <w:rFonts w:ascii="Times New Roman;Times;serif" w:hAnsi="Times New Roman;Times;serif"/>
          <w:sz w:val="20"/>
        </w:rPr>
        <w:t>2023</w:t>
      </w:r>
      <w:r>
        <w:rPr>
          <w:rFonts w:ascii="Times New Roman;Times;serif" w:hAnsi="Times New Roman;Times;serif"/>
          <w:sz w:val="20"/>
          <w:shd w:fill="FFFFFF" w:val="clear"/>
        </w:rPr>
        <w:t>, respectively.</w:t>
      </w:r>
      <w:r>
        <w:rPr>
          <w:rFonts w:ascii="Times New Roman;Times;serif" w:hAnsi="Times New Roman;Times;serif"/>
          <w:sz w:val="20"/>
        </w:rPr>
        <w:t> These write-downs were based on the Company's evaluation of its inventory on hand for excess quantities and obsolescence.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Deferred program costs as of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rPr>
        <w:t> and </w:t>
      </w:r>
      <w:r>
        <w:rPr>
          <w:rStyle w:val="Emphasis"/>
          <w:rFonts w:ascii="Times New Roman;Times;serif" w:hAnsi="Times New Roman;Times;serif"/>
          <w:sz w:val="20"/>
        </w:rPr>
        <w:t xml:space="preserve"> March 31, 2024</w:t>
      </w:r>
      <w:r>
        <w:rPr>
          <w:rFonts w:ascii="Times New Roman;Times;serif" w:hAnsi="Times New Roman;Times;serif"/>
          <w:sz w:val="20"/>
        </w:rPr>
        <w:t> primarily represent costs incurred on programs where the Company needs to complete performance obligations before the related revenue and costs will be recognized.</w:t>
      </w:r>
    </w:p>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9.</w:t>
      </w:r>
      <w:r>
        <w:rPr>
          <w:rFonts w:ascii="Times New Roman;Times;serif" w:hAnsi="Times New Roman;Times;serif"/>
          <w:b/>
          <w:sz w:val="20"/>
        </w:rPr>
        <w:t xml:space="preserve"> Prepaid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conducted an analysis as to whether it was entitled to employee retention credits (“ERC”) under the CARES Act as amended by the Taxpayer Certainty and Disaster Tax Relief Act of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the American Rescue Plan Act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Based on the analysis, the Company determined that it was entitled to an ERC of approximately $3.3 million related to payroll taxes paid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quarters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2020.</w:t>
      </w:r>
      <w:r>
        <w:rPr>
          <w:rFonts w:ascii="Times New Roman" w:hAnsi="Times New Roman"/>
          <w:caps w:val="false"/>
          <w:smallCaps w:val="false"/>
          <w:sz w:val="20"/>
        </w:rPr>
        <w:t>  The Company determined it met all the criteria required under the gross receipts test of the applicable Internal Revenue Service regulations related to ERCs.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accounting for payroll tax credits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scope of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the Company has chosen to account for the ERCs by analogizing to the International Accounting Standards Board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Accounting for Government Grants and Disclosure of Government Assistance</w:t>
      </w:r>
      <w:r>
        <w:rPr>
          <w:rFonts w:ascii="Times New Roman" w:hAnsi="Times New Roman"/>
          <w:caps w:val="false"/>
          <w:smallCaps w:val="false"/>
          <w:sz w:val="20"/>
        </w:rPr>
        <w:t xml:space="preserve">.  In accordance with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an entity recognizes government grants only when there is reasonable assurance that the entity will comply with the conditions attached to them and the grants will be received.  The Company evaluated its eligibility for the ERC and determined that it met all the criteria to claim a refundable tax credit against the employer portion of Social Security taxes for up to 70% of the qualified wages the Company paid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periods ended </w:t>
      </w:r>
      <w:r>
        <w:rPr>
          <w:rStyle w:val="Emphasis"/>
          <w:rFonts w:ascii="Times New Roman" w:hAnsi="Times New Roman"/>
          <w:caps w:val="false"/>
          <w:smallCaps w:val="false"/>
          <w:sz w:val="20"/>
        </w:rPr>
        <w:t>March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2021 </w:t>
      </w:r>
      <w:r>
        <w:rPr>
          <w:rFonts w:ascii="Times New Roman" w:hAnsi="Times New Roman"/>
          <w:caps w:val="false"/>
          <w:smallCaps w:val="false"/>
          <w:sz w:val="20"/>
        </w:rPr>
        <w:t xml:space="preserve">and for up to 50% of the qualified wages the Company paid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 ended </w:t>
      </w:r>
      <w:r>
        <w:rPr>
          <w:rStyle w:val="Emphasis"/>
          <w:rFonts w:ascii="Times New Roman" w:hAnsi="Times New Roman"/>
          <w:caps w:val="false"/>
          <w:smallCaps w:val="false"/>
          <w:sz w:val="20"/>
        </w:rPr>
        <w:t>March 31, 2020.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recorded a $3.3 million receivable in prepaid expenses and other current assets and a benefit of $1.8 million to cost of revenues, $0.8 million to selling, general, and administrative and $0.7 million to research and development in the fiscal year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for the ERC that was expected to be received based on the amended filings. During the year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the Company received $3.0 million for the initial claims that were processed.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2024</w:t>
      </w:r>
      <w:r>
        <w:rPr>
          <w:rFonts w:ascii="Times New Roman" w:hAnsi="Times New Roman"/>
          <w:caps w:val="false"/>
          <w:smallCaps w:val="false"/>
          <w:sz w:val="20"/>
        </w:rPr>
        <w:t xml:space="preserve">, the Company did not receive any cash for the remaining $0.3 million balance of initial claims that were processed. The remaining balance is expected to be received during the remainder of fiscal </w:t>
      </w:r>
      <w:r>
        <w:rPr>
          <w:rStyle w:val="Emphasis"/>
          <w:rFonts w:ascii="Times New Roman" w:hAnsi="Times New Roman"/>
          <w:caps w:val="false"/>
          <w:smallCaps w:val="false"/>
          <w:sz w:val="20"/>
        </w:rPr>
        <w:t>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10.</w:t>
      </w:r>
      <w:r>
        <w:rPr>
          <w:rFonts w:ascii="Times New Roman;Times;serif" w:hAnsi="Times New Roman;Times;serif"/>
          <w:b/>
          <w:sz w:val="20"/>
        </w:rPr>
        <w:t xml:space="preserve"> Property, Plant and Equipment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cost and accumulated depreciation of property, plant and equipment at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are as follows (in thousands):</w:t>
      </w:r>
    </w:p>
    <w:p>
      <w:pPr>
        <w:pStyle w:val="TextBody"/>
        <w:bidi w:val="0"/>
        <w:spacing w:before="0" w:after="0"/>
        <w:ind w:left="0" w:right="0" w:hanging="0"/>
        <w:jc w:val="left"/>
        <w:rPr/>
      </w:pPr>
      <w:r>
        <w:rPr/>
        <w:t> </w:t>
      </w:r>
    </w:p>
    <w:tbl>
      <w:tblPr>
        <w:tblW w:w="5888" w:type="dxa"/>
        <w:jc w:val="left"/>
        <w:tblInd w:w="0" w:type="dxa"/>
        <w:tblLayout w:type="fixed"/>
        <w:tblCellMar>
          <w:top w:w="0" w:type="dxa"/>
          <w:left w:w="0" w:type="dxa"/>
          <w:bottom w:w="0" w:type="dxa"/>
          <w:right w:w="0" w:type="dxa"/>
        </w:tblCellMar>
      </w:tblPr>
      <w:tblGrid>
        <w:gridCol w:w="3080"/>
        <w:gridCol w:w="60"/>
        <w:gridCol w:w="191"/>
        <w:gridCol w:w="998"/>
        <w:gridCol w:w="80"/>
        <w:gridCol w:w="60"/>
        <w:gridCol w:w="216"/>
        <w:gridCol w:w="1123"/>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 – equipment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5,416</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 and software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44,095</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1,526</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6,990</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gross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59,233</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Depreciation expense was $0.6 million for each of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Accounts Payable and Accrued Expenses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Accounts payable and accrued expenses at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908" w:type="dxa"/>
        <w:jc w:val="left"/>
        <w:tblInd w:w="0" w:type="dxa"/>
        <w:tblLayout w:type="fixed"/>
        <w:tblCellMar>
          <w:top w:w="0" w:type="dxa"/>
          <w:left w:w="0" w:type="dxa"/>
          <w:bottom w:w="0" w:type="dxa"/>
          <w:right w:w="0" w:type="dxa"/>
        </w:tblCellMar>
      </w:tblPr>
      <w:tblGrid>
        <w:gridCol w:w="3140"/>
        <w:gridCol w:w="60"/>
        <w:gridCol w:w="208"/>
        <w:gridCol w:w="981"/>
        <w:gridCol w:w="60"/>
        <w:gridCol w:w="60"/>
        <w:gridCol w:w="234"/>
        <w:gridCol w:w="1105"/>
        <w:gridCol w:w="6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20"/>
              </w:rPr>
            </w:pPr>
            <w:r>
              <w:rPr>
                <w:sz w:val="20"/>
              </w:rPr>
              <w:t>$</w:t>
            </w:r>
          </w:p>
        </w:tc>
        <w:tc>
          <w:tcPr>
            <w:tcW w:w="981" w:type="dxa"/>
            <w:tcBorders/>
            <w:shd w:fill="CCEEFF" w:val="clear"/>
            <w:vAlign w:val="center"/>
          </w:tcPr>
          <w:p>
            <w:pPr>
              <w:pStyle w:val="TableContents"/>
              <w:bidi w:val="0"/>
              <w:spacing w:before="0" w:after="283"/>
              <w:jc w:val="right"/>
              <w:rPr>
                <w:sz w:val="20"/>
              </w:rPr>
            </w:pPr>
            <w:r>
              <w:rPr>
                <w:sz w:val="20"/>
              </w:rPr>
              <w:t>3,754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sz w:val="20"/>
              </w:rPr>
            </w:pPr>
            <w:r>
              <w:rPr>
                <w:sz w:val="20"/>
              </w:rPr>
              <w:t>$</w:t>
            </w:r>
          </w:p>
        </w:tc>
        <w:tc>
          <w:tcPr>
            <w:tcW w:w="1105" w:type="dxa"/>
            <w:tcBorders/>
            <w:shd w:fill="CCEEFF" w:val="clear"/>
            <w:vAlign w:val="center"/>
          </w:tcPr>
          <w:p>
            <w:pPr>
              <w:pStyle w:val="TableContents"/>
              <w:bidi w:val="0"/>
              <w:spacing w:before="0" w:after="283"/>
              <w:jc w:val="right"/>
              <w:rPr>
                <w:sz w:val="20"/>
              </w:rPr>
            </w:pPr>
            <w:r>
              <w:rPr>
                <w:sz w:val="20"/>
              </w:rPr>
              <w:t>4,476</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inventories in-transit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2,672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539</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 miscellaneous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2,548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2,366</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contract loss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97</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deposits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4,242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2,270</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5,059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10,326</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346</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2,542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2,363</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commissions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1,225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1,452</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22,309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24,235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5"/>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Product warranty activity was as follows (in thousands):</w:t>
      </w:r>
    </w:p>
    <w:p>
      <w:pPr>
        <w:pStyle w:val="TextBody"/>
        <w:bidi w:val="0"/>
        <w:spacing w:before="0" w:after="0"/>
        <w:ind w:left="0" w:right="0" w:firstLine="720"/>
        <w:jc w:val="both"/>
        <w:rPr/>
      </w:pPr>
      <w:r>
        <w:rPr/>
        <w:t> </w:t>
      </w:r>
    </w:p>
    <w:tbl>
      <w:tblPr>
        <w:tblW w:w="6117" w:type="dxa"/>
        <w:jc w:val="left"/>
        <w:tblInd w:w="0" w:type="dxa"/>
        <w:tblLayout w:type="fixed"/>
        <w:tblCellMar>
          <w:top w:w="0" w:type="dxa"/>
          <w:left w:w="0" w:type="dxa"/>
          <w:bottom w:w="0" w:type="dxa"/>
          <w:right w:w="0" w:type="dxa"/>
        </w:tblCellMar>
      </w:tblPr>
      <w:tblGrid>
        <w:gridCol w:w="3470"/>
        <w:gridCol w:w="60"/>
        <w:gridCol w:w="230"/>
        <w:gridCol w:w="895"/>
        <w:gridCol w:w="147"/>
        <w:gridCol w:w="110"/>
        <w:gridCol w:w="230"/>
        <w:gridCol w:w="895"/>
        <w:gridCol w:w="8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 for warranties during the period</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 during the period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2,542</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Income Taxes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income tax expense of $0.2 million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June 30, 2024</w:t>
      </w:r>
      <w:r>
        <w:rPr>
          <w:rFonts w:ascii="Times New Roman;Times;serif" w:hAnsi="Times New Roman;Times;serif"/>
          <w:sz w:val="20"/>
          <w:shd w:fill="FFFFFF" w:val="clear"/>
        </w:rPr>
        <w:t> </w:t>
      </w:r>
      <w:r>
        <w:rPr>
          <w:rFonts w:ascii="Times New Roman;Times;serif" w:hAnsi="Times New Roman;Times;serif"/>
          <w:sz w:val="20"/>
        </w:rPr>
        <w:t>and $0.1 million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Accounting for income taxes requires a </w:t>
      </w:r>
      <w:r>
        <w:rPr>
          <w:rStyle w:val="Emphasis"/>
          <w:rFonts w:ascii="Times New Roman;Times;serif" w:hAnsi="Times New Roman;Times;serif"/>
          <w:sz w:val="20"/>
        </w:rPr>
        <w:t>two</w:t>
      </w:r>
      <w:r>
        <w:rPr>
          <w:rFonts w:ascii="Times New Roman;Times;serif" w:hAnsi="Times New Roman;Times;serif"/>
          <w:sz w:val="20"/>
        </w:rPr>
        <w:t xml:space="preserve">-step approach to recognizing and measuring uncertain tax positions. The </w:t>
      </w:r>
      <w:r>
        <w:rPr>
          <w:rStyle w:val="Emphasis"/>
          <w:rFonts w:ascii="Times New Roman;Times;serif" w:hAnsi="Times New Roman;Times;serif"/>
          <w:sz w:val="20"/>
        </w:rPr>
        <w:t>first</w:t>
      </w:r>
      <w:r>
        <w:rPr>
          <w:rFonts w:ascii="Times New Roman;Times;serif" w:hAnsi="Times New Roman;Times;serif"/>
          <w:sz w:val="20"/>
        </w:rPr>
        <w:t xml:space="preserve"> step is to evaluate the tax position for recognition by determining if, based on the technical merits, it is more likely than </w:t>
      </w:r>
      <w:r>
        <w:rPr>
          <w:rStyle w:val="Emphasis"/>
          <w:rFonts w:ascii="Times New Roman;Times;serif" w:hAnsi="Times New Roman;Times;serif"/>
          <w:sz w:val="20"/>
        </w:rPr>
        <w:t>not</w:t>
      </w:r>
      <w:r>
        <w:rPr>
          <w:rFonts w:ascii="Times New Roman;Times;serif" w:hAnsi="Times New Roman;Times;serif"/>
          <w:sz w:val="20"/>
        </w:rPr>
        <w:t xml:space="preserve"> the position will be sustained upon audit, including resolution of related appeals or litigation processes, if any. The </w:t>
      </w:r>
      <w:r>
        <w:rPr>
          <w:rStyle w:val="Emphasis"/>
          <w:rFonts w:ascii="Times New Roman;Times;serif" w:hAnsi="Times New Roman;Times;serif"/>
          <w:sz w:val="20"/>
        </w:rPr>
        <w:t>second</w:t>
      </w:r>
      <w:r>
        <w:rPr>
          <w:rFonts w:ascii="Times New Roman;Times;serif" w:hAnsi="Times New Roman;Times;serif"/>
          <w:sz w:val="20"/>
        </w:rPr>
        <w:t xml:space="preserve"> step is to measure the tax benefit as the largest amount that is more than </w:t>
      </w:r>
      <w:r>
        <w:rPr>
          <w:rStyle w:val="Emphasis"/>
          <w:rFonts w:ascii="Times New Roman;Times;serif" w:hAnsi="Times New Roman;Times;serif"/>
          <w:sz w:val="20"/>
        </w:rPr>
        <w:t>50%</w:t>
      </w:r>
      <w:r>
        <w:rPr>
          <w:rFonts w:ascii="Times New Roman;Times;serif" w:hAnsi="Times New Roman;Times;serif"/>
          <w:sz w:val="20"/>
        </w:rPr>
        <w:t xml:space="preserve"> likely to be realized upon ultimate settlement. The Company re-evaluates these uncertain tax positions on a quarterly basis. The evaluation is based on factors including, but </w:t>
      </w:r>
      <w:r>
        <w:rPr>
          <w:rStyle w:val="Emphasis"/>
          <w:rFonts w:ascii="Times New Roman;Times;serif" w:hAnsi="Times New Roman;Times;serif"/>
          <w:sz w:val="20"/>
        </w:rPr>
        <w:t>not</w:t>
      </w:r>
      <w:r>
        <w:rPr>
          <w:rFonts w:ascii="Times New Roman;Times;serif" w:hAnsi="Times New Roman;Times;serif"/>
          <w:sz w:val="20"/>
        </w:rPr>
        <w:t xml:space="preserve">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rPr>
        <w:t xml:space="preserve"> and did not have any gross unrecognized tax benefits as of </w:t>
      </w:r>
      <w:r>
        <w:rPr>
          <w:rStyle w:val="Emphasis"/>
          <w:rFonts w:ascii="Times New Roman;Times;serif" w:hAnsi="Times New Roman;Times;serif"/>
          <w:sz w:val="20"/>
          <w:shd w:fill="FFFFFF" w:val="clear"/>
        </w:rPr>
        <w:t>June 30, 2024</w:t>
      </w:r>
      <w:r>
        <w:rPr>
          <w:rFonts w:ascii="Times New Roman;Times;serif" w:hAnsi="Times New Roman;Times;serif"/>
          <w:sz w:val="20"/>
        </w:rPr>
        <w:t>.</w:t>
      </w:r>
    </w:p>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Contingent Consideration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October 1, 2020 (</w:t>
      </w:r>
      <w:r>
        <w:rPr>
          <w:rFonts w:ascii="Times New Roman;Times;serif" w:hAnsi="Times New Roman;Times;serif"/>
          <w:sz w:val="20"/>
        </w:rPr>
        <w:t>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unit. The purchase price was $26.0 million in cash and 873,657 restricted shares of common stock of the Company. As part of the transaction, the selling stockholders </w:t>
      </w:r>
      <w:r>
        <w:rPr>
          <w:rStyle w:val="Emphasis"/>
          <w:rFonts w:ascii="Times New Roman;Times;serif" w:hAnsi="Times New Roman;Times;serif"/>
          <w:sz w:val="20"/>
        </w:rPr>
        <w:t xml:space="preserve"> may </w:t>
      </w:r>
      <w:r>
        <w:rPr>
          <w:rFonts w:ascii="Times New Roman;Times;serif" w:hAnsi="Times New Roman;Times;serif"/>
          <w:sz w:val="20"/>
        </w:rPr>
        <w:t>receive up to an additional 1,000,000 shares of common stock of the Company upon the achievement of certain specified revenue objectives during varying periods of up to </w:t>
      </w:r>
      <w:r>
        <w:rPr>
          <w:rStyle w:val="Emphasis"/>
          <w:rFonts w:ascii="Times New Roman;Times;serif" w:hAnsi="Times New Roman;Times;serif"/>
          <w:sz w:val="20"/>
        </w:rPr>
        <w:t>four</w:t>
      </w:r>
      <w:r>
        <w:rPr>
          <w:rFonts w:ascii="Times New Roman;Times;serif" w:hAnsi="Times New Roman;Times;serif"/>
          <w:sz w:val="20"/>
        </w:rPr>
        <w:t xml:space="preserve"> years following closing of the NEPSI Acquisition. During the year ended </w:t>
      </w:r>
      <w:r>
        <w:rPr>
          <w:rStyle w:val="Emphasis"/>
          <w:rFonts w:ascii="Times New Roman;Times;serif" w:hAnsi="Times New Roman;Times;serif"/>
          <w:sz w:val="20"/>
        </w:rPr>
        <w:t xml:space="preserve">March 31, 2024, </w:t>
      </w:r>
      <w:r>
        <w:rPr>
          <w:rFonts w:ascii="Times New Roman;Times;serif" w:hAnsi="Times New Roman;Times;serif"/>
          <w:sz w:val="20"/>
        </w:rPr>
        <w:t xml:space="preserve">the Company issued 399,999 shares of common stock and cash in lieu of a fractional share of common stock, related to the achievement of specified revenue objectives in connection with the NEPSI Acquisition. One specified revenue objective, which would have earned the selling stockholders 300,000 shares of the Company’s common stock, was </w:t>
      </w:r>
      <w:r>
        <w:rPr>
          <w:rStyle w:val="Emphasis"/>
          <w:rFonts w:ascii="Times New Roman;Times;serif" w:hAnsi="Times New Roman;Times;serif"/>
          <w:sz w:val="20"/>
        </w:rPr>
        <w:t>not</w:t>
      </w:r>
      <w:r>
        <w:rPr>
          <w:rFonts w:ascii="Times New Roman;Times;serif" w:hAnsi="Times New Roman;Times;serif"/>
          <w:sz w:val="20"/>
        </w:rPr>
        <w:t xml:space="preserve"> achieved, leaving 300,000 shares of common stock remaining for potential issuance upon the achievement of the last specified revenue objective by </w:t>
      </w:r>
      <w:r>
        <w:rPr>
          <w:rStyle w:val="Emphasis"/>
          <w:rFonts w:ascii="Times New Roman;Times;serif" w:hAnsi="Times New Roman;Times;serif"/>
          <w:sz w:val="20"/>
        </w:rPr>
        <w:t>September 30, 2024.</w:t>
      </w:r>
    </w:p>
    <w:p>
      <w:pPr>
        <w:pStyle w:val="TextBody"/>
        <w:bidi w:val="0"/>
        <w:spacing w:before="0" w:after="0"/>
        <w:ind w:left="144" w:right="144"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evaluated the NEPSI Acquisition earnout payment set forth in the NEPSI Stock Purchase Agreement, which is expected to require settlement in the Company's common stock, and determined the contingent consideration qualified for liability classification and derivative treatment under ASC </w:t>
      </w:r>
      <w:r>
        <w:rPr>
          <w:rStyle w:val="Emphasis"/>
          <w:rFonts w:ascii="Times New Roman;Times;serif" w:hAnsi="Times New Roman;Times;serif"/>
          <w:sz w:val="20"/>
        </w:rPr>
        <w:t>815,</w:t>
      </w:r>
      <w:r>
        <w:rPr>
          <w:rFonts w:ascii="Times New Roman;Times;serif" w:hAnsi="Times New Roman;Times;serif"/>
          <w:sz w:val="20"/>
        </w:rPr>
        <w:t xml:space="preserve"> </w:t>
      </w:r>
      <w:r>
        <w:rPr>
          <w:rFonts w:ascii="Times New Roman;Times;serif" w:hAnsi="Times New Roman;Times;serif"/>
          <w:i/>
          <w:sz w:val="20"/>
        </w:rPr>
        <w:t>Derivatives and Hedging</w:t>
      </w:r>
      <w:r>
        <w:rPr>
          <w:rFonts w:ascii="Times New Roman;Times;serif" w:hAnsi="Times New Roman;Times;serif"/>
          <w:sz w:val="20"/>
        </w:rPr>
        <w:t>. As a result, for each period, the fair value of the contingent consideration will be remeasured and the resulting gain or loss will be recognized in operating expenses until the share amount is fixed.</w:t>
      </w:r>
    </w:p>
    <w:p>
      <w:pPr>
        <w:pStyle w:val="TextBody"/>
        <w:bidi w:val="0"/>
        <w:spacing w:before="0" w:after="0"/>
        <w:ind w:left="144" w:right="144" w:firstLine="540"/>
        <w:jc w:val="both"/>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the key assumptions used in a Monte Carlo simulation to calculate the fair value of the contingent consideration related to the NEPSI Acquisition:</w:t>
      </w:r>
    </w:p>
    <w:p>
      <w:pPr>
        <w:pStyle w:val="TextBody"/>
        <w:bidi w:val="0"/>
        <w:spacing w:before="0" w:after="0"/>
        <w:ind w:left="0" w:right="0" w:firstLine="720"/>
        <w:jc w:val="both"/>
        <w:rPr/>
      </w:pPr>
      <w:r>
        <w:rPr/>
        <w:t> </w:t>
      </w:r>
    </w:p>
    <w:tbl>
      <w:tblPr>
        <w:tblW w:w="7880" w:type="dxa"/>
        <w:jc w:val="left"/>
        <w:tblInd w:w="0" w:type="dxa"/>
        <w:tblLayout w:type="fixed"/>
        <w:tblCellMar>
          <w:top w:w="0" w:type="dxa"/>
          <w:left w:w="0" w:type="dxa"/>
          <w:bottom w:w="0" w:type="dxa"/>
          <w:right w:w="0" w:type="dxa"/>
        </w:tblCellMar>
      </w:tblPr>
      <w:tblGrid>
        <w:gridCol w:w="1850"/>
        <w:gridCol w:w="60"/>
        <w:gridCol w:w="178"/>
        <w:gridCol w:w="696"/>
        <w:gridCol w:w="185"/>
        <w:gridCol w:w="60"/>
        <w:gridCol w:w="234"/>
        <w:gridCol w:w="910"/>
        <w:gridCol w:w="185"/>
        <w:gridCol w:w="60"/>
        <w:gridCol w:w="294"/>
        <w:gridCol w:w="895"/>
        <w:gridCol w:w="185"/>
        <w:gridCol w:w="60"/>
        <w:gridCol w:w="179"/>
        <w:gridCol w:w="545"/>
        <w:gridCol w:w="185"/>
        <w:gridCol w:w="60"/>
        <w:gridCol w:w="216"/>
        <w:gridCol w:w="658"/>
        <w:gridCol w:w="185"/>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2024</w:t>
            </w:r>
          </w:p>
        </w:tc>
        <w:tc>
          <w:tcPr>
            <w:tcW w:w="60" w:type="dxa"/>
            <w:tcBorders/>
            <w:shd w:fill="CCEE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risk premium</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volatility</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2023</w:t>
            </w:r>
          </w:p>
        </w:tc>
        <w:tc>
          <w:tcPr>
            <w:tcW w:w="60" w:type="dxa"/>
            <w:tcBorders/>
            <w:shd w:fill="CCEE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risk premium</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volatility</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 w:right="144" w:firstLine="540"/>
        <w:jc w:val="both"/>
        <w:rPr/>
      </w:pPr>
      <w:r>
        <w:rPr/>
        <w:t> </w:t>
      </w:r>
    </w:p>
    <w:p>
      <w:pPr>
        <w:pStyle w:val="TextBody"/>
        <w:bidi w:val="0"/>
        <w:spacing w:before="0" w:after="0"/>
        <w:ind w:left="160" w:right="0" w:firstLine="540"/>
        <w:jc w:val="both"/>
        <w:rPr/>
      </w:pPr>
      <w:r>
        <w:rPr>
          <w:caps w:val="false"/>
          <w:smallCaps w:val="false"/>
        </w:rPr>
        <w:t> </w:t>
      </w:r>
      <w:r>
        <w:rPr>
          <w:rFonts w:ascii="Times New Roman" w:hAnsi="Times New Roman"/>
          <w:caps w:val="false"/>
          <w:smallCaps w:val="false"/>
          <w:sz w:val="20"/>
        </w:rPr>
        <w:t>The Company recorded losses of $3.9 million and $1.3 million resulting from the increases in the fair value of the contingent consideration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2024</w:t>
      </w:r>
      <w:r>
        <w:rPr>
          <w:rFonts w:ascii="Times New Roman" w:hAnsi="Times New Roman"/>
          <w:caps w:val="false"/>
          <w:smallCaps w:val="false"/>
          <w:sz w:val="20"/>
        </w:rPr>
        <w:t> 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14.</w:t>
      </w:r>
      <w:r>
        <w:rPr>
          <w:rFonts w:ascii="Times New Roman;Times;serif" w:hAnsi="Times New Roman;Times;serif"/>
          <w:b/>
          <w:sz w:val="20"/>
        </w:rPr>
        <w:t xml:space="preserve"> Debt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xml:space="preserve">  </w:t>
      </w:r>
      <w:r>
        <w:rPr>
          <w:rFonts w:ascii="Times New Roman;Times;serif" w:hAnsi="Times New Roman;Times;serif"/>
          <w:sz w:val="20"/>
        </w:rPr>
        <w:t xml:space="preserve">As part of the acquisition of Neeltran, the Company identified four equipment financing agreements that Neeltran had entered into prior to the acquisition of Neeltran on </w:t>
      </w:r>
      <w:r>
        <w:rPr>
          <w:rStyle w:val="Emphasis"/>
          <w:rFonts w:ascii="Times New Roman;Times;serif" w:hAnsi="Times New Roman;Times;serif"/>
          <w:sz w:val="20"/>
        </w:rPr>
        <w:t>May 6, 2021. </w:t>
      </w:r>
      <w:r>
        <w:rPr>
          <w:rFonts w:ascii="Times New Roman;Times;serif" w:hAnsi="Times New Roman;Times;serif"/>
          <w:sz w:val="20"/>
        </w:rPr>
        <w:t>The current debt balanc</w:t>
      </w:r>
      <w:r>
        <w:rPr>
          <w:rFonts w:ascii="Times New Roman;Times;serif" w:hAnsi="Times New Roman;Times;serif"/>
          <w:sz w:val="20"/>
          <w:shd w:fill="FFFFFF" w:val="clear"/>
        </w:rPr>
        <w:t>e was less than $0.1 million as of both </w:t>
      </w:r>
      <w:r>
        <w:rPr>
          <w:rStyle w:val="Emphasis"/>
          <w:rFonts w:ascii="Times New Roman;Times;serif" w:hAnsi="Times New Roman;Times;serif"/>
          <w:sz w:val="20"/>
        </w:rPr>
        <w:t xml:space="preserve"> June 30, 2024</w:t>
      </w:r>
      <w:r>
        <w:rPr>
          <w:rFonts w:ascii="Times New Roman;Times;serif" w:hAnsi="Times New Roman;Times;serif"/>
          <w:sz w:val="20"/>
        </w:rPr>
        <w:t> and </w:t>
      </w:r>
      <w:r>
        <w:rPr>
          <w:rStyle w:val="Emphasis"/>
          <w:rFonts w:ascii="Times New Roman;Times;serif" w:hAnsi="Times New Roman;Times;serif"/>
          <w:sz w:val="20"/>
        </w:rPr>
        <w:t xml:space="preserve"> March 31, 2024</w:t>
      </w:r>
      <w:r>
        <w:rPr>
          <w:rFonts w:ascii="Times New Roman;Times;serif" w:hAnsi="Times New Roman;Times;serif"/>
          <w:sz w:val="20"/>
        </w:rPr>
        <w:t>.</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15.</w:t>
      </w:r>
      <w:r>
        <w:rPr>
          <w:rFonts w:ascii="Times New Roman;Times;serif" w:hAnsi="Times New Roman;Times;serif"/>
          <w:b/>
          <w:sz w:val="20"/>
        </w:rPr>
        <w:t xml:space="preserve"> Leases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Style w:val="Emphasis"/>
          <w:rFonts w:ascii="Times New Roman;Times;serif" w:hAnsi="Times New Roman;Times;serif"/>
          <w:sz w:val="20"/>
        </w:rPr>
        <w:t>one</w:t>
      </w:r>
      <w:r>
        <w:rPr>
          <w:rFonts w:ascii="Times New Roman;Times;serif" w:hAnsi="Times New Roman;Times;serif"/>
          <w:sz w:val="20"/>
        </w:rPr>
        <w:t xml:space="preserv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also enters into leases for vehicles, IT equipment and service agreements, and other leases related to its manufacturing operations that are also included in the right-of-use assets and lease liability accounts if they are for a term of longer than </w:t>
      </w:r>
      <w:r>
        <w:rPr>
          <w:rStyle w:val="Emphasis"/>
          <w:rFonts w:ascii="Times New Roman;Times;serif" w:hAnsi="Times New Roman;Times;serif"/>
          <w:sz w:val="20"/>
        </w:rPr>
        <w:t>twelve</w:t>
      </w:r>
      <w:r>
        <w:rPr>
          <w:rFonts w:ascii="Times New Roman;Times;serif" w:hAnsi="Times New Roman;Times;serif"/>
          <w:sz w:val="20"/>
        </w:rPr>
        <w:t xml:space="preserve"> months. However, many of these leases are either short-term in nature or immaterial. The Company has made the policy election to exclude short-term leases from the condensed consolidated balance sheet. </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b/>
          <w:i/>
          <w:sz w:val="20"/>
        </w:rPr>
        <w:t>Finance</w:t>
      </w:r>
      <w:r>
        <w:rPr>
          <w:rFonts w:cs="Times New Roman;Times;serif"/>
          <w:bCs/>
          <w:iCs/>
          <w:szCs w:val="20"/>
        </w:rPr>
        <w:t xml:space="preserve">﻿ </w:t>
      </w:r>
      <w:r>
        <w:rPr>
          <w:rFonts w:ascii="Times New Roman;Times;serif" w:hAnsi="Times New Roman;Times;serif"/>
          <w:b/>
          <w:i/>
          <w:sz w:val="20"/>
        </w:rPr>
        <w:t>Leases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2024</w:t>
      </w:r>
      <w:r>
        <w:rPr>
          <w:rFonts w:ascii="Times New Roman;Times;serif" w:hAnsi="Times New Roman;Times;serif"/>
          <w:sz w:val="20"/>
          <w:shd w:fill="FFFFFF" w:val="clear"/>
        </w:rPr>
        <w:t xml:space="preserve">, the right-of-use asset related to the finance lease is fully amortized, and is included in the property and equipment, net on the Company's </w:t>
      </w:r>
      <w:r>
        <w:rPr>
          <w:rFonts w:ascii="Times New Roman;Times;serif" w:hAnsi="Times New Roman;Times;serif"/>
          <w:sz w:val="20"/>
        </w:rPr>
        <w:t xml:space="preserve">condensed </w:t>
      </w:r>
      <w:r>
        <w:rPr>
          <w:rFonts w:ascii="Times New Roman;Times;serif" w:hAnsi="Times New Roman;Times;serif"/>
          <w:sz w:val="20"/>
          <w:shd w:fill="FFFFFF" w:val="clear"/>
        </w:rPr>
        <w:t>consolidated balance sheet.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w:t>
      </w:r>
      <w:r>
        <w:rPr>
          <w:rStyle w:val="Emphasis"/>
          <w:rFonts w:ascii="Times New Roman;Times;serif" w:hAnsi="Times New Roman;Times;serif"/>
          <w:sz w:val="20"/>
        </w:rPr>
        <w:t>1</w:t>
      </w:r>
      <w:r>
        <w:rPr>
          <w:rFonts w:ascii="Times New Roman;Times;serif" w:hAnsi="Times New Roman;Times;serif"/>
          <w:sz w:val="20"/>
        </w:rPr>
        <w:t xml:space="preserve">) accreted to reflect interest using the incremental borrowing rate if the rate implicit in the lease is </w:t>
      </w:r>
      <w:r>
        <w:rPr>
          <w:rStyle w:val="Emphasis"/>
          <w:rFonts w:ascii="Times New Roman;Times;serif" w:hAnsi="Times New Roman;Times;serif"/>
          <w:sz w:val="20"/>
        </w:rPr>
        <w:t>not</w:t>
      </w:r>
      <w:r>
        <w:rPr>
          <w:rFonts w:ascii="Times New Roman;Times;serif" w:hAnsi="Times New Roman;Times;serif"/>
          <w:sz w:val="20"/>
        </w:rPr>
        <w:t xml:space="preserve"> readily determinable, and (</w:t>
      </w:r>
      <w:r>
        <w:rPr>
          <w:rStyle w:val="Emphasis"/>
          <w:rFonts w:ascii="Times New Roman;Times;serif" w:hAnsi="Times New Roman;Times;serif"/>
          <w:sz w:val="20"/>
        </w:rPr>
        <w:t>2</w:t>
      </w:r>
      <w:r>
        <w:rPr>
          <w:rFonts w:ascii="Times New Roman;Times;serif" w:hAnsi="Times New Roman;Times;serif"/>
          <w:sz w:val="20"/>
        </w:rPr>
        <w:t>) reduced to reflect lease payments made during the period. Amortization expense for finance lease right-of-use assets and interest accretion on finance lease liabilities are recorded to depreciation expense and interest expense, respectively in the Company's condensed consolidated statement of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Supplemental balance sheet information related to leases at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rPr>
        <w:t>,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6263" w:type="dxa"/>
        <w:jc w:val="left"/>
        <w:tblInd w:w="0" w:type="dxa"/>
        <w:tblLayout w:type="fixed"/>
        <w:tblCellMar>
          <w:top w:w="0" w:type="dxa"/>
          <w:left w:w="0" w:type="dxa"/>
          <w:bottom w:w="0" w:type="dxa"/>
          <w:right w:w="0" w:type="dxa"/>
        </w:tblCellMar>
      </w:tblPr>
      <w:tblGrid>
        <w:gridCol w:w="3230"/>
        <w:gridCol w:w="60"/>
        <w:gridCol w:w="243"/>
        <w:gridCol w:w="946"/>
        <w:gridCol w:w="185"/>
        <w:gridCol w:w="60"/>
        <w:gridCol w:w="277"/>
        <w:gridCol w:w="1077"/>
        <w:gridCol w:w="18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2024</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 – Operating</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4,096</w:t>
            </w:r>
          </w:p>
        </w:tc>
        <w:tc>
          <w:tcPr>
            <w:tcW w:w="1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2,557</w:t>
            </w:r>
          </w:p>
        </w:tc>
        <w:tc>
          <w:tcPr>
            <w:tcW w:w="185" w:type="dxa"/>
            <w:tcBorders/>
            <w:shd w:fill="FFFFFF" w:val="clear"/>
            <w:vAlign w:val="center"/>
          </w:tcPr>
          <w:p>
            <w:pPr>
              <w:pStyle w:val="TableContents"/>
              <w:bidi w:val="0"/>
              <w:spacing w:before="0" w:after="283"/>
              <w:jc w:val="left"/>
              <w:rPr/>
            </w:pPr>
            <w:r>
              <w:rPr>
                <w:rStyle w:val="Emphasis"/>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right-of-use assets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4,096</w:t>
            </w:r>
          </w:p>
        </w:tc>
        <w:tc>
          <w:tcPr>
            <w:tcW w:w="18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0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2,557</w:t>
            </w:r>
          </w:p>
        </w:tc>
        <w:tc>
          <w:tcPr>
            <w:tcW w:w="185" w:type="dxa"/>
            <w:tcBorders/>
            <w:shd w:fill="CCEEFF" w:val="clear"/>
            <w:vAlign w:val="center"/>
          </w:tcPr>
          <w:p>
            <w:pPr>
              <w:pStyle w:val="TableContents"/>
              <w:bidi w:val="0"/>
              <w:spacing w:before="0" w:after="283"/>
              <w:jc w:val="left"/>
              <w:rPr/>
            </w:pPr>
            <w:r>
              <w:rPr>
                <w:rStyle w:val="Emphasis"/>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ST Operating</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862</w:t>
            </w:r>
          </w:p>
        </w:tc>
        <w:tc>
          <w:tcPr>
            <w:tcW w:w="18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716</w:t>
            </w:r>
          </w:p>
        </w:tc>
        <w:tc>
          <w:tcPr>
            <w:tcW w:w="185" w:type="dxa"/>
            <w:tcBorders/>
            <w:shd w:fill="CCEEFF" w:val="clear"/>
            <w:vAlign w:val="center"/>
          </w:tcPr>
          <w:p>
            <w:pPr>
              <w:pStyle w:val="TableContents"/>
              <w:bidi w:val="0"/>
              <w:spacing w:before="0" w:after="283"/>
              <w:jc w:val="left"/>
              <w:rPr/>
            </w:pPr>
            <w:r>
              <w:rPr>
                <w:rStyle w:val="Emphasis"/>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LT Operating</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3,359</w:t>
            </w:r>
          </w:p>
        </w:tc>
        <w:tc>
          <w:tcPr>
            <w:tcW w:w="1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1,968</w:t>
            </w:r>
          </w:p>
        </w:tc>
        <w:tc>
          <w:tcPr>
            <w:tcW w:w="185" w:type="dxa"/>
            <w:tcBorders/>
            <w:shd w:fill="FFFFFF" w:val="clear"/>
            <w:vAlign w:val="center"/>
          </w:tcPr>
          <w:p>
            <w:pPr>
              <w:pStyle w:val="TableContents"/>
              <w:bidi w:val="0"/>
              <w:spacing w:before="0" w:after="283"/>
              <w:jc w:val="left"/>
              <w:rPr/>
            </w:pPr>
            <w:r>
              <w:rPr>
                <w:rStyle w:val="Emphasis"/>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4,221</w:t>
            </w:r>
          </w:p>
        </w:tc>
        <w:tc>
          <w:tcPr>
            <w:tcW w:w="18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2,684</w:t>
            </w:r>
          </w:p>
        </w:tc>
        <w:tc>
          <w:tcPr>
            <w:tcW w:w="185" w:type="dxa"/>
            <w:tcBorders/>
            <w:shd w:fill="CCEEFF" w:val="clear"/>
            <w:vAlign w:val="center"/>
          </w:tcPr>
          <w:p>
            <w:pPr>
              <w:pStyle w:val="TableContents"/>
              <w:bidi w:val="0"/>
              <w:spacing w:before="0" w:after="283"/>
              <w:jc w:val="left"/>
              <w:rPr/>
            </w:pPr>
            <w:r>
              <w:rPr>
                <w:rStyle w:val="Emphasis"/>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5.41</w:t>
            </w:r>
          </w:p>
        </w:tc>
        <w:tc>
          <w:tcPr>
            <w:tcW w:w="18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3.49</w:t>
            </w:r>
          </w:p>
        </w:tc>
        <w:tc>
          <w:tcPr>
            <w:tcW w:w="185" w:type="dxa"/>
            <w:tcBorders/>
            <w:shd w:fill="CCEEFF" w:val="clear"/>
            <w:vAlign w:val="center"/>
          </w:tcPr>
          <w:p>
            <w:pPr>
              <w:pStyle w:val="TableContents"/>
              <w:bidi w:val="0"/>
              <w:spacing w:before="0" w:after="283"/>
              <w:jc w:val="left"/>
              <w:rPr/>
            </w:pPr>
            <w:r>
              <w:rPr>
                <w:rStyle w:val="Emphasis"/>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12.65</w:t>
            </w:r>
          </w:p>
        </w:tc>
        <w:tc>
          <w:tcPr>
            <w:tcW w:w="185" w:type="dxa"/>
            <w:tcBorders/>
            <w:shd w:fill="FFFFFF" w:val="clear"/>
            <w:vAlign w:val="center"/>
          </w:tcPr>
          <w:p>
            <w:pPr>
              <w:pStyle w:val="TableContents"/>
              <w:bidi w:val="0"/>
              <w:spacing w:before="0" w:after="283"/>
              <w:jc w:val="lef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9.83</w:t>
            </w:r>
          </w:p>
        </w:tc>
        <w:tc>
          <w:tcPr>
            <w:tcW w:w="185" w:type="dxa"/>
            <w:tcBorders/>
            <w:shd w:fill="FFFFFF" w:val="clear"/>
            <w:vAlign w:val="center"/>
          </w:tcPr>
          <w:p>
            <w:pPr>
              <w:pStyle w:val="TableContents"/>
              <w:bidi w:val="0"/>
              <w:spacing w:before="0" w:after="283"/>
              <w:jc w:val="left"/>
              <w:rPr/>
            </w:pPr>
            <w:r>
              <w:rPr>
                <w:rStyle w:val="Emphasis"/>
                <w:rFonts w:ascii="Times New Roman" w:hAnsi="Times New Roman"/>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costs related to the Company's finance lease are </w:t>
      </w:r>
      <w:r>
        <w:rPr>
          <w:rStyle w:val="Emphasis"/>
          <w:rFonts w:ascii="Times New Roman;Times;serif" w:hAnsi="Times New Roman;Times;serif"/>
          <w:sz w:val="20"/>
        </w:rPr>
        <w:t>not</w:t>
      </w:r>
      <w:r>
        <w:rPr>
          <w:rFonts w:ascii="Times New Roman;Times;serif" w:hAnsi="Times New Roman;Times;serif"/>
          <w:sz w:val="20"/>
        </w:rPr>
        <w:t xml:space="preserve"> material. The costs related to the Company's operating leases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4464" w:type="dxa"/>
        <w:jc w:val="left"/>
        <w:tblInd w:w="0" w:type="dxa"/>
        <w:tblLayout w:type="fixed"/>
        <w:tblCellMar>
          <w:top w:w="0" w:type="dxa"/>
          <w:left w:w="0" w:type="dxa"/>
          <w:bottom w:w="0" w:type="dxa"/>
          <w:right w:w="0" w:type="dxa"/>
        </w:tblCellMar>
      </w:tblPr>
      <w:tblGrid>
        <w:gridCol w:w="2585"/>
        <w:gridCol w:w="60"/>
        <w:gridCol w:w="476"/>
        <w:gridCol w:w="1283"/>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fixed</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4464" w:type="dxa"/>
        <w:jc w:val="left"/>
        <w:tblInd w:w="0" w:type="dxa"/>
        <w:tblLayout w:type="fixed"/>
        <w:tblCellMar>
          <w:top w:w="0" w:type="dxa"/>
          <w:left w:w="0" w:type="dxa"/>
          <w:bottom w:w="0" w:type="dxa"/>
          <w:right w:w="0" w:type="dxa"/>
        </w:tblCellMar>
      </w:tblPr>
      <w:tblGrid>
        <w:gridCol w:w="2585"/>
        <w:gridCol w:w="60"/>
        <w:gridCol w:w="476"/>
        <w:gridCol w:w="1283"/>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2023</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fixed</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estimated minimum future lease obligations under the Company's leases are as follows (in thousands): </w:t>
      </w:r>
    </w:p>
    <w:p>
      <w:pPr>
        <w:pStyle w:val="TextBody"/>
        <w:bidi w:val="0"/>
        <w:spacing w:before="0" w:after="0"/>
        <w:ind w:left="0" w:right="0" w:firstLine="720"/>
        <w:jc w:val="both"/>
        <w:rPr/>
      </w:pPr>
      <w:r>
        <w:rPr/>
        <w:t> </w:t>
      </w:r>
    </w:p>
    <w:tbl>
      <w:tblPr>
        <w:tblW w:w="3395" w:type="dxa"/>
        <w:jc w:val="left"/>
        <w:tblInd w:w="0" w:type="dxa"/>
        <w:tblLayout w:type="fixed"/>
        <w:tblCellMar>
          <w:top w:w="0" w:type="dxa"/>
          <w:left w:w="0" w:type="dxa"/>
          <w:bottom w:w="0" w:type="dxa"/>
          <w:right w:w="0" w:type="dxa"/>
        </w:tblCellMar>
      </w:tblPr>
      <w:tblGrid>
        <w:gridCol w:w="2585"/>
        <w:gridCol w:w="60"/>
        <w:gridCol w:w="125"/>
        <w:gridCol w:w="545"/>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March 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986</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1,319</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1,181</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404</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1,511</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545" w:type="dxa"/>
            <w:tcBorders>
              <w:top w:val="single" w:sz="2" w:space="0" w:color="000000"/>
            </w:tcBorders>
            <w:shd w:fill="FFFFFF" w:val="clear"/>
            <w:tcMar>
              <w:top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6,224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4,221</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16.</w:t>
      </w:r>
      <w:r>
        <w:rPr>
          <w:rFonts w:ascii="Times New Roman;Times;serif" w:hAnsi="Times New Roman;Times;serif"/>
          <w:b/>
          <w:sz w:val="20"/>
        </w:rPr>
        <w:t xml:space="preserve"> Commitments and Contingencies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From time to time, the Company is involved in legal and administrative proceedings and claims of various types.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condensed consolidated financial statements </w:t>
      </w:r>
      <w:r>
        <w:rPr>
          <w:rStyle w:val="Emphasis"/>
          <w:rFonts w:ascii="Times New Roman;Times;serif" w:hAnsi="Times New Roman;Times;serif"/>
          <w:sz w:val="20"/>
        </w:rPr>
        <w:t>not</w:t>
      </w:r>
      <w:r>
        <w:rPr>
          <w:rFonts w:ascii="Times New Roman;Times;serif" w:hAnsi="Times New Roman;Times;serif"/>
          <w:sz w:val="20"/>
        </w:rPr>
        <w:t xml:space="preserve"> misleading. If the loss is </w:t>
      </w:r>
      <w:r>
        <w:rPr>
          <w:rStyle w:val="Emphasis"/>
          <w:rFonts w:ascii="Times New Roman;Times;serif" w:hAnsi="Times New Roman;Times;serif"/>
          <w:sz w:val="20"/>
        </w:rPr>
        <w:t>not</w:t>
      </w:r>
      <w:r>
        <w:rPr>
          <w:rFonts w:ascii="Times New Roman;Times;serif" w:hAnsi="Times New Roman;Times;serif"/>
          <w:sz w:val="20"/>
        </w:rPr>
        <w:t xml:space="preserve"> probable or cannot be reasonably estimated, a liability is </w:t>
      </w:r>
      <w:r>
        <w:rPr>
          <w:rStyle w:val="Emphasis"/>
          <w:rFonts w:ascii="Times New Roman;Times;serif" w:hAnsi="Times New Roman;Times;serif"/>
          <w:sz w:val="20"/>
        </w:rPr>
        <w:t>not</w:t>
      </w:r>
      <w:r>
        <w:rPr>
          <w:rFonts w:ascii="Times New Roman;Times;serif" w:hAnsi="Times New Roman;Times;serif"/>
          <w:sz w:val="20"/>
        </w:rPr>
        <w:t xml:space="preserve"> recorded in its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shd w:fill="FFFFFF" w:val="clear"/>
        </w:rPr>
        <w:t>June 30, 2024</w:t>
      </w:r>
      <w:r>
        <w:rPr>
          <w:rFonts w:ascii="Times New Roman;Times;serif" w:hAnsi="Times New Roman;Times;serif"/>
          <w:sz w:val="20"/>
        </w:rPr>
        <w:t xml:space="preserve">, the Company had $1.6 million of restricted cash included in long-term assets and $0.5 million of restricted cash included in current assets. As of </w:t>
      </w:r>
      <w:r>
        <w:rPr>
          <w:rStyle w:val="Emphasis"/>
          <w:rFonts w:ascii="Times New Roman;Times;serif" w:hAnsi="Times New Roman;Times;serif"/>
          <w:sz w:val="20"/>
        </w:rPr>
        <w:t>March 31, 2024</w:t>
      </w:r>
      <w:r>
        <w:rPr>
          <w:rFonts w:ascii="Times New Roman;Times;serif" w:hAnsi="Times New Roman;Times;serif"/>
          <w:sz w:val="20"/>
        </w:rPr>
        <w:t>, the Company had $1.3 million of restricted cash included in long term assets and $0.5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17.</w:t>
      </w:r>
      <w:r>
        <w:rPr>
          <w:rFonts w:ascii="Times New Roman;Times;serif" w:hAnsi="Times New Roman;Times;serif"/>
          <w:b/>
          <w:sz w:val="20"/>
        </w:rPr>
        <w:t xml:space="preserve"> Business Segments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reports its financial results in two reportable business segments: Grid and Wind. In accordance with ASC </w:t>
      </w:r>
      <w:r>
        <w:rPr>
          <w:rStyle w:val="Emphasis"/>
          <w:rFonts w:ascii="Times New Roman;Times;serif" w:hAnsi="Times New Roman;Times;serif"/>
          <w:sz w:val="20"/>
        </w:rPr>
        <w:t>280</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Segment Reporting</w:t>
      </w:r>
      <w:r>
        <w:rPr>
          <w:rFonts w:ascii="Times New Roman;Times;serif" w:hAnsi="Times New Roman;Times;serif"/>
          <w:sz w:val="20"/>
        </w:rPr>
        <w:t>, the Company aggregates four operating segments into </w:t>
      </w:r>
      <w:r>
        <w:rPr>
          <w:rStyle w:val="Emphasis"/>
          <w:rFonts w:ascii="Times New Roman;Times;serif" w:hAnsi="Times New Roman;Times;serif"/>
          <w:sz w:val="20"/>
        </w:rPr>
        <w:t>one</w:t>
      </w:r>
      <w:r>
        <w:rPr>
          <w:rFonts w:ascii="Times New Roman;Times;serif" w:hAnsi="Times New Roman;Times;serif"/>
          <w:sz w:val="20"/>
        </w:rPr>
        <w:t> reporting segment for financial reporting purposes due to their similar operating and financial characteristics. The Company's operating segments reflect the way in which internally-reported financial information is used to make decisions and allocate resources.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w:t>
      </w:r>
      <w:r>
        <w:rPr>
          <w:rStyle w:val="Emphasis"/>
          <w:rFonts w:ascii="Times New Roman;Times;serif" w:hAnsi="Times New Roman;Times;serif"/>
          <w:i/>
          <w:sz w:val="20"/>
        </w:rPr>
        <w:t>2</w:t>
      </w:r>
      <w:r>
        <w:rPr>
          <w:rFonts w:ascii="Times New Roman;Times;serif" w:hAnsi="Times New Roman;Times;serif"/>
          <w:sz w:val="20"/>
        </w:rPr>
        <w:t> megawatts ("MWs") and higher. The Company provides a broad range of power electronics and software-based control systems that are highly integrated and designed for optimized performance, efficiency, and grid compatibility.</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operating results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are as follows (in thousands):</w:t>
      </w:r>
    </w:p>
    <w:p>
      <w:pPr>
        <w:pStyle w:val="TextBody"/>
        <w:bidi w:val="0"/>
        <w:spacing w:before="0" w:after="0"/>
        <w:ind w:left="0" w:right="0" w:firstLine="720"/>
        <w:jc w:val="both"/>
        <w:rPr/>
      </w:pPr>
      <w:r>
        <w:rPr/>
        <w:t> </w:t>
      </w:r>
    </w:p>
    <w:tbl>
      <w:tblPr>
        <w:tblW w:w="3503" w:type="dxa"/>
        <w:jc w:val="left"/>
        <w:tblInd w:w="0" w:type="dxa"/>
        <w:tblLayout w:type="fixed"/>
        <w:tblCellMar>
          <w:top w:w="0" w:type="dxa"/>
          <w:left w:w="0" w:type="dxa"/>
          <w:bottom w:w="0" w:type="dxa"/>
          <w:right w:w="0" w:type="dxa"/>
        </w:tblCellMar>
      </w:tblPr>
      <w:tblGrid>
        <w:gridCol w:w="875"/>
        <w:gridCol w:w="60"/>
        <w:gridCol w:w="202"/>
        <w:gridCol w:w="955"/>
        <w:gridCol w:w="97"/>
        <w:gridCol w:w="97"/>
        <w:gridCol w:w="202"/>
        <w:gridCol w:w="955"/>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25,737</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40,290</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30,254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5246" w:type="dxa"/>
        <w:jc w:val="left"/>
        <w:tblInd w:w="0" w:type="dxa"/>
        <w:tblLayout w:type="fixed"/>
        <w:tblCellMar>
          <w:top w:w="0" w:type="dxa"/>
          <w:left w:w="0" w:type="dxa"/>
          <w:bottom w:w="0" w:type="dxa"/>
          <w:right w:w="0" w:type="dxa"/>
        </w:tblCellMar>
      </w:tblPr>
      <w:tblGrid>
        <w:gridCol w:w="2600"/>
        <w:gridCol w:w="60"/>
        <w:gridCol w:w="211"/>
        <w:gridCol w:w="924"/>
        <w:gridCol w:w="135"/>
        <w:gridCol w:w="101"/>
        <w:gridCol w:w="211"/>
        <w:gridCol w:w="924"/>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(5,149</w:t>
            </w:r>
          </w:p>
        </w:tc>
        <w:tc>
          <w:tcPr>
            <w:tcW w:w="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w:t>
      </w:r>
      <w:r>
        <w:rPr>
          <w:rStyle w:val="Emphasis"/>
          <w:rFonts w:ascii="Times New Roman;Times;serif" w:hAnsi="Times New Roman;Times;serif"/>
          <w:sz w:val="20"/>
        </w:rPr>
        <w:t>not</w:t>
      </w:r>
      <w:r>
        <w:rPr>
          <w:rFonts w:ascii="Times New Roman;Times;serif" w:hAnsi="Times New Roman;Times;serif"/>
          <w:sz w:val="20"/>
        </w:rPr>
        <w:t xml:space="preserve"> believe are specifically attributable or allocable to either of the </w:t>
      </w:r>
      <w:r>
        <w:rPr>
          <w:rStyle w:val="Emphasis"/>
          <w:rFonts w:ascii="Times New Roman;Times;serif" w:hAnsi="Times New Roman;Times;serif"/>
          <w:sz w:val="20"/>
        </w:rPr>
        <w:t>two</w:t>
      </w:r>
      <w:r>
        <w:rPr>
          <w:rFonts w:ascii="Times New Roman;Times;serif" w:hAnsi="Times New Roman;Times;serif"/>
          <w:sz w:val="20"/>
        </w:rPr>
        <w:t xml:space="preserve"> business segments have been excluded from the segment operating loss.</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Unallocated corporate expenses consisted of net losses of $3.9 million and $1.3 million resulting from the increases in the fair value of contingent consideration in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xml:space="preserve">, respectively. There are 300,000 shares remaining for potential issuance upon the achievement of the last specified revenue objective under the NEPSI Stock Purchase Agreement by </w:t>
      </w:r>
      <w:r>
        <w:rPr>
          <w:rStyle w:val="Emphasis"/>
          <w:rFonts w:ascii="Times New Roman;Times;serif" w:hAnsi="Times New Roman;Times;serif"/>
          <w:sz w:val="20"/>
        </w:rPr>
        <w:t>September 30, 2024. </w:t>
      </w:r>
      <w:r>
        <w:rPr>
          <w:rFonts w:ascii="Times New Roman;Times;serif" w:hAnsi="Times New Roman;Times;serif"/>
          <w:sz w:val="20"/>
        </w:rPr>
        <w:t xml:space="preserve">Additionally, unallocated corporate expenses consisted of stock-based compensation expense </w:t>
      </w:r>
      <w:r>
        <w:rPr>
          <w:rFonts w:ascii="Times New Roman;Times;serif" w:hAnsi="Times New Roman;Times;serif"/>
          <w:sz w:val="20"/>
          <w:shd w:fill="FFFFFF" w:val="clear"/>
        </w:rPr>
        <w:t>of $</w:t>
      </w:r>
      <w:r>
        <w:rPr>
          <w:rFonts w:ascii="Times New Roman;Times;serif" w:hAnsi="Times New Roman;Times;serif"/>
          <w:sz w:val="20"/>
        </w:rPr>
        <w:t>1.2</w:t>
      </w:r>
      <w:r>
        <w:rPr>
          <w:rFonts w:ascii="Times New Roman;Times;serif" w:hAnsi="Times New Roman;Times;serif"/>
          <w:sz w:val="20"/>
          <w:shd w:fill="FFFFFF" w:val="clear"/>
        </w:rPr>
        <w:t xml:space="preserve"> million and</w:t>
      </w:r>
      <w:r>
        <w:rPr>
          <w:rFonts w:ascii="Times New Roman;Times;serif" w:hAnsi="Times New Roman;Times;serif"/>
          <w:sz w:val="20"/>
        </w:rPr>
        <w:t xml:space="preserve"> $1.4 million in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Total assets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as of </w:t>
      </w:r>
      <w:r>
        <w:rPr>
          <w:rStyle w:val="Emphasis"/>
          <w:rFonts w:ascii="Times New Roman;Times;serif" w:hAnsi="Times New Roman;Times;serif"/>
          <w:sz w:val="20"/>
          <w:shd w:fill="FFFFFF" w:val="clear"/>
        </w:rPr>
        <w:t xml:space="preserve"> June 30, 2024</w:t>
      </w:r>
      <w:r>
        <w:rPr>
          <w:rFonts w:ascii="Times New Roman;Times;serif" w:hAnsi="Times New Roman;Times;serif"/>
          <w:sz w:val="20"/>
        </w:rPr>
        <w:t> and </w:t>
      </w:r>
      <w:r>
        <w:rPr>
          <w:rStyle w:val="Emphasis"/>
          <w:rFonts w:ascii="Times New Roman;Times;serif" w:hAnsi="Times New Roman;Times;serif"/>
          <w:sz w:val="20"/>
        </w:rPr>
        <w:t xml:space="preserve"> March 31, 2024</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4108" w:type="dxa"/>
        <w:jc w:val="left"/>
        <w:tblInd w:w="0" w:type="dxa"/>
        <w:tblLayout w:type="fixed"/>
        <w:tblCellMar>
          <w:top w:w="0" w:type="dxa"/>
          <w:left w:w="0" w:type="dxa"/>
          <w:bottom w:w="0" w:type="dxa"/>
          <w:right w:w="0" w:type="dxa"/>
        </w:tblCellMar>
      </w:tblPr>
      <w:tblGrid>
        <w:gridCol w:w="1340"/>
        <w:gridCol w:w="60"/>
        <w:gridCol w:w="181"/>
        <w:gridCol w:w="1008"/>
        <w:gridCol w:w="60"/>
        <w:gridCol w:w="60"/>
        <w:gridCol w:w="204"/>
        <w:gridCol w:w="1135"/>
        <w:gridCol w:w="60"/>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125,878</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14,733</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95,492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92,160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232,771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18.</w:t>
      </w:r>
      <w:r>
        <w:rPr>
          <w:rFonts w:ascii="Times New Roman;Times;serif" w:hAnsi="Times New Roman;Times;serif"/>
          <w:b/>
          <w:sz w:val="20"/>
        </w:rPr>
        <w:t xml:space="preserve"> Recent Accounting Pronouncements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2023, </w:t>
      </w:r>
      <w:r>
        <w:rPr>
          <w:rFonts w:ascii="Times New Roman;Times;serif" w:hAnsi="Times New Roman;Times;serif"/>
          <w:sz w:val="20"/>
        </w:rPr>
        <w:t>the FASB issued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07,</w:t>
      </w:r>
      <w:r>
        <w:rPr>
          <w:rFonts w:ascii="Times New Roman;Times;serif" w:hAnsi="Times New Roman;Times;serif"/>
          <w:sz w:val="20"/>
        </w:rPr>
        <w:t xml:space="preserve"> </w:t>
      </w:r>
      <w:r>
        <w:rPr>
          <w:rFonts w:ascii="Times New Roman;Times;serif" w:hAnsi="Times New Roman;Times;serif"/>
          <w:i/>
          <w:sz w:val="20"/>
        </w:rPr>
        <w:t xml:space="preserve">Segment Reporting (Topic </w:t>
      </w:r>
      <w:r>
        <w:rPr>
          <w:rStyle w:val="Emphasis"/>
          <w:rFonts w:ascii="Times New Roman;Times;serif" w:hAnsi="Times New Roman;Times;serif"/>
          <w:i/>
          <w:sz w:val="20"/>
        </w:rPr>
        <w:t>280</w:t>
      </w:r>
      <w:r>
        <w:rPr>
          <w:rFonts w:ascii="Times New Roman;Times;serif" w:hAnsi="Times New Roman;Times;serif"/>
          <w:i/>
          <w:sz w:val="20"/>
        </w:rPr>
        <w:t>): Improvements to Reportable Segment Disclosures</w:t>
      </w:r>
      <w:r>
        <w:rPr>
          <w:rFonts w:ascii="Times New Roman;Times;serif" w:hAnsi="Times New Roman;Times;serif"/>
          <w:sz w:val="20"/>
        </w:rPr>
        <w:t xml:space="preserve">. The amendments in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07</w:t>
      </w:r>
      <w:r>
        <w:rPr>
          <w:rFonts w:ascii="Times New Roman;Times;serif" w:hAnsi="Times New Roman;Times;serif"/>
          <w:sz w:val="20"/>
        </w:rPr>
        <w:t xml:space="preserve"> improve the disclosures about a public entity’s reportable segments and address requests from investors for additional, more detailed information about a reportable segment’s expenses. Following the release of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07</w:t>
      </w:r>
      <w:r>
        <w:rPr>
          <w:rFonts w:ascii="Times New Roman;Times;serif" w:hAnsi="Times New Roman;Times;serif"/>
          <w:sz w:val="20"/>
        </w:rPr>
        <w:t xml:space="preserve"> in </w:t>
      </w:r>
      <w:r>
        <w:rPr>
          <w:rStyle w:val="Emphasis"/>
          <w:rFonts w:ascii="Times New Roman;Times;serif" w:hAnsi="Times New Roman;Times;serif"/>
          <w:sz w:val="20"/>
        </w:rPr>
        <w:t xml:space="preserve">November 2023, </w:t>
      </w:r>
      <w:r>
        <w:rPr>
          <w:rFonts w:ascii="Times New Roman;Times;serif" w:hAnsi="Times New Roman;Times;serif"/>
          <w:sz w:val="20"/>
        </w:rPr>
        <w:t xml:space="preserve">the effective date will be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rPr>
        <w:t xml:space="preserve">June 30, 2024, </w:t>
      </w:r>
      <w:r>
        <w:rPr>
          <w:rFonts w:ascii="Times New Roman;Times;serif" w:hAnsi="Times New Roman;Times;serif"/>
          <w:sz w:val="20"/>
        </w:rPr>
        <w:t>the Company is evaluating the impact on its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December 2023, </w:t>
      </w:r>
      <w:r>
        <w:rPr>
          <w:rFonts w:ascii="Times New Roman;Times;serif" w:hAnsi="Times New Roman;Times;serif"/>
          <w:sz w:val="20"/>
        </w:rPr>
        <w:t>the FASB issued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w:t>
      </w:r>
      <w:r>
        <w:rPr>
          <w:rFonts w:ascii="Times New Roman;Times;serif" w:hAnsi="Times New Roman;Times;serif"/>
          <w:i/>
          <w:sz w:val="20"/>
        </w:rPr>
        <w:t xml:space="preserve">Income Taxes (Topic </w:t>
      </w:r>
      <w:r>
        <w:rPr>
          <w:rStyle w:val="Emphasis"/>
          <w:rFonts w:ascii="Times New Roman;Times;serif" w:hAnsi="Times New Roman;Times;serif"/>
          <w:i/>
          <w:sz w:val="20"/>
        </w:rPr>
        <w:t>740</w:t>
      </w:r>
      <w:r>
        <w:rPr>
          <w:rFonts w:ascii="Times New Roman;Times;serif" w:hAnsi="Times New Roman;Times;serif"/>
          <w:i/>
          <w:sz w:val="20"/>
        </w:rPr>
        <w:t>): Improvements to Income Tax Disclosures</w:t>
      </w:r>
      <w:r>
        <w:rPr>
          <w:rFonts w:ascii="Times New Roman;Times;serif" w:hAnsi="Times New Roman;Times;serif"/>
          <w:sz w:val="20"/>
        </w:rPr>
        <w:t xml:space="preserve">. The amendments in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address investor requests for more transparency about income tax information through improvements to income tax disclosures primarily related to the rate reconciliation and income taxes paid information. Following the release of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in </w:t>
      </w:r>
      <w:r>
        <w:rPr>
          <w:rStyle w:val="Emphasis"/>
          <w:rFonts w:ascii="Times New Roman;Times;serif" w:hAnsi="Times New Roman;Times;serif"/>
          <w:sz w:val="20"/>
        </w:rPr>
        <w:t xml:space="preserve">December 2023, </w:t>
      </w:r>
      <w:r>
        <w:rPr>
          <w:rFonts w:ascii="Times New Roman;Times;serif" w:hAnsi="Times New Roman;Times;serif"/>
          <w:sz w:val="20"/>
        </w:rPr>
        <w:t xml:space="preserve">the effective date will be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rPr>
        <w:t xml:space="preserve">June 30, 2024, </w:t>
      </w:r>
      <w:r>
        <w:rPr>
          <w:rFonts w:ascii="Times New Roman;Times;serif" w:hAnsi="Times New Roman;Times;serif"/>
          <w:sz w:val="20"/>
        </w:rPr>
        <w:t>the Company is evaluating the impact on its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March 2024, </w:t>
      </w:r>
      <w:r>
        <w:rPr>
          <w:rFonts w:ascii="Times New Roman;Times;serif" w:hAnsi="Times New Roman;Times;serif"/>
          <w:sz w:val="20"/>
        </w:rPr>
        <w:t>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w:t>
      </w:r>
      <w:r>
        <w:rPr>
          <w:rFonts w:ascii="Times New Roman;Times;serif" w:hAnsi="Times New Roman;Times;serif"/>
          <w:i/>
          <w:sz w:val="20"/>
        </w:rPr>
        <w:t>Codification Improvements</w:t>
      </w:r>
      <w:r>
        <w:rPr>
          <w:rFonts w:ascii="Times New Roman;Times;serif" w:hAnsi="Times New Roman;Times;serif"/>
          <w:sz w:val="20"/>
        </w:rPr>
        <w:t>—</w:t>
      </w:r>
      <w:r>
        <w:rPr>
          <w:rFonts w:ascii="Times New Roman;Times;serif" w:hAnsi="Times New Roman;Times;serif"/>
          <w:i/>
          <w:sz w:val="20"/>
        </w:rPr>
        <w:t>Amendments to Remove References to the Concepts Statements</w:t>
      </w:r>
      <w:r>
        <w:rPr>
          <w:rFonts w:ascii="Times New Roman;Times;serif" w:hAnsi="Times New Roman;Times;serif"/>
          <w:sz w:val="20"/>
        </w:rPr>
        <w:t xml:space="preserve">. The amendments in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contain amendments to the Codification that remove references to various FASB Concepts Statements. Following the release of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in </w:t>
      </w:r>
      <w:r>
        <w:rPr>
          <w:rStyle w:val="Emphasis"/>
          <w:rFonts w:ascii="Times New Roman;Times;serif" w:hAnsi="Times New Roman;Times;serif"/>
          <w:sz w:val="20"/>
        </w:rPr>
        <w:t xml:space="preserve">March 2024, </w:t>
      </w:r>
      <w:r>
        <w:rPr>
          <w:rFonts w:ascii="Times New Roman;Times;serif" w:hAnsi="Times New Roman;Times;serif"/>
          <w:sz w:val="20"/>
        </w:rPr>
        <w:t xml:space="preserve">the effective date will be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rPr>
        <w:t xml:space="preserve">June 30, 2024, </w:t>
      </w:r>
      <w:r>
        <w:rPr>
          <w:rFonts w:ascii="Times New Roman;Times;serif" w:hAnsi="Times New Roman;Times;serif"/>
          <w:sz w:val="20"/>
        </w:rPr>
        <w:t>the Company is evaluating the impact on its condensed consolidated financial statements.</w:t>
      </w:r>
    </w:p>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19.</w:t>
      </w:r>
      <w:r>
        <w:rPr>
          <w:rFonts w:ascii="Times New Roman;Times;serif" w:hAnsi="Times New Roman;Times;serif"/>
          <w:b/>
          <w:sz w:val="20"/>
        </w:rPr>
        <w:t xml:space="preserve"> Subsequent Events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performed an evaluation of subsequent events through the time of filing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with the SEC and has determined that, other than as reported herein and described below, there are </w:t>
      </w:r>
      <w:r>
        <w:rPr>
          <w:rStyle w:val="Emphasis"/>
          <w:rFonts w:ascii="Times New Roman;Times;serif" w:hAnsi="Times New Roman;Times;serif"/>
          <w:sz w:val="20"/>
        </w:rPr>
        <w:t>no</w:t>
      </w:r>
      <w:r>
        <w:rPr>
          <w:rFonts w:ascii="Times New Roman;Times;serif" w:hAnsi="Times New Roman;Times;serif"/>
          <w:sz w:val="20"/>
        </w:rPr>
        <w:t xml:space="preserve"> such events to report.</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Acquisition of Megatran</w:t>
      </w:r>
      <w:r>
        <w:rPr>
          <w:rFonts w:ascii="Times New Roman;Times;serif" w:hAnsi="Times New Roman;Times;serif"/>
          <w:sz w:val="20"/>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described in Note </w:t>
      </w:r>
      <w:r>
        <w:rPr>
          <w:rStyle w:val="Emphasis"/>
          <w:rFonts w:ascii="Times New Roman;Times;serif" w:hAnsi="Times New Roman;Times;serif"/>
          <w:sz w:val="20"/>
        </w:rPr>
        <w:t>1,</w:t>
      </w:r>
      <w:r>
        <w:rPr>
          <w:rFonts w:ascii="Times New Roman;Times;serif" w:hAnsi="Times New Roman;Times;serif"/>
          <w:sz w:val="20"/>
        </w:rPr>
        <w:t xml:space="preserve"> Nature of the Business and Operations and Liquidity, on the Acquisition Date, the Company acquired all of the issued and outstanding shares of capital stock of Megatran. Megatran is a U.S.-based global provider of engineered power conversion solutions for demanding industrial and military applications.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Pursuant to the Stock Purchase Agreement, the Company acquired all of the issued and outstanding shares of Megatran, for aggregate consideration in an amount equal to $61,350,000 (the “Purchase Price”), which consideration amount shall be subject to various adjustments set forth in the Stock Purchase Agreement (including those described below) and consists of: (a) (i) $25,000,000, minus (ii) the Indebtedness (as defined in the Stock Purchase Agreement) outstanding as of immediately prior to the closing, minus (iii) Company Expenses (as defined in the Stock Purchase Agreement) (collectively, the “Cash Purchase Price”); (b) a number of restricted shares (rounded up or down to the nearest whole share, as applicable) (the “Company Shares”) of the Company’s common stock, $.01 par value per share (“Common Stock”) equal to the quotient obtained by dividing (</w:t>
      </w:r>
      <w:r>
        <w:rPr>
          <w:rStyle w:val="Emphasis"/>
          <w:rFonts w:ascii="Times New Roman;Times;serif" w:hAnsi="Times New Roman;Times;serif"/>
          <w:sz w:val="20"/>
        </w:rPr>
        <w:t>x</w:t>
      </w:r>
      <w:r>
        <w:rPr>
          <w:rFonts w:ascii="Times New Roman;Times;serif" w:hAnsi="Times New Roman;Times;serif"/>
          <w:sz w:val="20"/>
        </w:rPr>
        <w:t xml:space="preserve">) $31,350,000 (the “Share Purchase Price”) by (y) the closing price per share of Common Stock on the Nasdaq Global Select Market on the last trading day immediately preceding the Closing Date; and (c) an additional cash payment equal to $5,000,000, as adjusted pursuant to Sections </w:t>
      </w:r>
      <w:r>
        <w:rPr>
          <w:rStyle w:val="Emphasis"/>
          <w:rFonts w:ascii="Times New Roman;Times;serif" w:hAnsi="Times New Roman;Times;serif"/>
          <w:sz w:val="20"/>
        </w:rPr>
        <w:t>5.6</w:t>
      </w:r>
      <w:r>
        <w:rPr>
          <w:rFonts w:ascii="Times New Roman;Times;serif" w:hAnsi="Times New Roman;Times;serif"/>
          <w:sz w:val="20"/>
        </w:rPr>
        <w:t>(c), (d), and (f) of the Stock Purchase Agreement (the “Additional Cash Purchase Price”). Megatran is now a wholly-owned subsidiary of the Company and is operated and reported as a component of its Grid business unit.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Acquisition completed by the Company subsequent to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2024 </w:t>
      </w:r>
      <w:r>
        <w:rPr>
          <w:rFonts w:ascii="Times New Roman;Times;serif" w:hAnsi="Times New Roman;Times;serif"/>
          <w:sz w:val="20"/>
        </w:rPr>
        <w:t xml:space="preserve">has been accounted for under the purchase method of accounting in accordance with ASC </w:t>
      </w:r>
      <w:r>
        <w:rPr>
          <w:rStyle w:val="Emphasis"/>
          <w:rFonts w:ascii="Times New Roman;Times;serif" w:hAnsi="Times New Roman;Times;serif"/>
          <w:sz w:val="20"/>
        </w:rPr>
        <w:t>805,</w:t>
      </w:r>
      <w:r>
        <w:rPr>
          <w:rFonts w:ascii="Times New Roman;Times;serif" w:hAnsi="Times New Roman;Times;serif"/>
          <w:sz w:val="20"/>
        </w:rPr>
        <w:t> </w:t>
      </w:r>
      <w:r>
        <w:rPr>
          <w:rFonts w:ascii="Times New Roman;Times;serif" w:hAnsi="Times New Roman;Times;serif"/>
          <w:i/>
          <w:sz w:val="20"/>
        </w:rPr>
        <w:t>Business Combinations</w:t>
      </w:r>
      <w:r>
        <w:rPr>
          <w:rFonts w:ascii="Times New Roman;Times;serif" w:hAnsi="Times New Roman;Times;serif"/>
          <w:sz w:val="20"/>
        </w:rPr>
        <w:t>. The Company allocated the purchase price to the assets acquired and liabilities assumed at their estimated fair values as of the date of acquisition. The excess of the purchase price paid by the Company over the estimated fair value of net assets acquired has been recorded as goodwill.</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total purchase price of approximately $61.4 million includes the fair value of shares of the Company’s common stock issued at closing, and cash paid, as follows (in millions):</w:t>
      </w:r>
    </w:p>
    <w:p>
      <w:pPr>
        <w:pStyle w:val="TextBody"/>
        <w:bidi w:val="0"/>
        <w:spacing w:before="0" w:after="0"/>
        <w:ind w:left="0" w:right="0" w:firstLine="720"/>
        <w:jc w:val="both"/>
        <w:rPr/>
      </w:pPr>
      <w:r>
        <w:rPr/>
        <w:t> </w:t>
      </w:r>
    </w:p>
    <w:tbl>
      <w:tblPr>
        <w:tblW w:w="6145" w:type="dxa"/>
        <w:jc w:val="left"/>
        <w:tblInd w:w="0" w:type="dxa"/>
        <w:tblLayout w:type="fixed"/>
        <w:tblCellMar>
          <w:top w:w="0" w:type="dxa"/>
          <w:left w:w="0" w:type="dxa"/>
          <w:bottom w:w="0" w:type="dxa"/>
          <w:right w:w="0" w:type="dxa"/>
        </w:tblCellMar>
      </w:tblPr>
      <w:tblGrid>
        <w:gridCol w:w="5705"/>
        <w:gridCol w:w="440"/>
      </w:tblGrid>
      <w:tr>
        <w:trPr/>
        <w:tc>
          <w:tcPr>
            <w:tcW w:w="5705" w:type="dxa"/>
            <w:tcBorders/>
            <w:shd w:fill="CCEEFF" w:val="clear"/>
            <w:vAlign w:val="center"/>
          </w:tcPr>
          <w:p>
            <w:pPr>
              <w:pStyle w:val="TableContents"/>
              <w:bidi w:val="0"/>
              <w:spacing w:before="0" w:after="283"/>
              <w:jc w:val="left"/>
              <w:rPr/>
            </w:pPr>
            <w:r>
              <w:rPr/>
              <w:t>Cash payment</w:t>
            </w:r>
          </w:p>
        </w:tc>
        <w:tc>
          <w:tcPr>
            <w:tcW w:w="440" w:type="dxa"/>
            <w:tcBorders/>
            <w:shd w:fill="CCEEFF" w:val="clear"/>
            <w:vAlign w:val="center"/>
          </w:tcPr>
          <w:p>
            <w:pPr>
              <w:pStyle w:val="TableContents"/>
              <w:bidi w:val="0"/>
              <w:spacing w:before="0" w:after="283"/>
              <w:jc w:val="left"/>
              <w:rPr/>
            </w:pPr>
            <w:r>
              <w:rPr/>
              <w:t>30.0</w:t>
            </w:r>
          </w:p>
        </w:tc>
      </w:tr>
      <w:tr>
        <w:trPr/>
        <w:tc>
          <w:tcPr>
            <w:tcW w:w="5705" w:type="dxa"/>
            <w:tcBorders/>
            <w:shd w:fill="FFFFFF" w:val="clear"/>
            <w:vAlign w:val="center"/>
          </w:tcPr>
          <w:p>
            <w:pPr>
              <w:pStyle w:val="TableContents"/>
              <w:bidi w:val="0"/>
              <w:spacing w:before="0" w:after="283"/>
              <w:jc w:val="left"/>
              <w:rPr/>
            </w:pPr>
            <w:r>
              <w:rPr/>
              <w:t>Issuance of 1,297,600 shares of Company’s Common Stock</w:t>
            </w:r>
          </w:p>
        </w:tc>
        <w:tc>
          <w:tcPr>
            <w:tcW w:w="440" w:type="dxa"/>
            <w:tcBorders/>
            <w:shd w:fill="FFFFFF" w:val="clear"/>
            <w:vAlign w:val="center"/>
          </w:tcPr>
          <w:p>
            <w:pPr>
              <w:pStyle w:val="TableContents"/>
              <w:bidi w:val="0"/>
              <w:spacing w:before="0" w:after="283"/>
              <w:jc w:val="left"/>
              <w:rPr/>
            </w:pPr>
            <w:r>
              <w:rPr/>
              <w:t>31.4</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At the Acquisition Date, in addition to the $30.0 million cash, the Company valued the Company’s common stock, using $24.16 per share, which was the closing price on the day prior to the day that the Company acquired Megatran. Acquisition costs are expected to be $0.8 million and will be recorded in selling, general and administrative ("SG&amp;A") costs. Acquisition costs are of $0.2 million were included in SG&amp;A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allocation of the purchase price based on the estimated fair values of the assets acquired and liabilities assumed and related deferred income taxes in connection with the Acquisition (in millions):</w:t>
      </w:r>
    </w:p>
    <w:p>
      <w:pPr>
        <w:pStyle w:val="TextBody"/>
        <w:bidi w:val="0"/>
        <w:spacing w:before="0" w:after="0"/>
        <w:ind w:left="0" w:right="0" w:firstLine="720"/>
        <w:jc w:val="both"/>
        <w:rPr/>
      </w:pPr>
      <w:r>
        <w:rPr/>
        <w:t> </w:t>
      </w:r>
    </w:p>
    <w:tbl>
      <w:tblPr>
        <w:tblW w:w="3335" w:type="dxa"/>
        <w:jc w:val="left"/>
        <w:tblInd w:w="0" w:type="dxa"/>
        <w:tblLayout w:type="fixed"/>
        <w:tblCellMar>
          <w:top w:w="0" w:type="dxa"/>
          <w:left w:w="0" w:type="dxa"/>
          <w:bottom w:w="0" w:type="dxa"/>
          <w:right w:w="0" w:type="dxa"/>
        </w:tblCellMar>
      </w:tblPr>
      <w:tblGrid>
        <w:gridCol w:w="2690"/>
        <w:gridCol w:w="60"/>
        <w:gridCol w:w="125"/>
        <w:gridCol w:w="380"/>
        <w:gridCol w:w="80"/>
      </w:tblGrid>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8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joint venture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8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tangible assets/(liabilities)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identifiable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fair value of the financial assets acquired includes receivables with a fair value of $16.7 million. The gross amount due is $17.5 million, of which $0.8 million is expected to be uncollectible.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Inventory includes a $0.7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Backlog of $0.7 million was evaluated using the multi period excess earnings method under the income approach. The contracts with customers do </w:t>
      </w:r>
      <w:r>
        <w:rPr>
          <w:rStyle w:val="Emphasis"/>
          <w:rFonts w:ascii="Times New Roman;Times;serif" w:hAnsi="Times New Roman;Times;serif"/>
          <w:sz w:val="20"/>
        </w:rPr>
        <w:t>not</w:t>
      </w:r>
      <w:r>
        <w:rPr>
          <w:rFonts w:ascii="Times New Roman;Times;serif" w:hAnsi="Times New Roman;Times;serif"/>
          <w:sz w:val="20"/>
        </w:rPr>
        <w:t xml:space="preserve"> provide for any guarantees to source all future requirements from the Company. The amortization method being utilized is economic consumption estimated over a two-year period with the expense being allocated to cost of revenues.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Customer relationships of $1.3 million relates to customers currently under contract and was determined based on a multi period excess earnings method under the income approach. The method of amortization being utilized is the economic consumption over 10 years with the expense being allocated to SG&amp;A.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Goodwill represents the value associated with the acquired workforce and expected synergies related to the business combination of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companies. Goodwill resulting from the Acquisition was assigned to the Company’s Grid segment. Goodwill recognized in the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tax purposes. This purchase price allocation is preliminary and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finalized as the analysis on the assets and liabilities acquired, primarily the tax related liability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require further adjustments to our purchase accounting that could result in a measurement period adjustment that would impact the Company's reported net assets and goodwill as of </w:t>
      </w:r>
      <w:r>
        <w:rPr>
          <w:rStyle w:val="Emphasis"/>
          <w:rFonts w:ascii="Times New Roman" w:hAnsi="Times New Roman"/>
          <w:caps w:val="false"/>
          <w:smallCaps w:val="false"/>
          <w:sz w:val="20"/>
        </w:rPr>
        <w:t xml:space="preserve">August 1, 2024. </w:t>
      </w:r>
      <w:r>
        <w:rPr>
          <w:rFonts w:ascii="Times New Roman" w:hAnsi="Times New Roman"/>
          <w:caps w:val="false"/>
          <w:smallCaps w:val="false"/>
          <w:sz w:val="20"/>
        </w:rPr>
        <w:t xml:space="preserve">Material changes, if any, to the preliminary allocation summarized above will be reported once the related uncertainties are resolved, but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later than </w:t>
      </w:r>
      <w:r>
        <w:rPr>
          <w:rStyle w:val="Emphasis"/>
          <w:rFonts w:ascii="Times New Roman" w:hAnsi="Times New Roman"/>
          <w:caps w:val="false"/>
          <w:smallCaps w:val="false"/>
          <w:sz w:val="20"/>
        </w:rPr>
        <w:t xml:space="preserve">August 1, 2025. </w:t>
      </w:r>
      <w:r>
        <w:rPr>
          <w:rFonts w:ascii="Times New Roman" w:hAnsi="Times New Roman"/>
          <w:caps w:val="false"/>
          <w:smallCaps w:val="false"/>
          <w:sz w:val="20"/>
        </w:rPr>
        <w:t>The $6.5 million of deferred tax liability is primarily related to property plant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Unaudited Pro Forma Operating Results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unaudited pro forma condensed consolidated statement of operations for the year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2024 </w:t>
      </w:r>
      <w:r>
        <w:rPr>
          <w:rFonts w:ascii="Times New Roman" w:hAnsi="Times New Roman"/>
          <w:caps w:val="false"/>
          <w:smallCaps w:val="false"/>
          <w:sz w:val="20"/>
        </w:rPr>
        <w:t xml:space="preserve">is presented as if the Acquisition had occurred on </w:t>
      </w:r>
      <w:r>
        <w:rPr>
          <w:rStyle w:val="Emphasis"/>
          <w:rFonts w:ascii="Times New Roman" w:hAnsi="Times New Roman"/>
          <w:caps w:val="false"/>
          <w:smallCaps w:val="false"/>
          <w:sz w:val="20"/>
        </w:rPr>
        <w:t xml:space="preserve">April 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respectively.</w:t>
      </w:r>
    </w:p>
    <w:p>
      <w:pPr>
        <w:pStyle w:val="TextBody"/>
        <w:bidi w:val="0"/>
        <w:spacing w:before="0" w:after="0"/>
        <w:ind w:left="160" w:right="0" w:hanging="0"/>
        <w:jc w:val="center"/>
        <w:rPr>
          <w:caps w:val="false"/>
          <w:smallCaps w:val="false"/>
        </w:rPr>
      </w:pPr>
      <w:r>
        <w:rPr>
          <w:caps w:val="false"/>
          <w:smallCaps w:val="false"/>
        </w:rPr>
        <w:t> </w:t>
      </w:r>
    </w:p>
    <w:tbl>
      <w:tblPr>
        <w:tblW w:w="6788" w:type="dxa"/>
        <w:jc w:val="left"/>
        <w:tblInd w:w="0" w:type="dxa"/>
        <w:tblLayout w:type="fixed"/>
        <w:tblCellMar>
          <w:top w:w="0" w:type="dxa"/>
          <w:left w:w="0" w:type="dxa"/>
          <w:bottom w:w="0" w:type="dxa"/>
          <w:right w:w="0" w:type="dxa"/>
        </w:tblCellMar>
      </w:tblPr>
      <w:tblGrid>
        <w:gridCol w:w="2180"/>
        <w:gridCol w:w="60"/>
        <w:gridCol w:w="425"/>
        <w:gridCol w:w="2009"/>
        <w:gridCol w:w="80"/>
        <w:gridCol w:w="60"/>
        <w:gridCol w:w="288"/>
        <w:gridCol w:w="1606"/>
        <w:gridCol w:w="80"/>
      </w:tblGrid>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March 31,</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217,954</w:t>
            </w:r>
          </w:p>
        </w:tc>
        <w:tc>
          <w:tcPr>
            <w:tcW w:w="8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0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0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ind w:left="0" w:right="0" w:hanging="0"/>
              <w:jc w:val="left"/>
              <w:rPr/>
            </w:pPr>
            <w:r>
              <w:rPr/>
              <w:t> </w:t>
            </w:r>
          </w:p>
        </w:tc>
        <w:tc>
          <w:tcPr>
            <w:tcW w:w="2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31,123</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ind w:left="0" w:right="0" w:hanging="0"/>
              <w:jc w:val="left"/>
              <w:rPr/>
            </w:pPr>
            <w:r>
              <w:rPr/>
              <w:t> </w:t>
            </w:r>
          </w:p>
        </w:tc>
        <w:tc>
          <w:tcPr>
            <w:tcW w:w="2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31,123</w:t>
            </w:r>
          </w:p>
        </w:tc>
        <w:tc>
          <w:tcPr>
            <w:tcW w:w="8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pro forma amounts include the historical operating results of the Company and Megatran with appropriate adjustments that give effect to acquisition related costs, income taxes, intangible amortization resulting from the Acquisition and certain conforming accounting policies of the Company.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that would have occurred if the Acquisition and related transactions had been completed at the beginning of the applicable periods presented. In addition,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operating results in future periods.</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lineRule="auto" w:line="420" w:before="0" w:after="0"/>
        <w:ind w:left="0" w:right="0" w:hanging="0"/>
        <w:jc w:val="center"/>
        <w:rPr>
          <w:rFonts w:ascii="Times New Roman;Times;serif" w:hAnsi="Times New Roman;Times;serif"/>
          <w:b/>
          <w:sz w:val="20"/>
        </w:rPr>
      </w:pPr>
      <w:bookmarkStart w:id="5" w:name="mdna"/>
      <w:bookmarkEnd w:id="5"/>
      <w:r>
        <w:rPr>
          <w:rFonts w:ascii="Times New Roman;Times;serif" w:hAnsi="Times New Roman;Times;serif"/>
          <w:b/>
          <w:sz w:val="20"/>
        </w:rPr>
        <w:t>AMERICAN SUPERCONDUCTOR CORPORATION</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94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rPr/>
      </w:pPr>
      <w:r>
        <w:rPr/>
        <w:t> </w:t>
      </w:r>
    </w:p>
    <w:p>
      <w:pPr>
        <w:pStyle w:val="TextBody"/>
        <w:bidi w:val="0"/>
        <w:jc w:val="both"/>
        <w:rPr>
          <w:sz w:val="20"/>
        </w:rPr>
      </w:pPr>
      <w:r>
        <w:rPr>
          <w:i/>
          <w:sz w:val="20"/>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prospective results of operations or financial position, the benefits of our acquisitions of Northeast Power Systems, Inc. ("NEPSI") and Neeltran, Inc. ("Neeltran"), contingent payments related to the NEPSI acquisition, changes in macroeconomic and market conditions, including increasing inflation and impacts from sourcing, production disruption, material delays and global supply chain disruptions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Our technology and products could infringe intellectual property rights of others, which may require costly litigation and, if we are not successful, could cause us to pay substantial damages and disrupt our business; Changes in exchange rates could adversely affect our results of operations; We may be required to issue performance bonds or provide letters of credit, which restricts our ability to access any cash used as collateral for the bonds or letters of credit;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Changes in U.S. government defense spending could negatively impact our financial position, results of operations, liquidity and overall business; Pandemics, epidemics or other public health crises may adversely impact our business, financial condition and results of operations; We rely upon third-party suppliers for the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 Our success is dependent upon attracting and retaining qualified personnel and our inability to do so could significantly damage our business and prospects;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or any critical third parties' information technology infrastructure and networks; We may acquire additional complementary businesses or technologies, which may require us to incur substantial costs for which we may never realize the anticipated benefits;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or third parties on whom we depend may be adversely affected by natural disasters, including events resulting from climate change, and our business continuity and disaster recovery plans may not adequately protect us or our value chain from such events; Adverse changes in domestic and global economic conditions could adversely affect our operating results; Our international operations are subject to risks that we do not face in the United States, which could have an adverse effect on our operating results; Our products face competition, which could limit our ability to acquire or retain customers;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success depends upon the commercial adoption of the REG system, which is currently limited, and a widespread commercial market for our products may not develop; Industry consolidation could result in more powerful competitors and fewer customers; Increasing focus and scrutiny on environmental sustainability and social initiatives could increase our costs, and inaction could harm our reputation and adversely impact our financial results; Growth of the wind energy market depends largely on the availability and size of government subsidies, economic incentives and legislative programs designed to support the growth of wind energy: Lower prices for other energy sources may reduce the demand for wind energy development, which could have a material adverse effect on our ability to grow our Wind business; We may be unable to adequately prevent disclosure of trade secrets and other proprietary information; Our patents may not provide meaningful or long-term protection for our technology, which could result in us losing some or all of our market position;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Third parties have or may acquire patents that cover the materials, processes and technologies we use or may use in the future to manufacture our Amperium products, and our success depends on our ability to license such patents or other proprietary rights; Our common stock has experienced, and may continue to experience, market price and volume fluctuations, which may prevent our stockholders from selling our common stock at a profit and could lead to costly litigation against us that could divert our management’s attention; Unfavorable results of legal proceedings could have a material adverse effect on our business, operating results and financial condition; and the other important factors discussed under the caption "Risk Factors" in Part 1. Item 1A of our Form 10-K for the fiscal year ended March 31, 2024,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   </w:t>
      </w:r>
      <w:r>
        <w:rPr>
          <w:sz w:val="20"/>
        </w:rPr>
        <w:t xml:space="preserve"> </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American Superconductor®, Amperium®, AMSC®, D-VAR®, PowerModule™, D-VAR VVO</w:t>
      </w:r>
      <w:r>
        <w:rPr>
          <w:rFonts w:ascii="Times New Roman;Times;serif" w:hAnsi="Times New Roman;Times;serif"/>
          <w:i/>
          <w:sz w:val="20"/>
        </w:rPr>
        <w:t xml:space="preserve">®, </w:t>
      </w:r>
      <w:r>
        <w:rPr>
          <w:rFonts w:ascii="Times New Roman;Times;serif" w:hAnsi="Times New Roman;Times;serif"/>
          <w:sz w:val="20"/>
        </w:rPr>
        <w:t>PQ-IVR®, SeaTitan®, Gridtec™ Solutions, Windtec™ Solutions, Smarter, Cleaner...Better Energy™, orchestrate the rhythm and harmony of power on the grid™, actiVAR®, armorVAR™, NEPSI™ and Neeltran™ and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Executive Overview</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needs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  </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manufacture products using two proprietary core technologies: PowerModule™ programmable power electronic converters and our Amperium® high temperature superconductor ("HTS") wires. These technologies and our system-level solutions are protected by a robust intellectual property portfolio consisting of patents and patent applications worldwide and rights through exclusive and non-exclusive licenses.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operate our business under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Grid.</w:t>
            </w:r>
            <w:r>
              <w:rPr>
                <w:rFonts w:ascii="Times New Roman" w:hAnsi="Times New Roman"/>
                <w:sz w:val="20"/>
              </w:rPr>
              <w:t> Through our Gridtec™ Solutions, our Grid business segment enables electric utilities, industrial facilities, and renewable energy project 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tc>
      </w:tr>
    </w:tbl>
    <w:p>
      <w:pPr>
        <w:pStyle w:val="TextBody"/>
        <w:bidi w:val="0"/>
        <w:spacing w:before="40" w:after="40"/>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Wind.</w:t>
            </w:r>
            <w:r>
              <w:rPr>
                <w:rFonts w:ascii="Times New Roman" w:hAnsi="Times New Roman"/>
                <w:sz w:val="20"/>
              </w:rPr>
              <w:t> Through our Windtec™ Solutions, our Wind business segment enables manufacturers to field wind turbines with exceptional 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fiscal year begins on April 1 and ends on March 31. When we refer to a particular fiscal year, we are referring to the fiscal year that began on April 1 of that same year. For example, fiscal 2024 refers to the fiscal year that began on April 1, 2024. Other fiscal years follow similarly.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experience some inflationary pressure in our supply chain and some delays in sourcing materials needed for our products, resulting in some production disruption, both of which have increased our cost of revenues and decreased gross margin.  While the impact of inflation has been challenging, we continue to take actions to limit this pressure including adjusting the pricing of our products and services. Changes in macroeconomic conditions arising from various reasons, such as the ongoing wars between Russia and Ukraine and Israel and Hamas, inflation, rising interest rates, labor force availability, sourcing, material delays and global supply chain disruptions, could have a material adverse effect on the Company’s business, financial condition and results of operation.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2023, we completed the process of determining and verifying our eligibility and amount of payroll tax credits known as the Employee Retention Credit (“ERC”) under the CARES Act which Congress enacted as part of the Taxpayer Certainty and Disaster Tax Relief Act of 2020. This resulted in filing certain amended payroll tax forms for eligible quarters in 2020 and 2021, which, in the aggregate, totaled $3.3 million. We recognized a receivable in prepaid expenses and other current assets and a benefit to cost of revenues and operating expenses in the quarter ended March 31, 2023. In the year ended March 31, 2024, the Company received $3.0 million in payments for the initial claims that were processed. The remaining balance is expected to be paid during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 2024, we completed an offering of 6,210,000 shares of our common stock at a public offering price of $11.25 per share under our then-existing Registration Statement on Form S-3. We received net proceeds of approximately $65.2 million after deducting underwriting discounts and commissions and offering expenses.  See Note 1, “Nature of the Business and Operations and Liquidity,” for further information about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 2024, we entered into a Stock Purchase Agreement (the “Stock Purchase Agreement”) with the selling stockholders named therein.  Pursuant to the terms of the Stock Purchase Agreement and concurrently with entering into such agreement, the Company acquired all of the issued and outstanding shares of Megatran, for aggregate consideration in an amount equal to $61,350,000 (the “</w:t>
      </w:r>
      <w:r>
        <w:rPr>
          <w:rFonts w:ascii="Times New Roman" w:hAnsi="Times New Roman"/>
          <w:caps w:val="false"/>
          <w:smallCaps w:val="false"/>
          <w:sz w:val="20"/>
          <w:u w:val="single"/>
        </w:rPr>
        <w:t>Purchase Price</w:t>
      </w:r>
      <w:r>
        <w:rPr>
          <w:rFonts w:ascii="Times New Roman" w:hAnsi="Times New Roman"/>
          <w:caps w:val="false"/>
          <w:smallCaps w:val="false"/>
          <w:sz w:val="20"/>
        </w:rPr>
        <w:t>”).  The Megatran purchase price was $30.0 million in cash on hand, and 1,297,600 restricted shares of our common stock.  Megatran is a U.S.-based global provider of engineered power conversion solutions for demanding industrial and military applications.  As a result of this transaction, Megatran became a wholly-owned subsidiary and will be operated by our Grid business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Certain prior period amounts were reclassified to conform to the presentation in the current period. There were no significant changes in the critical accounting policies that were disclosed in our Annual Report on Form 10-K for the fiscal year ended March 31,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Three months ended </w:t>
      </w:r>
      <w:r>
        <w:rPr>
          <w:rFonts w:ascii="Times New Roman;Times;serif" w:hAnsi="Times New Roman;Times;serif"/>
          <w:b/>
          <w:i/>
          <w:sz w:val="20"/>
          <w:shd w:fill="FFFFFF" w:val="clear"/>
        </w:rPr>
        <w:t>June 30, 2024</w:t>
      </w:r>
      <w:r>
        <w:rPr>
          <w:rFonts w:ascii="Times New Roman;Times;serif" w:hAnsi="Times New Roman;Times;serif"/>
          <w:b/>
          <w:i/>
          <w:sz w:val="20"/>
        </w:rPr>
        <w:t>, compared to the three months ended June 30, 2023</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revenues increased 33% to $40.3 million for the three months ended June 30, 2024, compared $30.3 million for the three months ended June 30, 2023. Our revenues are summarized as follows (in thousands):</w:t>
      </w:r>
    </w:p>
    <w:p>
      <w:pPr>
        <w:pStyle w:val="TextBody"/>
        <w:bidi w:val="0"/>
        <w:spacing w:before="0" w:after="0"/>
        <w:ind w:left="0" w:right="0" w:firstLine="720"/>
        <w:jc w:val="both"/>
        <w:rPr/>
      </w:pPr>
      <w:r>
        <w:rPr/>
        <w:t> </w:t>
      </w:r>
    </w:p>
    <w:tbl>
      <w:tblPr>
        <w:tblW w:w="3531" w:type="dxa"/>
        <w:jc w:val="left"/>
        <w:tblInd w:w="0" w:type="dxa"/>
        <w:tblLayout w:type="fixed"/>
        <w:tblCellMar>
          <w:top w:w="0" w:type="dxa"/>
          <w:left w:w="0" w:type="dxa"/>
          <w:bottom w:w="0" w:type="dxa"/>
          <w:right w:w="0" w:type="dxa"/>
        </w:tblCellMar>
      </w:tblPr>
      <w:tblGrid>
        <w:gridCol w:w="875"/>
        <w:gridCol w:w="60"/>
        <w:gridCol w:w="204"/>
        <w:gridCol w:w="966"/>
        <w:gridCol w:w="98"/>
        <w:gridCol w:w="98"/>
        <w:gridCol w:w="204"/>
        <w:gridCol w:w="966"/>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25,737</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40,290</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30,254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Grid business unit accounted for 80% of total revenues for the three months ended June 30, 2024, compared to 85% for the three months ended June 30, 2023. Our Grid business unit revenues increased 26% to $32.3 million in the three months ended June 30, 2024, from $25.7 million in the three months ended June 30, 2023. The increase in the Grid business unit revenues in the three months ended June 30, 2024, compared to the three months ended June 30, 2023 was primarily driven by increased shipments of new energy power systems than in the prior year period.</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Wind business unit accounted for 20% of total revenues for the three months ended June 30, 2024, compared to 15% for the three months ended June 30, 2023. Revenues in the Wind business unit increased 76% to $8.0 million in the three months ended June 30, 2024, from $4.5 million in the three months ended June 30, 2023. The increase during the three months ended June 30, 2024, compared to the three months ended June 30, 2023, was driven by additional shipments of electrical control systems ("ECS") at increased prices. </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Revenues and Gross Margin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Cost of revenues increased by 17% to $28.1 millio</w:t>
      </w:r>
      <w:r>
        <w:rPr>
          <w:rFonts w:ascii="Times New Roman;Times;serif" w:hAnsi="Times New Roman;Times;serif"/>
          <w:sz w:val="20"/>
          <w:shd w:fill="FFFFFF" w:val="clear"/>
        </w:rPr>
        <w:t xml:space="preserve">n for the three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compared to $24.0 million for the three months ended </w:t>
      </w:r>
      <w:r>
        <w:rPr>
          <w:rFonts w:ascii="Times New Roman;Times;serif" w:hAnsi="Times New Roman;Times;serif"/>
          <w:sz w:val="20"/>
        </w:rPr>
        <w:t xml:space="preserve">June 30, 2023. </w:t>
      </w:r>
      <w:r>
        <w:rPr>
          <w:rFonts w:ascii="Times New Roman;Times;serif" w:hAnsi="Times New Roman;Times;serif"/>
          <w:sz w:val="20"/>
          <w:shd w:fill="FFFFFF" w:val="clear"/>
        </w:rPr>
        <w:t>Gross margin was </w:t>
      </w:r>
      <w:r>
        <w:rPr>
          <w:rFonts w:ascii="Times New Roman;Times;serif" w:hAnsi="Times New Roman;Times;serif"/>
          <w:sz w:val="20"/>
        </w:rPr>
        <w:t>30%</w:t>
      </w:r>
      <w:r>
        <w:rPr>
          <w:rFonts w:ascii="Times New Roman;Times;serif" w:hAnsi="Times New Roman;Times;serif"/>
          <w:sz w:val="20"/>
          <w:shd w:fill="FFFFFF" w:val="clear"/>
        </w:rPr>
        <w:t>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r>
        <w:rPr>
          <w:rFonts w:ascii="Times New Roman;Times;serif" w:hAnsi="Times New Roman;Times;serif"/>
          <w:sz w:val="20"/>
          <w:shd w:fill="FFFFFF" w:val="clear"/>
        </w:rPr>
        <w:t>, compared to 21%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2023</w:t>
      </w:r>
      <w:r>
        <w:rPr>
          <w:rFonts w:ascii="Times New Roman;Times;serif" w:hAnsi="Times New Roman;Times;serif"/>
          <w:sz w:val="20"/>
          <w:shd w:fill="FFFFFF" w:val="clear"/>
        </w:rPr>
        <w:t>. </w:t>
      </w:r>
      <w:r>
        <w:rPr>
          <w:rFonts w:ascii="Times New Roman;Times;serif" w:hAnsi="Times New Roman;Times;serif"/>
          <w:sz w:val="20"/>
        </w:rPr>
        <w:t>The increase in gross margin in the three months ended June 30, 2024 was due to higher revenues, a more favorable product mix and favorable impacts across the business due to pricing increases across our product lines.</w:t>
      </w:r>
    </w:p>
    <w:p>
      <w:pPr>
        <w:pStyle w:val="TextBody"/>
        <w:bidi w:val="0"/>
        <w:spacing w:before="0" w:after="0"/>
        <w:ind w:left="0" w:right="0" w:firstLine="555"/>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Research and development ("R&amp;D") expenses increased 23% in the three months ended</w:t>
      </w:r>
      <w:r>
        <w:rPr>
          <w:rFonts w:ascii="Times New Roman" w:hAnsi="Times New Roman"/>
          <w:caps w:val="false"/>
          <w:smallCaps w:val="false"/>
          <w:sz w:val="20"/>
        </w:rPr>
        <w:t> June 30, 2024</w:t>
      </w:r>
      <w:r>
        <w:rPr>
          <w:rFonts w:ascii="Times New Roman" w:hAnsi="Times New Roman"/>
          <w:caps w:val="false"/>
          <w:smallCaps w:val="false"/>
          <w:sz w:val="20"/>
          <w:shd w:fill="FFFFFF" w:val="clear"/>
        </w:rPr>
        <w:t> to $2.3 million from $1.9 million in the three months ended</w:t>
      </w:r>
      <w:r>
        <w:rPr>
          <w:rFonts w:ascii="Times New Roman" w:hAnsi="Times New Roman"/>
          <w:caps w:val="false"/>
          <w:smallCaps w:val="false"/>
          <w:sz w:val="20"/>
        </w:rPr>
        <w:t xml:space="preserve"> June 30, 2023</w:t>
      </w:r>
      <w:r>
        <w:rPr>
          <w:rFonts w:ascii="Times New Roman" w:hAnsi="Times New Roman"/>
          <w:caps w:val="false"/>
          <w:smallCaps w:val="false"/>
          <w:sz w:val="20"/>
          <w:shd w:fill="FFFFFF" w:val="clear"/>
        </w:rPr>
        <w:t>.</w:t>
      </w:r>
      <w:r>
        <w:rPr>
          <w:rFonts w:ascii="Times New Roman" w:hAnsi="Times New Roman"/>
          <w:caps w:val="false"/>
          <w:smallCaps w:val="false"/>
          <w:sz w:val="20"/>
        </w:rPr>
        <w:t> </w:t>
      </w:r>
      <w:r>
        <w:rPr>
          <w:rFonts w:ascii="Times New Roman" w:hAnsi="Times New Roman"/>
          <w:caps w:val="false"/>
          <w:smallCaps w:val="false"/>
          <w:sz w:val="20"/>
          <w:shd w:fill="FFFFFF" w:val="clear"/>
        </w:rPr>
        <w:t>The increase was driven </w:t>
      </w:r>
      <w:r>
        <w:rPr>
          <w:rFonts w:ascii="Times New Roman" w:hAnsi="Times New Roman"/>
          <w:caps w:val="false"/>
          <w:smallCaps w:val="false"/>
          <w:sz w:val="20"/>
        </w:rPr>
        <w:t>primarily by higher overall compensation expense and additional supplies and materials.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Selling, general, and administrative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Selling, general and administrative ("SG&amp;A") expenses increased </w:t>
      </w:r>
      <w:r>
        <w:rPr>
          <w:rFonts w:ascii="Times New Roman;Times;serif" w:hAnsi="Times New Roman;Times;serif"/>
          <w:sz w:val="20"/>
        </w:rPr>
        <w:t>13%</w:t>
      </w:r>
      <w:r>
        <w:rPr>
          <w:rFonts w:ascii="Times New Roman;Times;serif" w:hAnsi="Times New Roman;Times;serif"/>
          <w:sz w:val="20"/>
          <w:shd w:fill="FFFFFF" w:val="clear"/>
        </w:rPr>
        <w:t xml:space="preserve"> in the three months ended </w:t>
      </w:r>
      <w:r>
        <w:rPr>
          <w:rFonts w:ascii="Times New Roman;Times;serif" w:hAnsi="Times New Roman;Times;serif"/>
          <w:sz w:val="20"/>
        </w:rPr>
        <w:t>June 30, 2024</w:t>
      </w:r>
      <w:r>
        <w:rPr>
          <w:rFonts w:ascii="Times New Roman;Times;serif" w:hAnsi="Times New Roman;Times;serif"/>
          <w:sz w:val="20"/>
          <w:shd w:fill="FFFFFF" w:val="clear"/>
        </w:rPr>
        <w:t> to $</w:t>
      </w:r>
      <w:r>
        <w:rPr>
          <w:rFonts w:ascii="Times New Roman;Times;serif" w:hAnsi="Times New Roman;Times;serif"/>
          <w:sz w:val="20"/>
        </w:rPr>
        <w:t>8.9</w:t>
      </w:r>
      <w:r>
        <w:rPr>
          <w:rFonts w:ascii="Times New Roman;Times;serif" w:hAnsi="Times New Roman;Times;serif"/>
          <w:sz w:val="20"/>
          <w:shd w:fill="FFFFFF" w:val="clear"/>
        </w:rPr>
        <w:t xml:space="preserve"> million from $7.9 million in the three months ended </w:t>
      </w:r>
      <w:r>
        <w:rPr>
          <w:rFonts w:ascii="Times New Roman;Times;serif" w:hAnsi="Times New Roman;Times;serif"/>
          <w:sz w:val="20"/>
        </w:rPr>
        <w:t>June 30, 2023</w:t>
      </w:r>
      <w:r>
        <w:rPr>
          <w:rFonts w:ascii="Times New Roman;Times;serif" w:hAnsi="Times New Roman;Times;serif"/>
          <w:sz w:val="20"/>
          <w:shd w:fill="FFFFFF" w:val="clear"/>
        </w:rPr>
        <w:t>. </w:t>
      </w:r>
      <w:r>
        <w:rPr>
          <w:rFonts w:ascii="Times New Roman;Times;serif" w:hAnsi="Times New Roman;Times;serif"/>
          <w:sz w:val="20"/>
        </w:rPr>
        <w:t> The increase in SG&amp;A expense in the three months ended June 30, 2024, was due to higher overall compensation expense and higher outside services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Amortization of acquisition related intangibles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recorded amortization expense related to our core technology and know-how, customer relationships, and other intangible assets of $</w:t>
      </w:r>
      <w:r>
        <w:rPr>
          <w:rFonts w:ascii="Times New Roman;Times;serif" w:hAnsi="Times New Roman;Times;serif"/>
          <w:sz w:val="20"/>
        </w:rPr>
        <w:t>0.4</w:t>
      </w:r>
      <w:r>
        <w:rPr>
          <w:rFonts w:ascii="Times New Roman;Times;serif" w:hAnsi="Times New Roman;Times;serif"/>
          <w:sz w:val="20"/>
          <w:shd w:fill="FFFFFF" w:val="clear"/>
        </w:rPr>
        <w:t xml:space="preserve"> million in the three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and $0.5 million in the three months ended </w:t>
      </w:r>
      <w:r>
        <w:rPr>
          <w:rFonts w:ascii="Times New Roman;Times;serif" w:hAnsi="Times New Roman;Times;serif"/>
          <w:sz w:val="20"/>
        </w:rPr>
        <w:t>June 30, 2023</w:t>
      </w:r>
      <w:r>
        <w:rPr>
          <w:rFonts w:ascii="Times New Roman;Times;serif" w:hAnsi="Times New Roman;Times;serif"/>
          <w:sz w:val="20"/>
          <w:shd w:fill="FFFFFF" w:val="clear"/>
        </w:rPr>
        <w:t>. </w:t>
      </w:r>
      <w:r>
        <w:rPr>
          <w:rFonts w:ascii="Times New Roman;Times;serif" w:hAnsi="Times New Roman;Times;serif"/>
          <w:sz w:val="20"/>
        </w:rPr>
        <w:t>The decrease in amortization expense is a result of using the economic consumption method as the basis to amortize the acquired customer relationship intangible assets from NEPSI and Neeltran.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Change in fair value of contingent consideration</w:t>
      </w:r>
    </w:p>
    <w:p>
      <w:pPr>
        <w:pStyle w:val="TextBody"/>
        <w:bidi w:val="0"/>
        <w:spacing w:before="0" w:after="0"/>
        <w:ind w:left="144" w:right="144" w:firstLine="555"/>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The change in fair value of our contingent consideration for the earnout payment on the acquisition of NEPSI resulted in</w:t>
      </w:r>
      <w:r>
        <w:rPr>
          <w:rFonts w:ascii="Times New Roman" w:hAnsi="Times New Roman"/>
          <w:caps w:val="false"/>
          <w:smallCaps w:val="false"/>
          <w:sz w:val="20"/>
        </w:rPr>
        <w:t> losses of $3.9 million and $1.3 million in the three months ended June 30, 2024 and 2023, respectively. The change in the fair value was primarily driven by an increased likelihood of achieving certain revenue targets and an increase in our stock price.</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income (loss)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operating income (loss) is summarized as follows (in thousands):</w:t>
      </w:r>
    </w:p>
    <w:p>
      <w:pPr>
        <w:pStyle w:val="TextBody"/>
        <w:bidi w:val="0"/>
        <w:spacing w:before="0" w:after="0"/>
        <w:ind w:left="0" w:right="0" w:firstLine="720"/>
        <w:jc w:val="both"/>
        <w:rPr/>
      </w:pPr>
      <w:r>
        <w:rPr/>
        <w:t> </w:t>
      </w:r>
    </w:p>
    <w:tbl>
      <w:tblPr>
        <w:tblW w:w="5277" w:type="dxa"/>
        <w:jc w:val="left"/>
        <w:tblInd w:w="0" w:type="dxa"/>
        <w:tblLayout w:type="fixed"/>
        <w:tblCellMar>
          <w:top w:w="0" w:type="dxa"/>
          <w:left w:w="0" w:type="dxa"/>
          <w:bottom w:w="0" w:type="dxa"/>
          <w:right w:w="0" w:type="dxa"/>
        </w:tblCellMar>
      </w:tblPr>
      <w:tblGrid>
        <w:gridCol w:w="2600"/>
        <w:gridCol w:w="60"/>
        <w:gridCol w:w="214"/>
        <w:gridCol w:w="935"/>
        <w:gridCol w:w="137"/>
        <w:gridCol w:w="102"/>
        <w:gridCol w:w="214"/>
        <w:gridCol w:w="935"/>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(5,149</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w:t>
      </w:r>
      <w:r>
        <w:rPr>
          <w:rFonts w:ascii="Times New Roman;Times;serif" w:hAnsi="Times New Roman;Times;serif"/>
          <w:sz w:val="20"/>
          <w:shd w:fill="FFFFFF" w:val="clear"/>
        </w:rPr>
        <w:t>r Grid business segment generated operating income of $</w:t>
      </w:r>
      <w:r>
        <w:rPr>
          <w:rFonts w:ascii="Times New Roman;Times;serif" w:hAnsi="Times New Roman;Times;serif"/>
          <w:sz w:val="20"/>
        </w:rPr>
        <w:t>0.9</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compared to operating losses of $2.0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2023</w:t>
      </w:r>
      <w:r>
        <w:rPr>
          <w:rFonts w:ascii="Times New Roman;Times;serif" w:hAnsi="Times New Roman;Times;serif"/>
          <w:sz w:val="20"/>
          <w:shd w:fill="FFFFFF" w:val="clear"/>
        </w:rPr>
        <w:t>.  The increase in the Grid business unit operating income in the three months ended June 30, 2024 was due to higher revenues and gross margins due to a favorable product mix.</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Our Wind business segment generated operating income of $</w:t>
      </w:r>
      <w:r>
        <w:rPr>
          <w:rFonts w:ascii="Times New Roman;Times;serif" w:hAnsi="Times New Roman;Times;serif"/>
          <w:sz w:val="20"/>
        </w:rPr>
        <w:t>1.0</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compared to operating losses of $0.6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2023</w:t>
      </w:r>
      <w:r>
        <w:rPr>
          <w:rFonts w:ascii="Times New Roman;Times;serif" w:hAnsi="Times New Roman;Times;serif"/>
          <w:sz w:val="20"/>
          <w:shd w:fill="FFFFFF" w:val="clear"/>
        </w:rPr>
        <w:t>. The improvement in the Wind business unit operating income in the three months ended June 30, 2024 was due to higher revenues and gross margins from increased sales of ECS units.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Unallocated corporate expenses included </w:t>
      </w:r>
      <w:r>
        <w:rPr>
          <w:rFonts w:ascii="Times New Roman;Times;serif" w:hAnsi="Times New Roman;Times;serif"/>
          <w:sz w:val="20"/>
        </w:rPr>
        <w:t>net losses on contingent consideration of $3.9 million and $1.3 million in the three months ended June 30, 2024 and 2023, respectively.</w:t>
      </w:r>
      <w:r>
        <w:rPr>
          <w:rFonts w:ascii="Times New Roman;Times;serif" w:hAnsi="Times New Roman;Times;serif"/>
          <w:sz w:val="20"/>
          <w:shd w:fill="FFFFFF" w:val="clear"/>
        </w:rPr>
        <w:t xml:space="preserve"> Additionally, unallocated corporate expenses consisted of stock-based compensation expense of $1.2 million </w:t>
      </w:r>
      <w:r>
        <w:rPr>
          <w:rFonts w:ascii="Times New Roman;Times;serif" w:hAnsi="Times New Roman;Times;serif"/>
          <w:sz w:val="20"/>
        </w:rPr>
        <w:t>and $1.4 million in the three months ended June 30, 2024 and 2023, respectively.</w:t>
      </w:r>
    </w:p>
    <w:p>
      <w:pPr>
        <w:pStyle w:val="TextBody"/>
        <w:bidi w:val="0"/>
        <w:spacing w:before="0" w:after="0"/>
        <w:ind w:left="0" w:right="0" w:firstLine="720"/>
        <w:jc w:val="both"/>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i/>
          <w:sz w:val="20"/>
        </w:rPr>
        <w:t>Interest income, net</w:t>
      </w:r>
      <w:r>
        <w:rPr>
          <w:rFonts w:ascii="Times New Roman;Times;serif" w:hAnsi="Times New Roman;Times;serif"/>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Interest income, net, was $1.1 million in the three months ended June 30, 2024, compared to $0.2 million in the three months ended June 30, 2023. The increase in interest income, net, in the three months ended June 30, 2024 was due to higher cash balances earning higher interest rates.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Other expense, net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Other expense, net, was $0.2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r>
        <w:rPr>
          <w:rFonts w:ascii="Times New Roman;Times;serif" w:hAnsi="Times New Roman;Times;serif"/>
          <w:sz w:val="20"/>
          <w:shd w:fill="FFFFFF" w:val="clear"/>
        </w:rPr>
        <w:t>, compared to $0.1 million in the three months ended June 30, 2023. The increase in other expense, net, during the three months ended June 30, 2024, compared to the three months ended June 30, 2023, was driven by the impacts of unfavorable fluctuations in foreign currencies during the periods.</w:t>
      </w:r>
    </w:p>
    <w:p>
      <w:pPr>
        <w:pStyle w:val="TextBody"/>
        <w:bidi w:val="0"/>
        <w:spacing w:before="0" w:after="0"/>
        <w:ind w:left="0" w:right="0" w:firstLine="720"/>
        <w:jc w:val="both"/>
        <w:rPr/>
      </w:pPr>
      <w:r>
        <w:rPr/>
        <w:t> </w:t>
      </w:r>
    </w:p>
    <w:p>
      <w:pPr>
        <w:pStyle w:val="TextBody"/>
        <w:bidi w:val="0"/>
        <w:spacing w:before="0" w:after="0"/>
        <w:ind w:left="0" w:right="0" w:hanging="0"/>
        <w:jc w:val="both"/>
        <w:rPr>
          <w:shd w:fill="FFFFFF" w:val="clear"/>
        </w:rPr>
      </w:pPr>
      <w:r>
        <w:rPr>
          <w:shd w:fill="FFFFFF" w:val="clear"/>
        </w:rPr>
        <w:t> </w:t>
      </w:r>
      <w:r>
        <w:rPr>
          <w:rFonts w:ascii="Times New Roman;Times;serif" w:hAnsi="Times New Roman;Times;serif"/>
          <w:b/>
          <w:i/>
          <w:sz w:val="20"/>
          <w:shd w:fill="FFFFFF" w:val="clear"/>
        </w:rPr>
        <w:t>Income Taxes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Income tax expense was $0.2 million in the three months ended June 30, 2024. Income tax expense was $0.1 million in the three months ended June 30, 2023.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Net loss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Net loss was $</w:t>
      </w:r>
      <w:r>
        <w:rPr>
          <w:rFonts w:ascii="Times New Roman;Times;serif" w:hAnsi="Times New Roman;Times;serif"/>
          <w:sz w:val="20"/>
        </w:rPr>
        <w:t>2.5</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r>
        <w:rPr>
          <w:rFonts w:ascii="Times New Roman;Times;serif" w:hAnsi="Times New Roman;Times;serif"/>
          <w:sz w:val="20"/>
          <w:shd w:fill="FFFFFF" w:val="clear"/>
        </w:rPr>
        <w:t>, compared to $5.4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2023</w:t>
      </w:r>
      <w:r>
        <w:rPr>
          <w:rFonts w:ascii="Times New Roman;Times;serif" w:hAnsi="Times New Roman;Times;serif"/>
          <w:sz w:val="20"/>
          <w:shd w:fill="FFFFFF" w:val="clear"/>
        </w:rPr>
        <w:t>. The decrease in net loss was driven primarily by the increased revenues and gross margins.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Non-GAAP Financial Measure - Non-GAAP Net Income (Loss)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define non-GAAP net income (loss) as net loss before stock-based compensation, amortization of acquisition-related intangibles, change in fair value of contingent consideration, and other non-cash or unusual charges.  We believe non-GAAP</w:t>
      </w:r>
      <w:r>
        <w:rPr>
          <w:rFonts w:ascii="Times New Roman;Times;serif" w:hAnsi="Times New Roman;Times;serif"/>
          <w:sz w:val="20"/>
        </w:rPr>
        <w:t xml:space="preserve"> net </w:t>
      </w:r>
      <w:r>
        <w:rPr>
          <w:rFonts w:ascii="Times New Roman;Times;serif" w:hAnsi="Times New Roman;Times;serif"/>
          <w:sz w:val="20"/>
          <w:shd w:fill="FFFFFF" w:val="clear"/>
        </w:rPr>
        <w:t>income (loss) </w:t>
      </w:r>
      <w:r>
        <w:rPr>
          <w:rFonts w:ascii="Times New Roman;Times;serif" w:hAnsi="Times New Roman;Times;serif"/>
          <w:sz w:val="20"/>
        </w:rPr>
        <w:t xml:space="preserve">assists management and investors in comparing our performance across reporting periods on a consistent basis by excluding these non-cash charges and other items that we do not believe are indicative of our core operating performance. In addition, we use non-GAAP net </w:t>
      </w:r>
      <w:r>
        <w:rPr>
          <w:rFonts w:ascii="Times New Roman;Times;serif" w:hAnsi="Times New Roman;Times;serif"/>
          <w:sz w:val="20"/>
          <w:shd w:fill="FFFFFF" w:val="clear"/>
        </w:rPr>
        <w:t>income (loss)</w:t>
      </w:r>
      <w:r>
        <w:rPr>
          <w:rFonts w:ascii="Times New Roman;Times;serif" w:hAnsi="Times New Roman;Times;serif"/>
          <w:sz w:val="20"/>
        </w:rPr>
        <w:t xml:space="preserve"> as a factor to evaluate the effectiveness of our business strategies. A reconciliation of GAAP to non-GAAP net </w:t>
      </w:r>
      <w:r>
        <w:rPr>
          <w:rFonts w:ascii="Times New Roman;Times;serif" w:hAnsi="Times New Roman;Times;serif"/>
          <w:sz w:val="20"/>
          <w:shd w:fill="FFFFFF" w:val="clear"/>
        </w:rPr>
        <w:t>income (loss)</w:t>
      </w:r>
      <w:r>
        <w:rPr>
          <w:rFonts w:ascii="Times New Roman;Times;serif" w:hAnsi="Times New Roman;Times;serif"/>
          <w:sz w:val="20"/>
        </w:rPr>
        <w:t xml:space="preserve"> is set forth in the table below (in thousands, except per share data):</w:t>
      </w:r>
    </w:p>
    <w:p>
      <w:pPr>
        <w:pStyle w:val="TextBody"/>
        <w:bidi w:val="0"/>
        <w:spacing w:before="0" w:after="0"/>
        <w:ind w:left="0" w:right="0" w:firstLine="720"/>
        <w:jc w:val="both"/>
        <w:rPr/>
      </w:pPr>
      <w:r>
        <w:rPr/>
        <w:t> </w:t>
      </w:r>
    </w:p>
    <w:tbl>
      <w:tblPr>
        <w:tblW w:w="6643" w:type="dxa"/>
        <w:jc w:val="left"/>
        <w:tblInd w:w="0" w:type="dxa"/>
        <w:tblLayout w:type="fixed"/>
        <w:tblCellMar>
          <w:top w:w="0" w:type="dxa"/>
          <w:left w:w="0" w:type="dxa"/>
          <w:bottom w:w="0" w:type="dxa"/>
          <w:right w:w="0" w:type="dxa"/>
        </w:tblCellMar>
      </w:tblPr>
      <w:tblGrid>
        <w:gridCol w:w="3965"/>
        <w:gridCol w:w="60"/>
        <w:gridCol w:w="202"/>
        <w:gridCol w:w="954"/>
        <w:gridCol w:w="129"/>
        <w:gridCol w:w="97"/>
        <w:gridCol w:w="202"/>
        <w:gridCol w:w="954"/>
        <w:gridCol w:w="80"/>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acquisition-related intangibles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(loss) per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 (loss) per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0.08</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35,676</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28,258</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37,032</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28,258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incurred non-GAAP net income of $3.0 million, or $</w:t>
      </w:r>
      <w:r>
        <w:rPr>
          <w:rFonts w:ascii="Times New Roman;Times;serif" w:hAnsi="Times New Roman;Times;serif"/>
          <w:sz w:val="20"/>
        </w:rPr>
        <w:t>0.09</w:t>
      </w:r>
      <w:r>
        <w:rPr>
          <w:rFonts w:ascii="Times New Roman;Times;serif" w:hAnsi="Times New Roman;Times;serif"/>
          <w:sz w:val="20"/>
          <w:shd w:fill="FFFFFF" w:val="clear"/>
        </w:rPr>
        <w:t> per share,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r>
        <w:rPr>
          <w:rFonts w:ascii="Times New Roman;Times;serif" w:hAnsi="Times New Roman;Times;serif"/>
          <w:sz w:val="20"/>
          <w:shd w:fill="FFFFFF" w:val="clear"/>
        </w:rPr>
        <w:t>, compared to non-GAAP net losses of $2.1 million, or $(0.08) per share,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2023</w:t>
      </w:r>
      <w:r>
        <w:rPr>
          <w:rFonts w:ascii="Times New Roman;Times;serif" w:hAnsi="Times New Roman;Times;serif"/>
          <w:sz w:val="20"/>
          <w:shd w:fill="FFFFFF" w:val="clear"/>
        </w:rPr>
        <w:t>. The improvement in the non-GAAP net income (loss) for the three months ended </w:t>
      </w:r>
      <w:r>
        <w:rPr>
          <w:rFonts w:ascii="Times New Roman;Times;serif" w:hAnsi="Times New Roman;Times;serif"/>
          <w:sz w:val="20"/>
        </w:rPr>
        <w:t>June 30, 2024</w:t>
      </w:r>
      <w:r>
        <w:rPr>
          <w:rFonts w:ascii="Times New Roman;Times;serif" w:hAnsi="Times New Roman;Times;serif"/>
          <w:sz w:val="20"/>
          <w:shd w:fill="FFFFFF" w:val="clear"/>
        </w:rPr>
        <w:t> was due to a lower operating loss driven by higher revenues and gross margins.</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experienced recurring operating losses and, as of </w:t>
      </w:r>
      <w:r>
        <w:rPr>
          <w:rFonts w:ascii="Times New Roman;Times;serif" w:hAnsi="Times New Roman;Times;serif"/>
          <w:sz w:val="20"/>
          <w:shd w:fill="FFFFFF" w:val="clear"/>
        </w:rPr>
        <w:t>June 30, 2024</w:t>
      </w:r>
      <w:r>
        <w:rPr>
          <w:rFonts w:ascii="Times New Roman;Times;serif" w:hAnsi="Times New Roman;Times;serif"/>
          <w:sz w:val="20"/>
        </w:rPr>
        <w:t xml:space="preserve">, had an accumulated deficit of $1,069.2 million. </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cash requirements depend on numerous factors, including the successful completion of our product development activities, our ability to commercialize our Resilient Electric Grid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January 2024, we filed a shelf registration statement on Form S-3 that will expire three years from the date on which it was declared effective, March 15, 2027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February 14, 2024, we completed a public offering of 6,210,000 shares of our common stock at a price of $11.25 per share under our then-existing Registration Statement on Form S-3. We received net proceeds of approximately $65.2 million after deducting underwriting discounts and commissions and offering expenses.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w:t>
      </w:r>
      <w:r>
        <w:rPr>
          <w:rFonts w:ascii="Times New Roman;Times;serif" w:hAnsi="Times New Roman;Times;serif"/>
          <w:sz w:val="20"/>
          <w:shd w:fill="FFFFFF" w:val="clear"/>
        </w:rPr>
        <w:t>June 30, 2024</w:t>
      </w:r>
      <w:r>
        <w:rPr>
          <w:rFonts w:ascii="Times New Roman;Times;serif" w:hAnsi="Times New Roman;Times;serif"/>
          <w:sz w:val="20"/>
        </w:rPr>
        <w:t xml:space="preserve">, we had cash, cash equivalents and restricted cash of $95.5 million, compared to $92.3 million as of March 31, 2024, an increase of $3.2 million. As of </w:t>
      </w:r>
      <w:r>
        <w:rPr>
          <w:rFonts w:ascii="Times New Roman;Times;serif" w:hAnsi="Times New Roman;Times;serif"/>
          <w:sz w:val="20"/>
          <w:shd w:fill="FFFFFF" w:val="clear"/>
        </w:rPr>
        <w:t>June 30, 2024</w:t>
      </w:r>
      <w:r>
        <w:rPr>
          <w:rFonts w:ascii="Times New Roman;Times;serif" w:hAnsi="Times New Roman;Times;serif"/>
          <w:sz w:val="20"/>
        </w:rPr>
        <w:t>, we had $3.2 million in cash, cash equivalents, and restricted cash in foreign bank accounts. Our cash, cash equivalents, and restricted cash are summarized as follows (in thousands):</w:t>
      </w:r>
    </w:p>
    <w:p>
      <w:pPr>
        <w:pStyle w:val="TextBody"/>
        <w:bidi w:val="0"/>
        <w:spacing w:before="0" w:after="0"/>
        <w:ind w:left="0" w:right="0" w:firstLine="555"/>
        <w:jc w:val="both"/>
        <w:rPr/>
      </w:pPr>
      <w:r>
        <w:rPr/>
        <w:t> </w:t>
      </w:r>
    </w:p>
    <w:tbl>
      <w:tblPr>
        <w:tblW w:w="6673" w:type="dxa"/>
        <w:jc w:val="left"/>
        <w:tblInd w:w="0" w:type="dxa"/>
        <w:tblLayout w:type="fixed"/>
        <w:tblCellMar>
          <w:top w:w="0" w:type="dxa"/>
          <w:left w:w="0" w:type="dxa"/>
          <w:bottom w:w="0" w:type="dxa"/>
          <w:right w:w="0" w:type="dxa"/>
        </w:tblCellMar>
      </w:tblPr>
      <w:tblGrid>
        <w:gridCol w:w="3890"/>
        <w:gridCol w:w="60"/>
        <w:gridCol w:w="208"/>
        <w:gridCol w:w="981"/>
        <w:gridCol w:w="60"/>
        <w:gridCol w:w="60"/>
        <w:gridCol w:w="236"/>
        <w:gridCol w:w="1118"/>
        <w:gridCol w:w="60"/>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90,522</w:t>
            </w:r>
          </w:p>
        </w:tc>
        <w:tc>
          <w:tcPr>
            <w:tcW w:w="6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92,280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2024, net cash provided by operating activities was $3.4 million, compared to cash used in operations of $2.2 million for the three months ended June 30, 2023. The increase in cash flows from operating activities in the three months ended June 30, 2024 was due primarily to improvement in net loss, increase in the change in fair value of contingent consideration, and less cash used to settle accounts payable and accrued expenses, slightly offset by cash used for prepaid expenses and other assets.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2024, net cash used in investing activities was less than $0.1 million, compared to $0.3 million for the three months ended June 30, 2023. The decrease in net cash used in investing activities was primarily due to changes in other assets.</w:t>
      </w:r>
    </w:p>
    <w:p>
      <w:pPr>
        <w:pStyle w:val="TextBody"/>
        <w:bidi w:val="0"/>
        <w:spacing w:before="0" w:after="0"/>
        <w:ind w:left="144" w:right="144"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2024, net cash used in financing activities was $0.1 million compared to less than $0.1 million for the three months ended June 30, 2023. The increase was in the repurchase of common stock in connection with employee tax obligations upon the vesting of stock awards.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June 30, 2024, we had $1.6 million of restricted cash included in long-term assets and $0.5 million of restricted cash included in current assets. At March 31, 2024, we had $1.3 million of restricted cash included in long-term assets and $0.5 million of restricted cash in current assets. These amounts included in restricted cash primarily represent collateral deposits to secure surety bonds and letters of credit for various customer contracts. These deposits are held in interest bearing accounts.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June 30, 2024, while others are considered future commitments. We have various contractual arrangements, under which we have committed to purchase certain minimum quantities of goods or services on an annual basis. For information regarding our other contractual obligations, refer to Note 13, "Contingent Consideration," Note 14, "Debt," Note 15, "Leases" and Note 16, "Commitments and Contingencies" to our condensed consolidated financial statements included elsewhere in this Quarterly Report on Form 10-Q.</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we have sufficient available liquidity to fund our operations and capital expenditures for the next twelve months. We recently raised $65.2 million, net of offering expenses, through an equity raise in February 2024. In addition, we may seek to raise additional capital, which could be in the form of loans, convertible debt or equity, to fund our operating requirements and capital expenditures. Our liquidity is highly dependent on our ability to increase revenues, control our operating costs, and raise additional capital, if necessary. There can be no assurance that we will be able to raise additional capital on favorable terms or at all or execute on any other means of improving our liquidity as described above.  Additionally, the impact of global sources of instability, including the ongoing wars between Russia and Ukraine and Israel and Hamas, instability of financial institutions and political instability in the United States, on the global financial markets may reduce our ability to raise additional capital, if necessary, which could negatively impact our liquidity. We also continue to closely monitor our expenses and, if required, we intend to reduce our operating and capital spending to enhance liquidity. </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involved in legal and administrative proceedings and claims of various types. We record a liability in our condensed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condensed consolidated financial statements not misleading. If the loss is not probable or cannot be reasonably estimated, a liability is not recorded in our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The amendments in ASU 2023-07 improve the disclosures about a public entity’s reportable segments and address requests from investors for additional, more detailed information about a reportable segment’s expenses. Following the release of ASU 2023-07 in November 2023, the effective date will be annual reporting periods beginning after December 15, 2024. As of June 30, 2024, we are evaluating the impact on our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As of June 30, 2024, we are evaluating the impact on our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March 2024, the FASB issued ASU 2024-02, </w:t>
      </w:r>
      <w:r>
        <w:rPr>
          <w:rFonts w:ascii="Times New Roman;Times;serif" w:hAnsi="Times New Roman;Times;serif"/>
          <w:i/>
          <w:sz w:val="20"/>
        </w:rPr>
        <w:t>Codification Improvements</w:t>
      </w:r>
      <w:r>
        <w:rPr>
          <w:rFonts w:ascii="Times New Roman;Times;serif" w:hAnsi="Times New Roman;Times;serif"/>
          <w:sz w:val="20"/>
        </w:rPr>
        <w:t>—</w:t>
      </w:r>
      <w:r>
        <w:rPr>
          <w:rFonts w:ascii="Times New Roman;Times;serif" w:hAnsi="Times New Roman;Times;serif"/>
          <w:i/>
          <w:sz w:val="20"/>
        </w:rPr>
        <w:t>Amendments to Remove References to the Concepts Statements</w:t>
      </w:r>
      <w:r>
        <w:rPr>
          <w:rFonts w:ascii="Times New Roman;Times;serif" w:hAnsi="Times New Roman;Times;serif"/>
          <w:sz w:val="20"/>
        </w:rPr>
        <w:t>. The amendments in ASU 2024-02 contain amendments to the Codification that remove references to various FASB Concepts Statements. Following the release of ASU 2024-02 in March 2024, the effective date will be annual reporting periods beginning after December 15, 2024. As of June 30, 2024, we are evaluating the impact on our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believe that, outside of those disclosed here, there are any other recently issued accounting pronouncements that will have a material impact on our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6" w:name="item3"/>
            <w:bookmarkEnd w:id="6"/>
            <w:r>
              <w:rPr>
                <w:rFonts w:ascii="Times New Roman;Times;serif" w:hAnsi="Times New Roman;Times;serif"/>
                <w:b/>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7" w:name="item4"/>
            <w:bookmarkEnd w:id="7"/>
            <w:r>
              <w:rPr>
                <w:rFonts w:ascii="Times New Roman;Times;serif" w:hAnsi="Times New Roman;Times;serif"/>
                <w:b/>
                <w:sz w:val="20"/>
              </w:rPr>
              <w:t>ITEM 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the effectiveness of our disclosure controls and procedures as of </w:t>
      </w:r>
      <w:r>
        <w:rPr>
          <w:rFonts w:ascii="Times New Roman;Times;serif" w:hAnsi="Times New Roman;Times;serif"/>
          <w:sz w:val="20"/>
          <w:shd w:fill="FFFFFF" w:val="clear"/>
        </w:rPr>
        <w:t>June 30, 2024</w:t>
      </w:r>
      <w:r>
        <w:rPr>
          <w:rFonts w:ascii="Times New Roman;Times;serif" w:hAnsi="Times New Roman;Times;serif"/>
          <w:sz w:val="20"/>
        </w:rPr>
        <w:t xml:space="preserve">.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w:t>
      </w:r>
      <w:r>
        <w:rPr>
          <w:rFonts w:ascii="Times New Roman;Times;serif" w:hAnsi="Times New Roman;Times;serif"/>
          <w:sz w:val="20"/>
          <w:shd w:fill="FFFFFF" w:val="clear"/>
        </w:rPr>
        <w:t>June 30, 2024</w:t>
      </w:r>
      <w:r>
        <w:rPr>
          <w:rFonts w:ascii="Times New Roman;Times;serif" w:hAnsi="Times New Roman;Times;serif"/>
          <w:sz w:val="20"/>
        </w:rPr>
        <w:t>, our Chief Executive Officer and Chief Financial Officer concluded that, as of such date, our disclosure controls and procedures were effective at the reasonable assurance level.</w:t>
      </w:r>
    </w:p>
    <w:p>
      <w:pPr>
        <w:pStyle w:val="TextBody"/>
        <w:bidi w:val="0"/>
        <w:spacing w:before="0" w:after="0"/>
        <w:ind w:left="144" w:right="144" w:hanging="0"/>
        <w:jc w:val="both"/>
        <w:rPr/>
      </w:pPr>
      <w:r>
        <w:rPr/>
        <w:t> </w:t>
      </w:r>
    </w:p>
    <w:p>
      <w:pPr>
        <w:pStyle w:val="TextBody"/>
        <w:bidi w:val="0"/>
        <w:spacing w:before="0" w:after="0"/>
        <w:ind w:left="144" w:right="144"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to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8" w:name="partii"/>
      <w:bookmarkEnd w:id="8"/>
      <w:r>
        <w:rPr>
          <w:rFonts w:ascii="Times New Roman;Times;serif" w:hAnsi="Times New Roman;Times;serif"/>
          <w:b/>
          <w:sz w:val="20"/>
        </w:rPr>
        <w:t>PART II—OTHER INFORMATION</w:t>
      </w:r>
    </w:p>
    <w:p>
      <w:pPr>
        <w:pStyle w:val="TextBody"/>
        <w:bidi w:val="0"/>
        <w:spacing w:before="0" w:after="0"/>
        <w:ind w:left="0" w:right="0" w:hanging="0"/>
        <w:jc w:val="center"/>
        <w:rPr/>
      </w:pPr>
      <w:r>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9" w:name="itemone"/>
            <w:bookmarkEnd w:id="9"/>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55"/>
        <w:jc w:val="both"/>
        <w:rPr/>
      </w:pPr>
      <w:r>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0" w:name="item1a"/>
            <w:bookmarkEnd w:id="10"/>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risk factors described in Part I, Item 1A of our Annual Report on Form 10-K for the fiscal year ended March 31, 2024, filed with the SEC on May 29, 2024.</w:t>
      </w:r>
    </w:p>
    <w:p>
      <w:pPr>
        <w:pStyle w:val="TextBody"/>
        <w:bidi w:val="0"/>
        <w:spacing w:before="0" w:after="0"/>
        <w:ind w:left="0" w:right="0" w:firstLine="720"/>
        <w:jc w:val="both"/>
        <w:rPr/>
      </w:pPr>
      <w:r>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unregsales"/>
            <w:bookmarkEnd w:id="11"/>
            <w:r>
              <w:rPr>
                <w:rFonts w:ascii="Times New Roman;Times;serif" w:hAnsi="Times New Roman;Times;serif"/>
                <w:b/>
                <w:sz w:val="20"/>
              </w:rPr>
              <w:t>ITEM 2.</w:t>
            </w:r>
          </w:p>
        </w:tc>
        <w:tc>
          <w:tcPr>
            <w:tcW w:w="68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stock repurchase activity during the three months ended </w:t>
      </w:r>
      <w:r>
        <w:rPr>
          <w:rFonts w:ascii="Times New Roman;Times;serif" w:hAnsi="Times New Roman;Times;serif"/>
          <w:sz w:val="20"/>
          <w:shd w:fill="FFFFFF" w:val="clear"/>
        </w:rPr>
        <w:t>June 30, 2024</w:t>
      </w:r>
      <w:r>
        <w:rPr>
          <w:rFonts w:ascii="Times New Roman;Times;serif" w:hAnsi="Times New Roman;Times;serif"/>
          <w:sz w:val="20"/>
        </w:rPr>
        <w:t xml:space="preserve"> was as follows:</w:t>
      </w:r>
    </w:p>
    <w:p>
      <w:pPr>
        <w:pStyle w:val="TextBody"/>
        <w:bidi w:val="0"/>
        <w:spacing w:before="0" w:after="0"/>
        <w:ind w:left="0" w:right="0" w:firstLine="720"/>
        <w:jc w:val="both"/>
        <w:rPr/>
      </w:pPr>
      <w:r>
        <w:rPr/>
        <w:t> </w:t>
      </w:r>
    </w:p>
    <w:tbl>
      <w:tblPr>
        <w:tblW w:w="8556" w:type="dxa"/>
        <w:jc w:val="left"/>
        <w:tblInd w:w="0" w:type="dxa"/>
        <w:tblLayout w:type="fixed"/>
        <w:tblCellMar>
          <w:top w:w="0" w:type="dxa"/>
          <w:left w:w="0" w:type="dxa"/>
          <w:bottom w:w="28" w:type="dxa"/>
          <w:right w:w="0" w:type="dxa"/>
        </w:tblCellMar>
      </w:tblPr>
      <w:tblGrid>
        <w:gridCol w:w="2435"/>
        <w:gridCol w:w="60"/>
        <w:gridCol w:w="134"/>
        <w:gridCol w:w="1085"/>
        <w:gridCol w:w="60"/>
        <w:gridCol w:w="60"/>
        <w:gridCol w:w="184"/>
        <w:gridCol w:w="720"/>
        <w:gridCol w:w="60"/>
        <w:gridCol w:w="60"/>
        <w:gridCol w:w="294"/>
        <w:gridCol w:w="1285"/>
        <w:gridCol w:w="60"/>
        <w:gridCol w:w="60"/>
        <w:gridCol w:w="969"/>
        <w:gridCol w:w="970"/>
        <w:gridCol w:w="60"/>
      </w:tblGrid>
      <w:tr>
        <w:trPr/>
        <w:tc>
          <w:tcPr>
            <w:tcW w:w="24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Month</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br/>
              <w:t>of Shares</w:t>
              <w:br/>
              <w:t>Purchased(a)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br/>
              <w:t>Price Paid</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w:t>
              <w:br/>
              <w:t>Shares Purchased</w:t>
              <w:br/>
              <w:t>as Part of Publicly</w:t>
              <w:br/>
              <w:t>Announced</w:t>
              <w:br/>
              <w:t>Plans or</w:t>
              <w:br/>
              <w:t>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Approximate</w:t>
              <w:br/>
              <w:t>Dollar Value of Shares</w:t>
              <w:br/>
              <w:t>that May Yet Be</w:t>
              <w:br/>
              <w:t>Purchased under the</w:t>
              <w:br/>
              <w:t>Plans or Programs</w:t>
              <w:br/>
              <w:t>(in millions)</w:t>
            </w:r>
          </w:p>
        </w:tc>
        <w:tc>
          <w:tcPr>
            <w:tcW w:w="60" w:type="dxa"/>
            <w:tcBorders/>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 2024 - April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4" w:type="dxa"/>
            <w:tcBorders/>
            <w:shd w:fill="CCEEFF" w:val="clear"/>
            <w:tcMar>
              <w:bottom w:w="0" w:type="dxa"/>
            </w:tcMar>
            <w:vAlign w:val="center"/>
          </w:tcPr>
          <w:p>
            <w:pPr>
              <w:pStyle w:val="TableContents"/>
              <w:bidi w:val="0"/>
              <w:spacing w:before="0" w:after="283"/>
              <w:jc w:val="center"/>
              <w:rPr/>
            </w:pPr>
            <w:r>
              <w:rPr/>
              <w:t> </w:t>
            </w:r>
          </w:p>
        </w:tc>
        <w:tc>
          <w:tcPr>
            <w:tcW w:w="720"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shd w:fill="CCEEFF" w:val="clear"/>
            <w:tcMar>
              <w:bottom w:w="0" w:type="dxa"/>
            </w:tcMar>
            <w:vAlign w:val="center"/>
          </w:tcPr>
          <w:p>
            <w:pPr>
              <w:pStyle w:val="TableContents"/>
              <w:bidi w:val="0"/>
              <w:spacing w:before="0" w:after="283"/>
              <w:jc w:val="center"/>
              <w:rPr/>
            </w:pPr>
            <w:r>
              <w:rPr/>
              <w:t> </w:t>
            </w:r>
          </w:p>
        </w:tc>
        <w:tc>
          <w:tcPr>
            <w:tcW w:w="1285"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 2024 - May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4" w:type="dxa"/>
            <w:tcBorders/>
            <w:shd w:fill="FFFFFF" w:val="clear"/>
            <w:tcMar>
              <w:bottom w:w="0" w:type="dxa"/>
            </w:tcMar>
            <w:vAlign w:val="center"/>
          </w:tcPr>
          <w:p>
            <w:pPr>
              <w:pStyle w:val="TableContents"/>
              <w:bidi w:val="0"/>
              <w:spacing w:before="0" w:after="283"/>
              <w:jc w:val="center"/>
              <w:rPr/>
            </w:pPr>
            <w:r>
              <w:rPr/>
              <w:t> </w:t>
            </w:r>
          </w:p>
        </w:tc>
        <w:tc>
          <w:tcPr>
            <w:tcW w:w="720"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shd w:fill="FFFFFF" w:val="clear"/>
            <w:tcMar>
              <w:bottom w:w="0" w:type="dxa"/>
            </w:tcMar>
            <w:vAlign w:val="center"/>
          </w:tcPr>
          <w:p>
            <w:pPr>
              <w:pStyle w:val="TableContents"/>
              <w:bidi w:val="0"/>
              <w:spacing w:before="0" w:after="283"/>
              <w:jc w:val="center"/>
              <w:rPr/>
            </w:pPr>
            <w:r>
              <w:rPr/>
              <w:t> </w:t>
            </w:r>
          </w:p>
        </w:tc>
        <w:tc>
          <w:tcPr>
            <w:tcW w:w="1285"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2024 - June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bottom w:val="single" w:sz="2" w:space="0" w:color="000000"/>
            </w:tcBorders>
            <w:shd w:fill="CCEEFF" w:val="clear"/>
            <w:vAlign w:val="center"/>
          </w:tcPr>
          <w:p>
            <w:pPr>
              <w:pStyle w:val="TableContents"/>
              <w:bidi w:val="0"/>
              <w:spacing w:before="0" w:after="283"/>
              <w:jc w:val="left"/>
              <w:rPr/>
            </w:pPr>
            <w:r>
              <w:rPr/>
              <w:t> </w:t>
            </w:r>
          </w:p>
        </w:tc>
        <w:tc>
          <w:tcPr>
            <w:tcW w:w="1085"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5,720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4" w:type="dxa"/>
            <w:tcBorders>
              <w:bottom w:val="single" w:sz="2" w:space="0" w:color="000000"/>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20"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22.07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bottom w:val="single" w:sz="2" w:space="0" w:color="000000"/>
            </w:tcBorders>
            <w:shd w:fill="CCEEFF" w:val="clear"/>
            <w:vAlign w:val="center"/>
          </w:tcPr>
          <w:p>
            <w:pPr>
              <w:pStyle w:val="TableContents"/>
              <w:bidi w:val="0"/>
              <w:spacing w:before="0" w:after="283"/>
              <w:jc w:val="center"/>
              <w:rPr/>
            </w:pPr>
            <w:r>
              <w:rPr/>
              <w:t> </w:t>
            </w:r>
          </w:p>
        </w:tc>
        <w:tc>
          <w:tcPr>
            <w:tcW w:w="1285"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bottom w:val="single" w:sz="2" w:space="0" w:color="000000"/>
            </w:tcBorders>
            <w:shd w:fill="CCEEFF" w:val="clear"/>
            <w:vAlign w:val="center"/>
          </w:tcPr>
          <w:p>
            <w:pPr>
              <w:pStyle w:val="TableContents"/>
              <w:bidi w:val="0"/>
              <w:spacing w:before="0" w:after="283"/>
              <w:jc w:val="left"/>
              <w:rPr/>
            </w:pPr>
            <w:r>
              <w:rPr/>
              <w:t> </w:t>
            </w:r>
          </w:p>
        </w:tc>
        <w:tc>
          <w:tcPr>
            <w:tcW w:w="970" w:type="dxa"/>
            <w:tcBorders>
              <w:bottom w:val="single" w:sz="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bottom w:val="double" w:sz="6" w:space="0" w:color="000000"/>
            </w:tcBorders>
            <w:shd w:fill="FFFFFF" w:val="clear"/>
            <w:vAlign w:val="center"/>
          </w:tcPr>
          <w:p>
            <w:pPr>
              <w:pStyle w:val="TableContents"/>
              <w:bidi w:val="0"/>
              <w:spacing w:before="0" w:after="283"/>
              <w:jc w:val="left"/>
              <w:rPr/>
            </w:pPr>
            <w:r>
              <w:rPr/>
              <w:t> </w:t>
            </w:r>
          </w:p>
        </w:tc>
        <w:tc>
          <w:tcPr>
            <w:tcW w:w="1085" w:type="dxa"/>
            <w:tcBorders>
              <w:bottom w:val="double" w:sz="6"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5,720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4" w:type="dxa"/>
            <w:tcBorders>
              <w:bottom w:val="double" w:sz="6"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22.07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bottom w:val="double" w:sz="6" w:space="0" w:color="000000"/>
            </w:tcBorders>
            <w:shd w:fill="FFFFFF" w:val="clear"/>
            <w:vAlign w:val="center"/>
          </w:tcPr>
          <w:p>
            <w:pPr>
              <w:pStyle w:val="TableContents"/>
              <w:bidi w:val="0"/>
              <w:spacing w:before="0" w:after="283"/>
              <w:jc w:val="center"/>
              <w:rPr/>
            </w:pPr>
            <w:r>
              <w:rPr/>
              <w:t> </w:t>
            </w:r>
          </w:p>
        </w:tc>
        <w:tc>
          <w:tcPr>
            <w:tcW w:w="1285"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vAlign w:val="center"/>
          </w:tcPr>
          <w:p>
            <w:pPr>
              <w:pStyle w:val="TableContents"/>
              <w:bidi w:val="0"/>
              <w:spacing w:before="0" w:after="283"/>
              <w:jc w:val="left"/>
              <w:rPr/>
            </w:pPr>
            <w:r>
              <w:rPr/>
              <w:t> </w:t>
            </w:r>
          </w:p>
        </w:tc>
        <w:tc>
          <w:tcPr>
            <w:tcW w:w="970" w:type="dxa"/>
            <w:tcBorders>
              <w:bottom w:val="double" w:sz="6"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p>
      <w:pPr>
        <w:pStyle w:val="TextBody"/>
        <w:bidi w:val="0"/>
        <w:spacing w:before="0" w:after="0"/>
        <w:ind w:left="144" w:right="144" w:hanging="0"/>
        <w:jc w:val="both"/>
        <w:rPr>
          <w:rFonts w:ascii="Times New Roman;Times;serif" w:hAnsi="Times New Roman;Times;serif"/>
          <w:sz w:val="20"/>
        </w:rPr>
      </w:pPr>
      <w:r>
        <w:rPr>
          <w:rFonts w:ascii="Times New Roman;Times;serif" w:hAnsi="Times New Roman;Times;serif"/>
          <w:sz w:val="20"/>
          <w:shd w:fill="FFFFFF" w:val="clear"/>
        </w:rPr>
        <w:t xml:space="preserve">(a) During the three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w:t>
      </w:r>
      <w:r>
        <w:rPr>
          <w:rFonts w:ascii="Times New Roman;Times;serif" w:hAnsi="Times New Roman;Times;serif"/>
          <w:sz w:val="20"/>
        </w:rPr>
        <w:t>we purchased shares in connection with our stock-based compensation plans, whereby shares of our common stock were tendered by employees for payment of applicable statutory tax withholdings.</w:t>
      </w:r>
    </w:p>
    <w:p>
      <w:pPr>
        <w:pStyle w:val="TextBody"/>
        <w:bidi w:val="0"/>
        <w:spacing w:before="0" w:after="0"/>
        <w:ind w:left="0" w:right="0" w:hanging="0"/>
        <w:jc w:val="both"/>
        <w:rPr/>
      </w:pPr>
      <w:r>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itemthree"/>
            <w:bookmarkEnd w:id="12"/>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itemfour"/>
            <w:bookmarkEnd w:id="13"/>
            <w:r>
              <w:rPr>
                <w:rFonts w:ascii="Times New Roman;Times;serif" w:hAnsi="Times New Roman;Times;serif"/>
                <w:b/>
                <w:sz w:val="20"/>
              </w:rPr>
              <w:t>ITEM 4.</w:t>
            </w:r>
          </w:p>
        </w:tc>
        <w:tc>
          <w:tcPr>
            <w:tcW w:w="27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pPr>
            <w:bookmarkStart w:id="14" w:name="item5"/>
            <w:bookmarkEnd w:id="14"/>
            <w:r>
              <w:rPr>
                <w:rFonts w:ascii="Times New Roman;Times;serif" w:hAnsi="Times New Roman;Times;serif"/>
                <w:b/>
                <w:sz w:val="20"/>
              </w:rPr>
              <w:t xml:space="preserve">ITEM </w:t>
            </w:r>
            <w:r>
              <w:rPr>
                <w:rStyle w:val="Emphasis"/>
                <w:rFonts w:ascii="Times New Roman;Times;serif" w:hAnsi="Times New Roman;Times;serif"/>
                <w:b/>
                <w:sz w:val="20"/>
              </w:rPr>
              <w:t>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both"/>
        <w:rPr/>
      </w:pPr>
      <w:r>
        <w:rPr/>
        <w:t> </w:t>
      </w:r>
    </w:p>
    <w:p>
      <w:pPr>
        <w:pStyle w:val="TextBody"/>
        <w:bidi w:val="0"/>
        <w:spacing w:before="0" w:after="0"/>
        <w:ind w:left="160" w:right="0" w:firstLine="360"/>
        <w:jc w:val="both"/>
        <w:rPr/>
      </w:pPr>
      <w:r>
        <w:rPr>
          <w:rFonts w:ascii="Times New Roman" w:hAnsi="Times New Roman"/>
          <w:caps w:val="false"/>
          <w:smallCaps w:val="false"/>
          <w:sz w:val="20"/>
        </w:rPr>
        <w:t xml:space="preserve">(a)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(b)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(c)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2024</w:t>
      </w:r>
      <w:r>
        <w:rPr>
          <w:rFonts w:ascii="Times New Roman" w:hAnsi="Times New Roman"/>
          <w:caps w:val="false"/>
          <w:smallCaps w:val="false"/>
          <w:sz w:val="20"/>
        </w:rPr>
        <w:t>, no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5" w:name="item6"/>
            <w:bookmarkEnd w:id="15"/>
            <w:r>
              <w:rPr>
                <w:rFonts w:ascii="Times New Roman;Times;serif" w:hAnsi="Times New Roman;Times;serif"/>
                <w:b/>
                <w:sz w:val="20"/>
              </w:rPr>
              <w:t>ITEM 6.</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24"/>
        <w:gridCol w:w="60"/>
        <w:gridCol w:w="5506"/>
        <w:gridCol w:w="60"/>
        <w:gridCol w:w="500"/>
        <w:gridCol w:w="60"/>
        <w:gridCol w:w="728"/>
        <w:gridCol w:w="60"/>
        <w:gridCol w:w="650"/>
        <w:gridCol w:w="60"/>
        <w:gridCol w:w="735"/>
        <w:gridCol w:w="60"/>
        <w:gridCol w:w="1002"/>
      </w:tblGrid>
      <w:tr>
        <w:trPr/>
        <w:tc>
          <w:tcPr>
            <w:tcW w:w="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55" w:type="dxa"/>
            <w:gridSpan w:val="9"/>
            <w:tcBorders>
              <w:bottom w:val="single" w:sz="2" w:space="0" w:color="000000"/>
            </w:tcBorders>
            <w:tcMar>
              <w:bottom w:w="28" w:type="dxa"/>
            </w:tcMar>
            <w:vAlign w:val="center"/>
          </w:tcPr>
          <w:p>
            <w:pPr>
              <w:pStyle w:val="TableContents"/>
              <w:bidi w:val="0"/>
              <w:spacing w:before="0" w:after="283"/>
              <w:jc w:val="center"/>
              <w:rPr>
                <w:b/>
              </w:rPr>
            </w:pPr>
            <w:r>
              <w:rPr>
                <w:b/>
              </w:rPr>
              <w:t>Incorporated by Reference</w:t>
            </w:r>
          </w:p>
        </w:tc>
      </w:tr>
      <w:tr>
        <w:trPr/>
        <w:tc>
          <w:tcPr>
            <w:tcW w:w="7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rPr/>
            </w:pPr>
            <w:r>
              <w:rPr/>
              <w:t> </w:t>
            </w:r>
          </w:p>
        </w:tc>
        <w:tc>
          <w:tcPr>
            <w:tcW w:w="5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rPr/>
            </w:pPr>
            <w:r>
              <w:rPr/>
              <w:t> </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724"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5506" w:type="dxa"/>
            <w:tcBorders/>
            <w:vAlign w:val="center"/>
          </w:tcPr>
          <w:p>
            <w:pPr>
              <w:pStyle w:val="TableContents"/>
              <w:bidi w:val="0"/>
              <w:spacing w:before="0" w:after="283"/>
              <w:jc w:val="left"/>
              <w:rPr/>
            </w:pPr>
            <w:hyperlink r:id="rId2">
              <w:r>
                <w:rPr>
                  <w:rStyle w:val="InternetLink"/>
                </w:rPr>
                <w:t>Fiscal 2024 Executive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center"/>
              <w:rPr/>
            </w:pPr>
            <w:r>
              <w:rPr/>
              <w:t> </w:t>
            </w:r>
          </w:p>
        </w:tc>
        <w:tc>
          <w:tcPr>
            <w:tcW w:w="728"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center"/>
              <w:rPr/>
            </w:pPr>
            <w:r>
              <w:rPr/>
              <w:t> </w:t>
            </w:r>
          </w:p>
        </w:tc>
        <w:tc>
          <w:tcPr>
            <w:tcW w:w="735" w:type="dxa"/>
            <w:tcBorders/>
            <w:vAlign w:val="center"/>
          </w:tcPr>
          <w:p>
            <w:pPr>
              <w:pStyle w:val="TableContents"/>
              <w:bidi w:val="0"/>
              <w:spacing w:before="0" w:after="283"/>
              <w:jc w:val="center"/>
              <w:rPr/>
            </w:pPr>
            <w:r>
              <w:rPr/>
              <w:t>May 29, 2024</w:t>
            </w:r>
          </w:p>
        </w:tc>
        <w:tc>
          <w:tcPr>
            <w:tcW w:w="60"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hyperlink w:anchor="ex_679603.htm">
              <w:r>
                <w:rPr>
                  <w:rStyle w:val="InternetLink"/>
                  <w:rFonts w:ascii="Times New Roman;Times;serif" w:hAnsi="Times New Roman;Times;serif"/>
                  <w:sz w:val="20"/>
                </w:rPr>
                <w:t>Chief Executive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pPr>
            <w:r>
              <w:rPr/>
              <w:t> </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hyperlink w:anchor="ex_679604.htm">
              <w:r>
                <w:rPr>
                  <w:rStyle w:val="InternetLink"/>
                  <w:rFonts w:ascii="Times New Roman;Times;serif" w:hAnsi="Times New Roman;Times;serif"/>
                  <w:sz w:val="20"/>
                </w:rPr>
                <w:t>Chief Financial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pPr>
            <w:r>
              <w:rPr/>
              <w:t> </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hyperlink w:anchor="ex_679605.htm">
              <w:r>
                <w:rPr>
                  <w:rStyle w:val="InternetLink"/>
                  <w:rFonts w:ascii="Times New Roman;Times;serif" w:hAnsi="Times New Roman;Times;serif"/>
                  <w:sz w:val="20"/>
                </w:rPr>
                <w:t>Chief Executive Officer—Certification pursuant to Rule13a-14(b)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pPr>
            <w:r>
              <w:rPr/>
              <w:t> </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hyperlink w:anchor="ex_679606.htm">
              <w:r>
                <w:rPr>
                  <w:rStyle w:val="InternetLink"/>
                  <w:rFonts w:ascii="Times New Roman;Times;serif" w:hAnsi="Times New Roman;Times;serif"/>
                  <w:sz w:val="20"/>
                </w:rPr>
                <w:t>Chief Financial Officer—Certification pursuant to Rule 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pPr>
            <w:r>
              <w:rPr/>
              <w:t> </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pPr>
            <w:r>
              <w:rPr/>
              <w:t> </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pPr>
            <w:r>
              <w:rPr/>
              <w:t> </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pPr>
            <w:r>
              <w:rPr/>
              <w:t> </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pPr>
            <w:r>
              <w:rPr/>
              <w:t> </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pPr>
            <w:r>
              <w:rPr/>
              <w:t> </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 </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jc w:val="center"/>
              <w:rPr/>
            </w:pPr>
            <w:r>
              <w:rPr/>
              <w:t>104 </w:t>
            </w:r>
          </w:p>
        </w:tc>
        <w:tc>
          <w:tcPr>
            <w:tcW w:w="60" w:type="dxa"/>
            <w:tcBorders/>
            <w:vAlign w:val="center"/>
          </w:tcPr>
          <w:p>
            <w:pPr>
              <w:pStyle w:val="TableContents"/>
              <w:bidi w:val="0"/>
              <w:spacing w:before="0" w:after="283"/>
              <w:jc w:val="left"/>
              <w:rPr/>
            </w:pPr>
            <w:r>
              <w:rPr/>
              <w:t> </w:t>
            </w:r>
          </w:p>
        </w:tc>
        <w:tc>
          <w:tcPr>
            <w:tcW w:w="5506" w:type="dxa"/>
            <w:tcBorders/>
            <w:vAlign w:val="center"/>
          </w:tcPr>
          <w:p>
            <w:pPr>
              <w:pStyle w:val="TableContents"/>
              <w:bidi w:val="0"/>
              <w:spacing w:before="0" w:after="283"/>
              <w:jc w:val="left"/>
              <w:rPr/>
            </w:pPr>
            <w:r>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_________________________</w:t>
      </w:r>
    </w:p>
    <w:p>
      <w:pPr>
        <w:pStyle w:val="TextBody"/>
        <w:bidi w:val="0"/>
        <w:spacing w:before="0" w:after="0"/>
        <w:ind w:left="0" w:right="0" w:hanging="0"/>
        <w:jc w:val="left"/>
        <w:rPr/>
      </w:pPr>
      <w:r>
        <w:rPr/>
        <w:t> </w:t>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bidi w:val="0"/>
        <w:spacing w:before="0" w:after="0"/>
        <w:ind w:left="0" w:right="0" w:hanging="0"/>
        <w:jc w:val="left"/>
        <w:rPr/>
      </w:pPr>
      <w:r>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Furnished herewith</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Attached as Exhibits 101 to this report are the following formatted in inline XBRL (Extensible Business Reporting Language): (i) Condensed Consolidated Balance Sheets as of </w:t>
      </w:r>
      <w:r>
        <w:rPr>
          <w:rFonts w:ascii="Times New Roman;Times;serif" w:hAnsi="Times New Roman;Times;serif"/>
          <w:sz w:val="20"/>
          <w:shd w:fill="FFFFFF" w:val="clear"/>
        </w:rPr>
        <w:t>June 30, 2024</w:t>
      </w:r>
      <w:r>
        <w:rPr>
          <w:rFonts w:ascii="Times New Roman;Times;serif" w:hAnsi="Times New Roman;Times;serif"/>
          <w:sz w:val="20"/>
        </w:rPr>
        <w:t xml:space="preserve"> and March 31, 2024 (ii) Statements of Operations for the three months ended </w:t>
      </w:r>
      <w:r>
        <w:rPr>
          <w:rFonts w:ascii="Times New Roman;Times;serif" w:hAnsi="Times New Roman;Times;serif"/>
          <w:sz w:val="20"/>
          <w:shd w:fill="FFFFFF" w:val="clear"/>
        </w:rPr>
        <w:t>June 30, 2024</w:t>
      </w:r>
      <w:r>
        <w:rPr>
          <w:rFonts w:ascii="Times New Roman;Times;serif" w:hAnsi="Times New Roman;Times;serif"/>
          <w:sz w:val="20"/>
        </w:rPr>
        <w:t xml:space="preserve"> and 2023, (iii) Condensed Consolidated Statements of Comprehensive Loss for the three months ended </w:t>
      </w:r>
      <w:r>
        <w:rPr>
          <w:rFonts w:ascii="Times New Roman;Times;serif" w:hAnsi="Times New Roman;Times;serif"/>
          <w:sz w:val="20"/>
          <w:shd w:fill="FFFFFF" w:val="clear"/>
        </w:rPr>
        <w:t>June 30, 2024</w:t>
      </w:r>
      <w:r>
        <w:rPr>
          <w:rFonts w:ascii="Times New Roman;Times;serif" w:hAnsi="Times New Roman;Times;serif"/>
          <w:sz w:val="20"/>
        </w:rPr>
        <w:t xml:space="preserve"> and 2023, (iv) Condensed Consolidated Statements of Cash Flows for the three months ended </w:t>
      </w:r>
      <w:r>
        <w:rPr>
          <w:rFonts w:ascii="Times New Roman;Times;serif" w:hAnsi="Times New Roman;Times;serif"/>
          <w:sz w:val="20"/>
          <w:shd w:fill="FFFFFF" w:val="clear"/>
        </w:rPr>
        <w:t>June 30, 2024</w:t>
      </w:r>
      <w:r>
        <w:rPr>
          <w:rFonts w:ascii="Times New Roman;Times;serif" w:hAnsi="Times New Roman;Times;serif"/>
          <w:sz w:val="20"/>
        </w:rPr>
        <w:t xml:space="preserve"> and 2023, and (v)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6" w:name="signature"/>
      <w:bookmarkEnd w:id="16"/>
      <w:r>
        <w:rPr>
          <w:rFonts w:ascii="Times New Roman;Times;serif" w:hAnsi="Times New Roman;Times;serif"/>
          <w:b/>
          <w:sz w:val="20"/>
        </w:rPr>
        <w:t>SIGNATURE</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8"/>
        <w:gridCol w:w="1407"/>
        <w:gridCol w:w="320"/>
        <w:gridCol w:w="8030"/>
      </w:tblGrid>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83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r>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030" w:type="dxa"/>
            <w:tcBorders/>
            <w:vAlign w:val="center"/>
          </w:tcPr>
          <w:p>
            <w:pPr>
              <w:pStyle w:val="TableContents"/>
              <w:bidi w:val="0"/>
              <w:spacing w:before="0" w:after="0"/>
              <w:ind w:left="0" w:right="0" w:hanging="0"/>
              <w:jc w:val="left"/>
              <w:rPr/>
            </w:pPr>
            <w:r>
              <w:rPr/>
              <w:t> </w:t>
            </w:r>
          </w:p>
        </w:tc>
      </w:tr>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8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07" w:type="dxa"/>
            <w:tcBorders/>
            <w:vAlign w:val="center"/>
          </w:tcPr>
          <w:p>
            <w:pPr>
              <w:pStyle w:val="TableContents"/>
              <w:bidi w:val="0"/>
              <w:spacing w:before="0" w:after="283"/>
              <w:jc w:val="left"/>
              <w:rPr/>
            </w:pPr>
            <w:r>
              <w:rPr/>
              <w:t>August 6, 2024</w:t>
            </w:r>
          </w:p>
        </w:tc>
        <w:tc>
          <w:tcPr>
            <w:tcW w:w="320" w:type="dxa"/>
            <w:tcBorders/>
            <w:vAlign w:val="center"/>
          </w:tcPr>
          <w:p>
            <w:pPr>
              <w:pStyle w:val="TableContents"/>
              <w:bidi w:val="0"/>
              <w:spacing w:before="0" w:after="0"/>
              <w:ind w:left="0" w:right="0" w:hanging="0"/>
              <w:jc w:val="left"/>
              <w:rPr/>
            </w:pPr>
            <w:r>
              <w:rPr/>
              <w:t> </w:t>
            </w:r>
          </w:p>
        </w:tc>
        <w:tc>
          <w:tcPr>
            <w:tcW w:w="80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0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Chief Financial Officer and Treasurer (Principal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38 </w:t>
      </w:r>
    </w:p>
    <w:p>
      <w:pPr>
        <w:pStyle w:val="TextBody"/>
        <w:bidi w:val="0"/>
        <w:spacing w:before="0" w:after="0"/>
        <w:ind w:left="0" w:right="0" w:hanging="0"/>
        <w:jc w:val="right"/>
        <w:rPr>
          <w:rFonts w:ascii="Times New Roman;Times;serif" w:hAnsi="Times New Roman;Times;serif"/>
          <w:b/>
          <w:sz w:val="20"/>
        </w:rPr>
      </w:pPr>
      <w:bookmarkStart w:id="17" w:name="ex_679603.htm"/>
      <w:bookmarkStart w:id="18" w:name="ksex_679603"/>
      <w:bookmarkEnd w:id="17"/>
      <w:bookmarkEnd w:id="18"/>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P. McGahn, certify that: </w:t>
      </w:r>
    </w:p>
    <w:p>
      <w:pPr>
        <w:pStyle w:val="TextBody"/>
        <w:bidi w:val="0"/>
        <w:spacing w:before="0" w:after="283"/>
        <w:jc w:val="left"/>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4" w:right="144" w:hanging="0"/>
        <w:jc w:val="left"/>
        <w:rPr/>
      </w:pPr>
      <w:r>
        <w:rPr/>
        <w:t> </w:t>
      </w:r>
    </w:p>
    <w:p>
      <w:pPr>
        <w:pStyle w:val="TextBody"/>
        <w:bidi w:val="0"/>
        <w:spacing w:before="0" w:after="0"/>
        <w:ind w:left="144" w:right="144" w:hanging="0"/>
        <w:jc w:val="left"/>
        <w:rPr/>
      </w:pPr>
      <w:r>
        <w:rPr/>
        <w:t> </w:t>
      </w:r>
    </w:p>
    <w:tbl>
      <w:tblPr>
        <w:tblW w:w="4205" w:type="dxa"/>
        <w:jc w:val="left"/>
        <w:tblInd w:w="0" w:type="dxa"/>
        <w:tblLayout w:type="fixed"/>
        <w:tblCellMar>
          <w:top w:w="0" w:type="dxa"/>
          <w:left w:w="0" w:type="dxa"/>
          <w:bottom w:w="28" w:type="dxa"/>
          <w:right w:w="0" w:type="dxa"/>
        </w:tblCellMar>
      </w:tblPr>
      <w:tblGrid>
        <w:gridCol w:w="455"/>
        <w:gridCol w:w="1490"/>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90" w:type="dxa"/>
            <w:tcBorders>
              <w:bottom w:val="single" w:sz="2" w:space="0" w:color="000000"/>
            </w:tcBorders>
            <w:vAlign w:val="center"/>
          </w:tcPr>
          <w:p>
            <w:pPr>
              <w:pStyle w:val="TableContents"/>
              <w:bidi w:val="0"/>
              <w:spacing w:before="0" w:after="283"/>
              <w:jc w:val="left"/>
              <w:rPr/>
            </w:pPr>
            <w:bookmarkStart w:id="19" w:name="led11849F20246121720812513565"/>
            <w:bookmarkEnd w:id="19"/>
            <w:r>
              <w:rPr/>
              <w:t>August 6, 2024</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b/>
                <w:sz w:val="20"/>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0" w:name="ex_679604.htm"/>
      <w:bookmarkStart w:id="21" w:name="ksex_679604"/>
      <w:bookmarkEnd w:id="20"/>
      <w:bookmarkEnd w:id="21"/>
      <w:r>
        <w:rPr>
          <w:rFonts w:ascii="Times New Roman;Times;serif" w:hAnsi="Times New Roman;Times;serif"/>
          <w:b/>
          <w:sz w:val="20"/>
        </w:rPr>
        <w:t>Exhibit 31.2</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John W. Kosiba, Jr., certify that:</w:t>
      </w:r>
    </w:p>
    <w:p>
      <w:pPr>
        <w:pStyle w:val="TextBody"/>
        <w:bidi w:val="0"/>
        <w:spacing w:before="0" w:after="0"/>
        <w:ind w:left="0" w:right="0" w:hanging="0"/>
        <w:jc w:val="both"/>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205" w:type="dxa"/>
        <w:jc w:val="left"/>
        <w:tblInd w:w="0" w:type="dxa"/>
        <w:tblLayout w:type="fixed"/>
        <w:tblCellMar>
          <w:top w:w="0" w:type="dxa"/>
          <w:left w:w="0" w:type="dxa"/>
          <w:bottom w:w="28" w:type="dxa"/>
          <w:right w:w="0" w:type="dxa"/>
        </w:tblCellMar>
      </w:tblPr>
      <w:tblGrid>
        <w:gridCol w:w="455"/>
        <w:gridCol w:w="1490"/>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90" w:type="dxa"/>
            <w:tcBorders>
              <w:bottom w:val="single" w:sz="2" w:space="0" w:color="000000"/>
            </w:tcBorders>
            <w:vAlign w:val="center"/>
          </w:tcPr>
          <w:p>
            <w:pPr>
              <w:pStyle w:val="TableContents"/>
              <w:bidi w:val="0"/>
              <w:spacing w:before="0" w:after="283"/>
              <w:jc w:val="left"/>
              <w:rPr/>
            </w:pPr>
            <w:bookmarkStart w:id="22" w:name="led11849F20246121720812542421"/>
            <w:bookmarkEnd w:id="22"/>
            <w:r>
              <w:rPr/>
              <w:t>August 6, 2024</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3" w:name="ex_679605.htm"/>
      <w:bookmarkStart w:id="24" w:name="ksex_679605"/>
      <w:bookmarkEnd w:id="23"/>
      <w:bookmarkEnd w:id="24"/>
      <w:r>
        <w:rPr>
          <w:rFonts w:ascii="Times New Roman;Times;serif" w:hAnsi="Times New Roman;Times;serif"/>
          <w:b/>
          <w:sz w:val="20"/>
        </w:rPr>
        <w:t>Exhibit 32.1</w:t>
      </w:r>
      <w:r>
        <w:br w:type="page"/>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Quarterly Report on Form 10-Q of American Superconductor Corporation (the “Company”) for the period ended </w:t>
      </w:r>
      <w:bookmarkStart w:id="25" w:name="led11848F20218221632321164177"/>
      <w:bookmarkEnd w:id="25"/>
      <w:r>
        <w:rPr>
          <w:rFonts w:ascii="Times New Roman;Times;serif" w:hAnsi="Times New Roman;Times;serif"/>
          <w:sz w:val="20"/>
        </w:rPr>
        <w:t>June 30, 2024,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p>
      <w:pPr>
        <w:pStyle w:val="TextBody"/>
        <w:bidi w:val="0"/>
        <w:spacing w:before="0" w:after="283"/>
        <w:jc w:val="left"/>
        <w:rPr/>
      </w:pPr>
      <w:r>
        <w:rPr/>
        <w:t> </w:t>
      </w:r>
    </w:p>
    <w:tbl>
      <w:tblPr>
        <w:tblW w:w="4205" w:type="dxa"/>
        <w:jc w:val="left"/>
        <w:tblInd w:w="0" w:type="dxa"/>
        <w:tblLayout w:type="fixed"/>
        <w:tblCellMar>
          <w:top w:w="0" w:type="dxa"/>
          <w:left w:w="0" w:type="dxa"/>
          <w:bottom w:w="0" w:type="dxa"/>
          <w:right w:w="0" w:type="dxa"/>
        </w:tblCellMar>
      </w:tblPr>
      <w:tblGrid>
        <w:gridCol w:w="455"/>
        <w:gridCol w:w="1490"/>
        <w:gridCol w:w="320"/>
        <w:gridCol w:w="1940"/>
      </w:tblGrid>
      <w:tr>
        <w:trPr/>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90" w:type="dxa"/>
            <w:tcBorders/>
            <w:vAlign w:val="center"/>
          </w:tcPr>
          <w:p>
            <w:pPr>
              <w:pStyle w:val="TableContents"/>
              <w:bidi w:val="0"/>
              <w:spacing w:before="0" w:after="283"/>
              <w:jc w:val="left"/>
              <w:rPr/>
            </w:pPr>
            <w:bookmarkStart w:id="26" w:name="led11849F20246121720812578499"/>
            <w:bookmarkEnd w:id="26"/>
            <w:r>
              <w:rPr/>
              <w:t>August 6, 2024</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 Daniel</w:t>
            </w:r>
            <w:r>
              <w:rPr>
                <w:rFonts w:ascii="Times New Roman;Times;serif" w:hAnsi="Times New Roman;Times;serif"/>
                <w:sz w:val="20"/>
              </w:rPr>
              <w:t> </w:t>
            </w:r>
            <w:r>
              <w:rPr>
                <w:rFonts w:ascii="Times New Roman;Times;serif" w:hAnsi="Times New Roman;Times;serif"/>
                <w:b/>
                <w:sz w:val="20"/>
              </w:rPr>
              <w:t>P. McGahn</w:t>
            </w:r>
          </w:p>
        </w:tc>
      </w:tr>
      <w:tr>
        <w:trPr/>
        <w:tc>
          <w:tcPr>
            <w:tcW w:w="455" w:type="dxa"/>
            <w:tcBorders/>
            <w:vAlign w:val="center"/>
          </w:tcPr>
          <w:p>
            <w:pPr>
              <w:pStyle w:val="TableContents"/>
              <w:bidi w:val="0"/>
              <w:spacing w:before="0" w:after="0"/>
              <w:ind w:left="0" w:right="0" w:hanging="0"/>
              <w:jc w:val="left"/>
              <w:rPr/>
            </w:pPr>
            <w:r>
              <w:rPr/>
              <w:t> </w:t>
            </w:r>
          </w:p>
        </w:tc>
        <w:tc>
          <w:tcPr>
            <w:tcW w:w="149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P. McGahn</w:t>
            </w:r>
          </w:p>
        </w:tc>
      </w:tr>
      <w:tr>
        <w:trPr/>
        <w:tc>
          <w:tcPr>
            <w:tcW w:w="455" w:type="dxa"/>
            <w:tcBorders/>
            <w:vAlign w:val="center"/>
          </w:tcPr>
          <w:p>
            <w:pPr>
              <w:pStyle w:val="TableContents"/>
              <w:bidi w:val="0"/>
              <w:spacing w:before="0" w:after="0"/>
              <w:ind w:left="0" w:right="0" w:hanging="0"/>
              <w:jc w:val="left"/>
              <w:rPr/>
            </w:pPr>
            <w:r>
              <w:rPr/>
              <w:t> </w:t>
            </w:r>
          </w:p>
        </w:tc>
        <w:tc>
          <w:tcPr>
            <w:tcW w:w="149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7" w:name="ex_679606.htm"/>
      <w:bookmarkStart w:id="28" w:name="ksex_679606"/>
      <w:bookmarkEnd w:id="27"/>
      <w:bookmarkEnd w:id="28"/>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American Superconductor Corporation (the “Company”) for the period ended </w:t>
      </w:r>
      <w:bookmarkStart w:id="29" w:name="led11848F20217171629241168204"/>
      <w:bookmarkEnd w:id="29"/>
      <w:r>
        <w:rPr>
          <w:rFonts w:ascii="Times New Roman;Times;serif" w:hAnsi="Times New Roman;Times;serif"/>
          <w:sz w:val="20"/>
        </w:rPr>
        <w:t>June 30, 2024,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205" w:type="dxa"/>
        <w:jc w:val="left"/>
        <w:tblInd w:w="0" w:type="dxa"/>
        <w:tblLayout w:type="fixed"/>
        <w:tblCellMar>
          <w:top w:w="0" w:type="dxa"/>
          <w:left w:w="0" w:type="dxa"/>
          <w:bottom w:w="28" w:type="dxa"/>
          <w:right w:w="0" w:type="dxa"/>
        </w:tblCellMar>
      </w:tblPr>
      <w:tblGrid>
        <w:gridCol w:w="455"/>
        <w:gridCol w:w="1490"/>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90" w:type="dxa"/>
            <w:tcBorders>
              <w:bottom w:val="single" w:sz="2" w:space="0" w:color="000000"/>
            </w:tcBorders>
            <w:vAlign w:val="center"/>
          </w:tcPr>
          <w:p>
            <w:pPr>
              <w:pStyle w:val="TableContents"/>
              <w:bidi w:val="0"/>
              <w:spacing w:before="0" w:after="283"/>
              <w:jc w:val="left"/>
              <w:rPr/>
            </w:pPr>
            <w:bookmarkStart w:id="30" w:name="led11849F20246121720812606251"/>
            <w:bookmarkEnd w:id="30"/>
            <w:r>
              <w:rPr/>
              <w:t>August 6, 2024</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880807/000143774924018599/amsc20240208_8k.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18303</Words>
  <Characters>100256</Characters>
  <CharactersWithSpaces>120483</CharactersWithSpaces>
  <Paragraphs>5610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