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22"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190"/>
              <w:spacing w:after="0"/>
              <w:rPr>
                <w:sz w:val="20"/>
                <w:szCs w:val="20"/>
                <w:color w:val="auto"/>
              </w:rPr>
            </w:pPr>
            <w:r>
              <w:rPr>
                <w:rFonts w:ascii="Arial" w:cs="Arial" w:eastAsia="Arial" w:hAnsi="Arial"/>
                <w:sz w:val="18"/>
                <w:szCs w:val="18"/>
                <w:b w:val="1"/>
                <w:bCs w:val="1"/>
                <w:color w:val="auto"/>
              </w:rPr>
              <w:t>04-2959321</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(State or other jurisdiction of</w:t>
            </w:r>
          </w:p>
        </w:tc>
        <w:tc>
          <w:tcPr>
            <w:tcW w:w="58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790"/>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88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87"/>
              </w:rPr>
              <w:t>64 Jackson Road, Devens, Massachusetts</w:t>
            </w:r>
          </w:p>
        </w:tc>
        <w:tc>
          <w:tcPr>
            <w:tcW w:w="3540" w:type="dxa"/>
            <w:vAlign w:val="bottom"/>
          </w:tcPr>
          <w:p>
            <w:pPr>
              <w:jc w:val="right"/>
              <w:ind w:right="2390"/>
              <w:spacing w:after="0"/>
              <w:rPr>
                <w:sz w:val="20"/>
                <w:szCs w:val="20"/>
                <w:color w:val="auto"/>
              </w:rPr>
            </w:pPr>
            <w:r>
              <w:rPr>
                <w:rFonts w:ascii="Arial" w:cs="Arial" w:eastAsia="Arial" w:hAnsi="Arial"/>
                <w:sz w:val="18"/>
                <w:szCs w:val="18"/>
                <w:b w:val="1"/>
                <w:bCs w:val="1"/>
                <w:color w:val="auto"/>
              </w:rPr>
              <w:t>01434</w:t>
            </w:r>
          </w:p>
        </w:tc>
      </w:tr>
      <w:tr>
        <w:trPr>
          <w:trHeight w:val="228"/>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5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b w:val="1"/>
                <w:bCs w:val="1"/>
                <w:color w:val="auto"/>
                <w:w w:val="94"/>
              </w:rPr>
              <w:t>(Zip Code)</w:t>
            </w:r>
          </w:p>
        </w:tc>
      </w:tr>
      <w:tr>
        <w:trPr>
          <w:trHeight w:val="542"/>
        </w:trPr>
        <w:tc>
          <w:tcPr>
            <w:tcW w:w="7880" w:type="dxa"/>
            <w:vAlign w:val="bottom"/>
            <w:tcBorders>
              <w:bottom w:val="single" w:sz="8" w:color="auto"/>
            </w:tcBorders>
            <w:gridSpan w:val="3"/>
          </w:tcPr>
          <w:p>
            <w:pPr>
              <w:jc w:val="right"/>
              <w:ind w:right="1600"/>
              <w:spacing w:after="0"/>
              <w:rPr>
                <w:sz w:val="20"/>
                <w:szCs w:val="20"/>
                <w:color w:val="auto"/>
              </w:rPr>
            </w:pPr>
            <w:r>
              <w:rPr>
                <w:rFonts w:ascii="Arial" w:cs="Arial" w:eastAsia="Arial" w:hAnsi="Arial"/>
                <w:sz w:val="18"/>
                <w:szCs w:val="18"/>
                <w:b w:val="1"/>
                <w:bCs w:val="1"/>
                <w:color w:val="auto"/>
              </w:rPr>
              <w:t>(978) 842-3000</w:t>
            </w:r>
          </w:p>
        </w:tc>
        <w:tc>
          <w:tcPr>
            <w:tcW w:w="3540" w:type="dxa"/>
            <w:vAlign w:val="bottom"/>
            <w:tcBorders>
              <w:bottom w:val="single" w:sz="8" w:color="auto"/>
            </w:tcBorders>
          </w:tcPr>
          <w:p>
            <w:pPr>
              <w:spacing w:after="0"/>
              <w:rPr>
                <w:sz w:val="24"/>
                <w:szCs w:val="24"/>
                <w:color w:val="auto"/>
              </w:rPr>
            </w:pPr>
          </w:p>
        </w:tc>
      </w:tr>
      <w:tr>
        <w:trPr>
          <w:trHeight w:val="234"/>
        </w:trPr>
        <w:tc>
          <w:tcPr>
            <w:tcW w:w="7880" w:type="dxa"/>
            <w:vAlign w:val="bottom"/>
            <w:gridSpan w:val="3"/>
          </w:tcPr>
          <w:p>
            <w:pPr>
              <w:jc w:val="center"/>
              <w:ind w:left="3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40" w:type="dxa"/>
            <w:vAlign w:val="bottom"/>
          </w:tcPr>
          <w:p>
            <w:pPr>
              <w:spacing w:after="0"/>
              <w:rPr>
                <w:sz w:val="20"/>
                <w:szCs w:val="20"/>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032"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80"/>
          </w:cols>
          <w:pgMar w:left="240" w:top="122" w:right="239" w:bottom="1032"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50,868,708</w:t>
            </w:r>
          </w:p>
        </w:tc>
      </w:tr>
      <w:tr>
        <w:trPr>
          <w:trHeight w:val="228"/>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Outstanding as of September 15, 2011</w:t>
            </w:r>
          </w:p>
        </w:tc>
      </w:tr>
      <w:tr>
        <w:trPr>
          <w:trHeight w:val="184"/>
        </w:trPr>
        <w:tc>
          <w:tcPr>
            <w:tcW w:w="5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032"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gridSpan w:val="2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620" w:type="dxa"/>
            <w:vAlign w:val="bottom"/>
            <w:gridSpan w:val="21"/>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460" w:type="dxa"/>
            <w:vAlign w:val="bottom"/>
            <w:gridSpan w:val="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as of June 30, 2011 and March 31, 2011</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Consolidated Statements of Operations for the three months ended June 30, 2011 and 2010</w:t>
              </w:r>
            </w:hyperlink>
          </w:p>
        </w:tc>
        <w:tc>
          <w:tcPr>
            <w:tcW w:w="222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Statements of Comprehensive (Loss) Income for the three months ended June 30, 2011 and 2010</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three months ended June 30, 2011 and 2010</w:t>
              </w:r>
            </w:hyperlink>
          </w:p>
        </w:tc>
        <w:tc>
          <w:tcPr>
            <w:tcW w:w="8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440" w:type="dxa"/>
            <w:vAlign w:val="bottom"/>
            <w:tcBorders>
              <w:top w:val="single" w:sz="8" w:color="0000EE"/>
            </w:tcBorders>
            <w:gridSpan w:val="4"/>
          </w:tcPr>
          <w:p>
            <w:pPr>
              <w:spacing w:after="0"/>
              <w:rPr>
                <w:sz w:val="17"/>
                <w:szCs w:val="17"/>
                <w:color w:val="auto"/>
              </w:rPr>
            </w:pPr>
          </w:p>
        </w:tc>
        <w:tc>
          <w:tcPr>
            <w:tcW w:w="218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106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8280" w:type="dxa"/>
            <w:vAlign w:val="bottom"/>
            <w:gridSpan w:val="11"/>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0620" w:type="dxa"/>
            <w:vAlign w:val="bottom"/>
            <w:gridSpan w:val="2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II—OTHER INFORMATION</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960" w:type="dxa"/>
            <w:vAlign w:val="bottom"/>
            <w:tcBorders>
              <w:top w:val="single" w:sz="8" w:color="0000EE"/>
            </w:tcBorders>
            <w:gridSpan w:val="3"/>
          </w:tcPr>
          <w:p>
            <w:pPr>
              <w:spacing w:after="0"/>
              <w:rPr>
                <w:sz w:val="17"/>
                <w:szCs w:val="17"/>
                <w:color w:val="auto"/>
              </w:rPr>
            </w:pPr>
          </w:p>
        </w:tc>
        <w:tc>
          <w:tcPr>
            <w:tcW w:w="7760" w:type="dxa"/>
            <w:vAlign w:val="bottom"/>
            <w:gridSpan w:val="1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020" w:type="dxa"/>
            <w:vAlign w:val="bottom"/>
            <w:gridSpan w:val="1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438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10080" w:type="dxa"/>
            <w:vAlign w:val="bottom"/>
            <w:gridSpan w:val="18"/>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9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EX-31.2</w:t>
            </w:r>
          </w:p>
        </w:tc>
        <w:tc>
          <w:tcPr>
            <w:tcW w:w="99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130,885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31,068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Advance payment for planned acquisition</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20,551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266,123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319,805</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98,615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13,577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393,662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66,395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Adverse purchase commitments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130,844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133,921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148,354</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889,394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(634,852)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(597,173)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259,741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292,855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393,662</w:t>
            </w:r>
          </w:p>
        </w:tc>
        <w:tc>
          <w:tcPr>
            <w:tcW w:w="3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97,209</w:t>
            </w:r>
          </w:p>
        </w:tc>
        <w:tc>
          <w:tcPr>
            <w:tcW w:w="0" w:type="dxa"/>
            <w:vAlign w:val="bottom"/>
          </w:tcPr>
          <w:p>
            <w:pPr>
              <w:spacing w:after="0"/>
              <w:rPr>
                <w:sz w:val="1"/>
                <w:szCs w:val="1"/>
                <w:color w:val="auto"/>
              </w:rPr>
            </w:pPr>
          </w:p>
        </w:tc>
      </w:tr>
      <w:tr>
        <w:trPr>
          <w:trHeight w:val="439"/>
        </w:trPr>
        <w:tc>
          <w:tcPr>
            <w:tcW w:w="670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2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revenues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Amortization of acquisition related intangibles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 and operating expenses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81,128</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(38,327)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income, net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(37,520)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16,427</w:t>
            </w: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(37,679)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Basic</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50,709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7"/>
              </w:rPr>
              <w:t>$ (37,679)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gains (losses)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Unrealized gains (losses) on investments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(12,501)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(36,535</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(37,679)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income to net cash used in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Provision for excess and obsolete inventory</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Losses on purchase commitments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 and liability accounts: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(7,812)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(19,732)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(57,774)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(18,479)</w:t>
            </w:r>
          </w:p>
        </w:tc>
        <w:tc>
          <w:tcPr>
            <w:tcW w:w="0" w:type="dxa"/>
            <w:vAlign w:val="bottom"/>
          </w:tcPr>
          <w:p>
            <w:pPr>
              <w:spacing w:after="0"/>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Purchase of minority investments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 for planned acquisition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Change in other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in lieu of issuance of common stock for payroll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Net borrowings on line of credit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4,626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exercise of employee stock options and ESPP</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9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7,102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123,783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87,594</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130,885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12,485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Non-cash issuance of common stock</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21"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American Superconductor Corporation (the “Company” or “AMSC”)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 based products. The Company’s wind and power grid products and services provide exceptional reliability, security, efficiency and affordability to its customers. The Company operates in two business units: AMSC Power Systems and AMSC Superconductors.</w:t>
      </w:r>
    </w:p>
    <w:p>
      <w:pPr>
        <w:spacing w:after="0" w:line="57"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June 30, 2011 and 2010 and the financial position at June 30, 2011. The unaudited condensed consolidated financial statements include the accounts of the Company and its wholly-owned subsidiaries. All significant intercompany balances and transactions are eliminated in consolidation. Certain reclassifications of prior year amounts have been made to conform to current year presentation. These reclassifications had no effect on net income, cash flows from operating activities or stockholders’ equity.</w:t>
      </w:r>
    </w:p>
    <w:p>
      <w:pPr>
        <w:spacing w:after="0" w:line="59"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On March 12, 2011, the Company entered into a definitive agreement to acquire The Switch Engineering Oy, (“The Switch”), headquartered in Vantaa, Finland. The Switch designs, manufactures and markets wind power products, including permanent magnet generators and power converter systems, as well as grid products such as commercial and small utility-scale solar inverters to customers in Asia, including China, Europe and North America.</w:t>
      </w:r>
    </w:p>
    <w:p>
      <w:pPr>
        <w:spacing w:after="0" w:line="39"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of April 1, 2011, the Company segmented its operations into two new market-facing business units: Wind and Grid. The Company believes this market-centric structure enables it to more effectively anticipate and meet the needs of wind turbine manufacturers, power generation project developers and electric utilities.</w:t>
      </w:r>
    </w:p>
    <w:p>
      <w:pPr>
        <w:spacing w:after="0" w:line="73" w:lineRule="exact"/>
        <w:rPr>
          <w:sz w:val="20"/>
          <w:szCs w:val="20"/>
          <w:color w:val="auto"/>
        </w:rPr>
      </w:pPr>
    </w:p>
    <w:p>
      <w:pPr>
        <w:ind w:left="1000" w:right="80" w:hanging="317"/>
        <w:spacing w:after="0" w:line="255"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the Windtec brand, the Wind business enables manufacturers to field wind turbines with exceptional power output,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94" w:lineRule="exact"/>
        <w:rPr>
          <w:rFonts w:ascii="Arial" w:cs="Arial" w:eastAsia="Arial" w:hAnsi="Arial"/>
          <w:sz w:val="18"/>
          <w:szCs w:val="18"/>
          <w:b w:val="1"/>
          <w:bCs w:val="1"/>
          <w:color w:val="auto"/>
        </w:rPr>
      </w:pPr>
    </w:p>
    <w:p>
      <w:pPr>
        <w:ind w:left="1000" w:right="180" w:hanging="317"/>
        <w:spacing w:after="0" w:line="257"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The Grid segment enables electric utilities and renewable energy project developers to connect, transmit and distribute power with</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efficiency, reliability and affordability. The Company provides transmission planning services that allows it to identify power grid congestion, poor power quality and other risks, which helps it determine how its solutions can improve network performance. These services often lead to sales of grid interconnection solutions for wind farms and solar power plants, power quality systems and transmission and distribution cable systems.</w:t>
      </w:r>
    </w:p>
    <w:p>
      <w:pPr>
        <w:spacing w:after="0" w:line="8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Prior to April 1, 2011, the Company segmented its operations through two technology-centric business units: AMSC Power Systems and AMSC Superconductors. AMSC Power Systems included all of its Wind products, as well as Grid products that regulate voltage for wind farm voltage electric utilities, renewable generation project developers and industrial operations. Solutions from the Company’s AMSC Superconductors business unit have been incorporated into its Grid business unit. All prior period segment disclosures have been revised to conform to management’s current view of the Company’s business segments.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85" w:lineRule="auto"/>
        <w:rPr>
          <w:sz w:val="20"/>
          <w:szCs w:val="20"/>
          <w:color w:val="auto"/>
        </w:rPr>
      </w:pPr>
      <w:r>
        <w:rPr>
          <w:rFonts w:ascii="Arial" w:cs="Arial" w:eastAsia="Arial" w:hAnsi="Arial"/>
          <w:sz w:val="16"/>
          <w:szCs w:val="16"/>
          <w:color w:val="auto"/>
        </w:rPr>
        <w:t>At June 30, 2011, the Company had cash, cash equivalents, marketable securities and restricted cash of $166.2 million. The Company’s business plan anticipates a substantial decline in revenues and a substantial use of cash from operations in its fiscal year ending March 31, 2012, particularly in light of the difficult and uncertain current economic environment, the significant restructuring actions undertaken and the uncertainty surrounding Sinovel Wind Group Co. Ltd. (“Sinovel”), which has historically accounted for more than two-thirds of the Company’s revenues, and certain of its other customers in China. The Company’s plan includes a significant restructuring undertaken in August 2011, resulting in the elimination of approximately 150 positions worldwide. Since April 1, 2011, the Company has eliminated approximately 30% of its workforce and it expects to save approximately $30 million annually as a result of these reductions. Additional actions include further monitoring of its operating results against expectations and, if required, further reducing operating costs and capital spending if events warrant in order to enhance liquidity. Due to the disruption in its relationship with Sinovel, the Company will need to raise additional capital in order to complete the planned acquisition of The Switch in order to have sufficient cash to fund its working capital, capital expenditures and other cash requirements. The Company may seek this financing through public or private equity offerings, debt financings, or other financing alternatives, however, there can be no assurance that financing will be available on acceptable terms or at all. If the Company fails to raise sufficient additional funds and terminates the purchase agreement for the acquisition of The Switch, it will likely forfeit the $20.6 million cash advance payment it paid to the shareholders of The Switch on June 29, 2011. In the event that the Company does not receive any additional payments from Sinovel and it neither completes the planned acquisition of The Switch, nor raises additional capital, the Company believes that its available cash, together with additional reductions in operating costs and capital expenditures as necessary will be sufficient to fund its operations, capital expenditures and other cash requirements through at least March 31, 2012. The Company’s long-term liquidity is dependent on its ability to profitably grow its revenues or raise additional capital as required.</w:t>
      </w:r>
    </w:p>
    <w:p>
      <w:pPr>
        <w:spacing w:after="0" w:line="7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2011 (fiscal 2010) which are contained in the Company’s Annual Report on Form 10-K.</w:t>
      </w:r>
    </w:p>
    <w:p>
      <w:pPr>
        <w:spacing w:after="0" w:line="73"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Company’s fiscal year begins on April 1 and ends on March 31. This document refers to fiscal 2011, which is defined as the period beginning on April 1, 2011 and concluding on March 31, 2012. The first quarter of fiscal 2011 began on April 1, 2011 and concluded on June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Fiscal 2010 Unaudited Condensed Consolidated Financial Statements</w:t>
      </w:r>
    </w:p>
    <w:p>
      <w:pPr>
        <w:spacing w:after="0" w:line="12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Company previously restated its unaudited condensed consolidated financial statements for the fiscal quarters ended September 30, 2010 and December 31, 2010 as reflected in amended Quarterly Reports on Form 10-Q for the applicable periods. The restatements related to the Company’s determination that revenues were incorrectly recorded in the second quarter of fiscal 2010 for certain of the Company’s customers in China as the fee was not fixed or determinable or collectability was not reasonably assured at the time of shipment. Further, as a result of aging receivables and other negative events surrounding the customer relationship, the Company concluded that revenue related to shipments to Sinovel was incorrectly recorded in the third quarter of fiscal 2010 as collectability was not reasonably assured at the time of shipments. For Sinovel and certain other customers in China, the Company has restated revenues based on a cash basis of accounting with cash applied first against accounts receivable balances, as in the case of Sinovel as of September 30, 2010, then costs of shipments (inventory and value added taxes) before recognizing any gross margin. For certain Chinese customers other than Sinovel, the Company has determined that this method of accounting should have been applied for shipments after August 31, 2010. For Sinovel, the Company has determined that this method of accounting should have been applied for shipments after September 30, 2010. The Company had previously recognized revenues in the quarters ended September 30, 2010 and December 31, 2010 based on the receipt of shipments by these customers but prior to the Company’s receipt of payment for such shipments.</w:t>
      </w:r>
    </w:p>
    <w:p>
      <w:pPr>
        <w:spacing w:after="0" w:line="72"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connection with the errors identified by the Company resulting in the restatement of the Company’s unaudited condensed consolidated financial statements for the quarterly periods ending September 30, 2010 and December 31, 2010, the Company identified control deficiencies in its internal controls that constitute material weaknesses. The deficiencies center on its controls over its revenue and accounts receivable balances, as fees were not fixed or determinable or collectability was not reasonably assured at the time revenue was recognized. As a result of these deficiencies, the Company determined that its disclosure controls and procedures were ineffective as of September 30, 2010, December 31, 2010, March 31, 2011, and June 30, 2011.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 Stock-Based Compensation</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months ended June 30, 2011 and 2010 (in thousands):</w:t>
      </w:r>
    </w:p>
    <w:p>
      <w:pPr>
        <w:spacing w:after="0" w:line="16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5"/>
        <w:spacing w:after="0" w:line="273" w:lineRule="auto"/>
        <w:rPr>
          <w:sz w:val="20"/>
          <w:szCs w:val="20"/>
          <w:color w:val="auto"/>
        </w:rPr>
      </w:pPr>
      <w:r>
        <w:rPr>
          <w:rFonts w:ascii="Arial" w:cs="Arial" w:eastAsia="Arial" w:hAnsi="Arial"/>
          <w:sz w:val="17"/>
          <w:szCs w:val="17"/>
          <w:color w:val="auto"/>
        </w:rPr>
        <w:t>During the three months ended June 30, 2011, the Company granted approximately 634,000 and 213,000 shares of stock options and restricted stock, respectively, to employees under the 2007 Stock Incentive Plan. The restricted stock granted during the three months ended June 30, 2011 includes approximately 5,000 shares of performance-based restricted stock, which will vest upon achievement of certain financial performance measurements. At June 30, 2011, the Company determined that achievement of the performance measures are probable and as such, will recognize the fair value of the performance based awards over the estimated period of each award. The remaining shares granted vest upon the passage of time, generally 3 years. For awards that vest upon the passage of time, expense is being recorded over the vesting period.</w:t>
      </w:r>
    </w:p>
    <w:p>
      <w:pPr>
        <w:spacing w:after="0" w:line="70"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In connection with the vesting of certain restricted stock awards issued to certain executive officers of the Company, these employees paid withholding taxes due by returning 23,861 shares valued at $0.3 million. The Company has recorded these shares as treasury stock as of June 30, 2011.</w:t>
      </w:r>
    </w:p>
    <w:p>
      <w:pPr>
        <w:spacing w:after="0" w:line="16"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$12.6 million for the three months ended June 30, 2011. This expense will be recognized over a weighted average expense period of approximately 2.6 years. The total unrecognized compensation cost for unvested outstanding restricted stock was $6.5 million for the three months ended June 30, 2011. This expense will be recognized over a weighted average expense period of approximately 2.3 years.</w:t>
      </w:r>
    </w:p>
    <w:p>
      <w:pPr>
        <w:spacing w:after="0" w:line="8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weighted-average assumptions used in the Black-Scholes valuation model for stock options granted during the three months ended June 30, 2011 and 2010 are as follows:</w:t>
      </w:r>
    </w:p>
    <w:p>
      <w:pPr>
        <w:spacing w:after="0" w:line="16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None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79" w:lineRule="exact"/>
        <w:rPr>
          <w:sz w:val="20"/>
          <w:szCs w:val="20"/>
          <w:color w:val="auto"/>
        </w:rPr>
      </w:pPr>
    </w:p>
    <w:p>
      <w:pPr>
        <w:jc w:val="both"/>
        <w:ind w:right="600" w:firstLine="222"/>
        <w:spacing w:after="0" w:line="312"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3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recorded $0.6 million of stock compensation expense in the three months ended June 30, 2011 related to outstanding stock options of the former Chief Executive Officer as discussed in Note 14, “Chief Executive Officer Transition.”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(Loss) Income per Common Share</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months ended June 30, 2011 and 2010,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equivalent shares of 3.0 million shares and 1.4 million shares, respectively, were not included in the calculation of diluted EPS as they were considered anti-dilutive.</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2011 and 2010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(37,679)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51,172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subject to repurchase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50,709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diluted</w:t>
            </w: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50,709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(0.74)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the three months ended June 30, 2011.</w:t>
      </w:r>
    </w:p>
    <w:p>
      <w:pPr>
        <w:spacing w:after="0" w:line="81"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58" w:lineRule="exact"/>
        <w:rPr>
          <w:sz w:val="20"/>
          <w:szCs w:val="20"/>
          <w:color w:val="auto"/>
        </w:rPr>
      </w:pPr>
    </w:p>
    <w:p>
      <w:pPr>
        <w:ind w:left="1260" w:right="520" w:hanging="917"/>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Inputs are unadjusted quoted prices in active markets for identical assets or liabilities that the Company has the ability to access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67" w:lineRule="exact"/>
        <w:rPr>
          <w:sz w:val="20"/>
          <w:szCs w:val="20"/>
          <w:color w:val="auto"/>
        </w:rPr>
      </w:pPr>
    </w:p>
    <w:p>
      <w:pPr>
        <w:ind w:left="1260" w:right="20" w:hanging="917"/>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Inputs include quoted prices for similar assets and liabilities in active markets, quoted prices for identical or similar assets or liabilities in</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64" w:lineRule="exact"/>
        <w:rPr>
          <w:sz w:val="20"/>
          <w:szCs w:val="20"/>
          <w:color w:val="auto"/>
        </w:rPr>
      </w:pPr>
    </w:p>
    <w:p>
      <w:pPr>
        <w:ind w:left="1260" w:right="700" w:hanging="917"/>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that reflect the Company’s assumptions that market participants would use in pricing the asset or liability.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develops these inputs based on the best information available, including its own data.</w:t>
      </w:r>
    </w:p>
    <w:p>
      <w:pPr>
        <w:spacing w:after="0" w:line="58" w:lineRule="exact"/>
        <w:rPr>
          <w:sz w:val="20"/>
          <w:szCs w:val="20"/>
          <w:color w:val="auto"/>
        </w:rPr>
      </w:pPr>
    </w:p>
    <w:p>
      <w:pPr>
        <w:ind w:right="720" w:firstLine="215"/>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the assets carried at fair value, measured as of June 30, 2011 and March 31, 2011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6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Using Significant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5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r>
      <w:tr>
        <w:trPr>
          <w:trHeight w:val="171"/>
        </w:trPr>
        <w:tc>
          <w:tcPr>
            <w:tcW w:w="52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$ 99,546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Short-term commercial paper</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5,373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5,373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government-backed securities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42"/>
        </w:trPr>
        <w:tc>
          <w:tcPr>
            <w:tcW w:w="520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60" w:type="dxa"/>
            <w:vAlign w:val="bottom"/>
          </w:tcPr>
          <w:p>
            <w:pPr>
              <w:spacing w:after="0"/>
              <w:rPr>
                <w:sz w:val="24"/>
                <w:szCs w:val="2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Using Significant 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Using Significant</w:t>
            </w:r>
          </w:p>
        </w:tc>
      </w:tr>
      <w:tr>
        <w:trPr>
          <w:trHeight w:val="149"/>
        </w:trPr>
        <w:tc>
          <w:tcPr>
            <w:tcW w:w="5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r>
      <w:tr>
        <w:trPr>
          <w:trHeight w:val="171"/>
        </w:trPr>
        <w:tc>
          <w:tcPr>
            <w:tcW w:w="52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$ 49,837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Short-term government-backed securities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76,371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76,371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commercial paper</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Derivatives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3,087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3,087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derivatives entered into by the Company are valued using over-the-counter quoted market prices for similar instruments, and are classified within Level 2 of the valuation hierarchy.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8,593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$ 12,912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$ 17,233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7. Inventory</w:t>
            </w: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tcPr>
          <w:p>
            <w:pPr>
              <w:ind w:left="220"/>
              <w:spacing w:after="0"/>
              <w:rPr>
                <w:sz w:val="20"/>
                <w:szCs w:val="20"/>
                <w:color w:val="auto"/>
              </w:rPr>
            </w:pPr>
            <w:r>
              <w:rPr>
                <w:rFonts w:ascii="Arial" w:cs="Arial" w:eastAsia="Arial" w:hAnsi="Arial"/>
                <w:sz w:val="18"/>
                <w:szCs w:val="18"/>
                <w:color w:val="auto"/>
              </w:rPr>
              <w:t>The components of inventory are as follows (in thousands):</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$ 17,100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Work-in-process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4,423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program costs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2,432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inventory</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31,068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$ 25,828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5"/>
        <w:spacing w:after="0" w:line="342" w:lineRule="auto"/>
        <w:rPr>
          <w:sz w:val="20"/>
          <w:szCs w:val="20"/>
          <w:color w:val="auto"/>
        </w:rPr>
      </w:pPr>
      <w:r>
        <w:rPr>
          <w:rFonts w:ascii="Arial" w:cs="Arial" w:eastAsia="Arial" w:hAnsi="Arial"/>
          <w:sz w:val="16"/>
          <w:szCs w:val="16"/>
          <w:color w:val="auto"/>
        </w:rPr>
        <w:t>Deferred program costs as of June 30, 2011 and March 31 2011 primarily represent costs incurred on D-VAR turnkey projects and programs accounted for under contract accounting where the Company needs to complete development programs before revenue and costs will be recognized,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Warranty</w:t>
      </w:r>
    </w:p>
    <w:p>
      <w:pPr>
        <w:spacing w:after="0" w:line="12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warranty activity was as follows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For the three months ended June 30, 2011 and 2010, the Company recorded an income tax expense of $0.2 million and $7.3 million, respectively. The Company has provided a valuation allowance against all deferred tax assets as of June 30, 2011, as it is more likely than not that its deferred tax assets are not currently realizable due to the net operating losses incurred by the Company since its inception.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Any commitments for products ordered but not yet received is included as purchase commitments in its contractual obligations table. The Company periodically assesses the need to provide for impairment on these purchase contracts and record a loss on purchase commitments when required. As of June 30, 2011, the Company has $40.3 million of adverse purchase commitments in excess of its estimated future demand from certain of its customers in China, which the Company has recorded as a liability. During three months ended June 30, 2011, the Company recorded losses of $1.1 million to cost of revenues as a result of commitments to purchase materials that were in excess of its estimated future demand from certain of its customers in China.</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the loss is not probable or cannot be reasonably estimated, a liability is not recorded in its consolidated financial statements.</w:t>
      </w:r>
    </w:p>
    <w:p>
      <w:pPr>
        <w:spacing w:after="0" w:line="6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Between April 6, 2011 and April 29, 2011, six putative securities class action complaints were filed against the Company and two of its officers in the United States District Court for the District of Massachusetts. On May 12, 2011, an additional complaint was filed against the Company, its officers and directors, and the underwriters who participated in the Company’s November 12, 2010 securities offering. On June 7, 2011, the United States District Court for the District of Massachusetts consolidated these actions under the caption </w:t>
      </w:r>
      <w:r>
        <w:rPr>
          <w:rFonts w:ascii="Arial" w:cs="Arial" w:eastAsia="Arial" w:hAnsi="Arial"/>
          <w:sz w:val="17"/>
          <w:szCs w:val="17"/>
          <w:i w:val="1"/>
          <w:iCs w:val="1"/>
          <w:color w:val="auto"/>
        </w:rPr>
        <w:t>Lenartz v. American Superconductor Corporation, et al.</w:t>
      </w:r>
      <w:r>
        <w:rPr>
          <w:rFonts w:ascii="Arial" w:cs="Arial" w:eastAsia="Arial" w:hAnsi="Arial"/>
          <w:sz w:val="17"/>
          <w:szCs w:val="17"/>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the Company, its officers and directors, and the underwriters who participated in the Company’s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the Company and its officers omitted to state material facts and made materially false and misleading statements relating to, among other things, the Company’s projected and recognized revenues and earnings, as well as the Company’s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w:t>
      </w:r>
    </w:p>
    <w:p>
      <w:pPr>
        <w:spacing w:after="0" w:line="7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On April 27, 2011, a putative shareholder derivative complaint was filed against the Company (as a nominal defendant) and each of its current directors in Superior Court for the Commonwealth of Massachusetts, Worcester County. The case is captioned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Docket No. 11-0787. Between May 4, 2011 and June 17, 2011, four additional putative shareholder derivative complaints were filed in the United States District Court for the District of Massachusetts against the Company and certain of its directors and officers. The cases are captioned </w:t>
      </w:r>
      <w:r>
        <w:rPr>
          <w:rFonts w:ascii="Arial" w:cs="Arial" w:eastAsia="Arial" w:hAnsi="Arial"/>
          <w:sz w:val="17"/>
          <w:szCs w:val="17"/>
          <w:i w:val="1"/>
          <w:iCs w:val="1"/>
          <w:color w:val="auto"/>
        </w:rPr>
        <w:t>Weakley v. Yurek, et al.</w:t>
      </w:r>
      <w:r>
        <w:rPr>
          <w:rFonts w:ascii="Arial" w:cs="Arial" w:eastAsia="Arial" w:hAnsi="Arial"/>
          <w:sz w:val="17"/>
          <w:szCs w:val="17"/>
          <w:color w:val="auto"/>
        </w:rPr>
        <w:t xml:space="preserve">, Docket No. 1:11-cv-10784;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Docket No. 1:11-cv-10825;</w:t>
      </w:r>
      <w:r>
        <w:rPr>
          <w:rFonts w:ascii="Arial" w:cs="Arial" w:eastAsia="Arial" w:hAnsi="Arial"/>
          <w:sz w:val="17"/>
          <w:szCs w:val="17"/>
          <w:i w:val="1"/>
          <w:iCs w:val="1"/>
          <w:color w:val="auto"/>
        </w:rPr>
        <w:t xml:space="preserve"> Connors v. Yurek, et al.</w:t>
      </w:r>
      <w:r>
        <w:rPr>
          <w:rFonts w:ascii="Arial" w:cs="Arial" w:eastAsia="Arial" w:hAnsi="Arial"/>
          <w:sz w:val="17"/>
          <w:szCs w:val="17"/>
          <w:color w:val="auto"/>
        </w:rPr>
        <w:t>, Docket No. 1:11-cv-10910; and</w:t>
      </w:r>
      <w:r>
        <w:rPr>
          <w:rFonts w:ascii="Arial" w:cs="Arial" w:eastAsia="Arial" w:hAnsi="Arial"/>
          <w:sz w:val="17"/>
          <w:szCs w:val="17"/>
          <w:i w:val="1"/>
          <w:iCs w:val="1"/>
          <w:color w:val="auto"/>
        </w:rPr>
        <w:t xml:space="preserve"> Hurd v. Yurek, et al.</w:t>
      </w:r>
      <w:r>
        <w:rPr>
          <w:rFonts w:ascii="Arial" w:cs="Arial" w:eastAsia="Arial" w:hAnsi="Arial"/>
          <w:sz w:val="17"/>
          <w:szCs w:val="17"/>
          <w:color w:val="auto"/>
        </w:rPr>
        <w:t>, Docket No. 1:11-cv-11102. On June 1, 2011, the plaintiff in</w:t>
      </w:r>
      <w:r>
        <w:rPr>
          <w:rFonts w:ascii="Arial" w:cs="Arial" w:eastAsia="Arial" w:hAnsi="Arial"/>
          <w:sz w:val="17"/>
          <w:szCs w:val="17"/>
          <w:i w:val="1"/>
          <w:iCs w:val="1"/>
          <w:color w:val="auto"/>
        </w:rPr>
        <w:t xml:space="preserve"> Marlborough Family Revocable Trust v. Yurek, et al. </w:t>
      </w:r>
      <w:r>
        <w:rPr>
          <w:rFonts w:ascii="Arial" w:cs="Arial" w:eastAsia="Arial" w:hAnsi="Arial"/>
          <w:sz w:val="17"/>
          <w:szCs w:val="17"/>
          <w:color w:val="auto"/>
        </w:rPr>
        <w:t>moved to voluntarily dismiss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complaint and refiled its complaint in Superior Court for the Commonwealth of Massachusetts, Middlesex County, on June 3, 2011. The case is now captioned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xml:space="preserve">, Docket No. 11-1961. The Superior Court in Worcester County granted the plaintiff’s motion to transfer in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to the Superior Court for the Commonwealth of Massachusetts, Middlesex County on June 23, 2011, and that matter is now captioned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Docket No. 11-2269. On July 5, 2011, the </w:t>
      </w:r>
      <w:r>
        <w:rPr>
          <w:rFonts w:ascii="Arial" w:cs="Arial" w:eastAsia="Arial" w:hAnsi="Arial"/>
          <w:sz w:val="17"/>
          <w:szCs w:val="17"/>
          <w:i w:val="1"/>
          <w:iCs w:val="1"/>
          <w:color w:val="auto"/>
        </w:rPr>
        <w:t>Weakley</w:t>
      </w:r>
      <w:r>
        <w:rPr>
          <w:rFonts w:ascii="Arial" w:cs="Arial" w:eastAsia="Arial" w:hAnsi="Arial"/>
          <w:sz w:val="17"/>
          <w:szCs w:val="17"/>
          <w:color w:val="auto"/>
        </w:rPr>
        <w:t xml:space="preserve">, </w:t>
      </w:r>
      <w:r>
        <w:rPr>
          <w:rFonts w:ascii="Arial" w:cs="Arial" w:eastAsia="Arial" w:hAnsi="Arial"/>
          <w:sz w:val="17"/>
          <w:szCs w:val="17"/>
          <w:i w:val="1"/>
          <w:iCs w:val="1"/>
          <w:color w:val="auto"/>
        </w:rPr>
        <w:t>Connors</w:t>
      </w:r>
      <w:r>
        <w:rPr>
          <w:rFonts w:ascii="Arial" w:cs="Arial" w:eastAsia="Arial" w:hAnsi="Arial"/>
          <w:sz w:val="17"/>
          <w:szCs w:val="17"/>
          <w:color w:val="auto"/>
        </w:rPr>
        <w:t xml:space="preserve"> and </w:t>
      </w:r>
      <w:r>
        <w:rPr>
          <w:rFonts w:ascii="Arial" w:cs="Arial" w:eastAsia="Arial" w:hAnsi="Arial"/>
          <w:sz w:val="17"/>
          <w:szCs w:val="17"/>
          <w:i w:val="1"/>
          <w:iCs w:val="1"/>
          <w:color w:val="auto"/>
        </w:rPr>
        <w:t>Hurd</w:t>
      </w:r>
      <w:r>
        <w:rPr>
          <w:rFonts w:ascii="Arial" w:cs="Arial" w:eastAsia="Arial" w:hAnsi="Arial"/>
          <w:sz w:val="17"/>
          <w:szCs w:val="17"/>
          <w:color w:val="auto"/>
        </w:rPr>
        <w:t xml:space="preserve"> actions were consolidated in United States District Court for the District of Massachusetts. That matter is now captioned </w:t>
      </w:r>
      <w:r>
        <w:rPr>
          <w:rFonts w:ascii="Arial" w:cs="Arial" w:eastAsia="Arial" w:hAnsi="Arial"/>
          <w:sz w:val="17"/>
          <w:szCs w:val="17"/>
          <w:i w:val="1"/>
          <w:iCs w:val="1"/>
          <w:color w:val="auto"/>
        </w:rPr>
        <w:t>In re American Superconductor Corporation Derivative Litigation</w:t>
      </w:r>
      <w:r>
        <w:rPr>
          <w:rFonts w:ascii="Arial" w:cs="Arial" w:eastAsia="Arial" w:hAnsi="Arial"/>
          <w:sz w:val="17"/>
          <w:szCs w:val="17"/>
          <w:color w:val="auto"/>
        </w:rPr>
        <w:t xml:space="preserve">, Docket No. 1:11-cv-10784. On June 1, 2011, the plaintiff in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to the Superior Court for the Commonwealth of Massachusetts, Middlesex County on June 23, 2011. On September 7, 2011, the </w:t>
      </w:r>
      <w:r>
        <w:rPr>
          <w:rFonts w:ascii="Arial" w:cs="Arial" w:eastAsia="Arial" w:hAnsi="Arial"/>
          <w:sz w:val="17"/>
          <w:szCs w:val="17"/>
          <w:i w:val="1"/>
          <w:iCs w:val="1"/>
          <w:color w:val="auto"/>
        </w:rPr>
        <w:t>Marlborough</w:t>
      </w:r>
      <w:r>
        <w:rPr>
          <w:rFonts w:ascii="Arial" w:cs="Arial" w:eastAsia="Arial" w:hAnsi="Arial"/>
          <w:sz w:val="17"/>
          <w:szCs w:val="17"/>
          <w:color w:val="auto"/>
        </w:rPr>
        <w:t xml:space="preserve"> and </w:t>
      </w:r>
      <w:r>
        <w:rPr>
          <w:rFonts w:ascii="Arial" w:cs="Arial" w:eastAsia="Arial" w:hAnsi="Arial"/>
          <w:sz w:val="17"/>
          <w:szCs w:val="17"/>
          <w:i w:val="1"/>
          <w:iCs w:val="1"/>
          <w:color w:val="auto"/>
        </w:rPr>
        <w:t>Segel</w:t>
      </w:r>
      <w:r>
        <w:rPr>
          <w:rFonts w:ascii="Arial" w:cs="Arial" w:eastAsia="Arial" w:hAnsi="Arial"/>
          <w:sz w:val="17"/>
          <w:szCs w:val="17"/>
          <w:color w:val="auto"/>
        </w:rPr>
        <w:t xml:space="preserve"> actions were consolidated in Superior Court for the Commonwealth of Massachusetts, Middlesex County. The case 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now captioned </w:t>
      </w:r>
      <w:r>
        <w:rPr>
          <w:rFonts w:ascii="Arial" w:cs="Arial" w:eastAsia="Arial" w:hAnsi="Arial"/>
          <w:sz w:val="18"/>
          <w:szCs w:val="18"/>
          <w:i w:val="1"/>
          <w:iCs w:val="1"/>
          <w:color w:val="auto"/>
        </w:rPr>
        <w:t>Marlborough Family Revocable Trust v. Yurek, et al.</w:t>
      </w:r>
      <w:r>
        <w:rPr>
          <w:rFonts w:ascii="Arial" w:cs="Arial" w:eastAsia="Arial" w:hAnsi="Arial"/>
          <w:sz w:val="18"/>
          <w:szCs w:val="18"/>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the Company, as well as an award of costs and expenses, including attorney’s fees.</w:t>
      </w:r>
    </w:p>
    <w:p>
      <w:pPr>
        <w:spacing w:after="0" w:line="7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If a matter is both probable to result in liability and the amounts of loss can be reasonably estimated, the Company estimates and discloses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70" w:lineRule="exact"/>
        <w:rPr>
          <w:sz w:val="20"/>
          <w:szCs w:val="20"/>
          <w:color w:val="auto"/>
        </w:rPr>
      </w:pPr>
    </w:p>
    <w:p>
      <w:pPr>
        <w:ind w:right="200" w:firstLine="225"/>
        <w:spacing w:after="0" w:line="270" w:lineRule="auto"/>
        <w:rPr>
          <w:sz w:val="20"/>
          <w:szCs w:val="20"/>
          <w:color w:val="auto"/>
        </w:rPr>
      </w:pPr>
      <w:r>
        <w:rPr>
          <w:rFonts w:ascii="Arial" w:cs="Arial" w:eastAsia="Arial" w:hAnsi="Arial"/>
          <w:sz w:val="17"/>
          <w:szCs w:val="17"/>
          <w:color w:val="auto"/>
        </w:rPr>
        <w:t>On September 13, 2011, the Company commenced a series of legal actions in China against Sinovel Wind Group Co. Ltd. (“Sinovel”). The Company’s Chinese subsidiary, Suzhou AMSC Superconductor Co. Ltd. (“AMSC China”), filed a claim for arbitration with the Beijing Arbitration Commission in accordance with the terms of the Company’s supply contracts with Sinovel.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the Company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(including interest) and monetary damages due to Sinovel’s breaches of its contracts. The Company is also seeking specific performance of our existing contracts as well as reimbursement of all costs and reasonable expenses with respect to the arbitration.</w:t>
      </w:r>
    </w:p>
    <w:p>
      <w:pPr>
        <w:spacing w:after="0" w:line="74"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Company also submitted a civil action application to the Beijing No. 1 Intermediate People’s Court against Sinovel for software copyright infringement. The application alleges Sinovel’s unauthorized use of portions of the Company’s wind turbine control software source code developed for Sinovel’s 1.5MW wind turbines and the binary code, or upper layer, of the Company’s software for the PM3000 power converters in 1.5MW wind turbines. In July 2011, a former employee of the Company’s AMSC Windtec GmbH subsidiary was arrested in Austria and is currently awaiting trial on charges of economic espionage and fraudulent manipulation of data.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that the former employee illegally used source code to develop for Sinovel a software modification to circumvent the encryption and remove technical protection measures on the PM3000 power converters in 1.5MW wind turbines in the field. The Company is seeking a cease and desist order with respect to the unauthorized copying, installation and use of its software, monetary damages for our economic losses and reimbursement of all costs and reasonable expenses. The court must accept the application in order for the case to proceed, and there can be no assurance that the court will do so.</w:t>
      </w:r>
    </w:p>
    <w:p>
      <w:pPr>
        <w:spacing w:after="0" w:line="72"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submitted a civil action application to the Beijing Higher People’s Court against Sinovel and certain of its employees for trade secret infringement. The application alleges the defendants’ unauthorized use of portions of the Company’s wind turbine control software source code developed for Sinovel’s 1.5MW wind turbines as described above with respect to the Copyright Action. The Company is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September 16, 2011, the Company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the Company’s PM1000 converters in certain Sinovel wind turbines have been replaced by converters produced by Guotong. Because the Guotong converters are being used in wind turbines containing its wind turbine control software, the Company believes that its copyrighted software is being infringed. The Company is seeking a cease and desist order with respect to the unauthorized use of its software, monetary damages for its economic losses (with respect to Guotong only) and reimbursement of all costs and reasonable expenses.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46" w:lineRule="exact"/>
        <w:rPr>
          <w:sz w:val="20"/>
          <w:szCs w:val="20"/>
          <w:color w:val="auto"/>
        </w:rPr>
      </w:pPr>
    </w:p>
    <w:p>
      <w:pPr>
        <w:ind w:right="200" w:firstLine="215"/>
        <w:spacing w:after="0" w:line="279" w:lineRule="auto"/>
        <w:rPr>
          <w:sz w:val="20"/>
          <w:szCs w:val="20"/>
          <w:color w:val="auto"/>
        </w:rPr>
      </w:pPr>
      <w:r>
        <w:rPr>
          <w:rFonts w:ascii="Arial" w:cs="Arial" w:eastAsia="Arial" w:hAnsi="Arial"/>
          <w:sz w:val="17"/>
          <w:szCs w:val="17"/>
          <w:color w:val="auto"/>
        </w:rPr>
        <w:t>As of June 30, 2011, the Company had nine performance bonds on behalf of AMSC Windtec and its wholly-owned Chinese subsidiary, Suzhou AMSC Superconductor Co. Ltd (“AMSC China”), in support of customer contracts to guarantee supply of core components and software. The total value of the outstanding performance bonds is $2.3 million with various expiration dates through March 2014. In the event that the payment is made in accordance with the requirements of any of these performance bonds, the Company would record the payment as an offset to revenue.</w:t>
      </w:r>
    </w:p>
    <w:p>
      <w:pPr>
        <w:spacing w:after="0" w:line="63"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At June 30, 2011, the Company had $6.5 million of restricted cash included in current assets. At June 30, 2011, the Company had $2.9 million of restricted cash included in long term assets with various expiration dates through March 2014. These amounts included in restricted cash represent deposits to secure letters of credit for various supply contracts. These deposits are held in an interest bearing account. The Company had an additional $2.5 million in unsecured letters of credit at June 30, 2011 in support of various supply contracts.</w:t>
      </w:r>
    </w:p>
    <w:p>
      <w:pPr>
        <w:spacing w:after="0" w:line="7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had unused, unsecured lines of credit consisting of RMB 114.8 million (approximately $17.8 million) in China and €1.6 million (approximately $2.3 million) in Austria as of June 30, 2011. In July 2011, the Bank of China informed the Company that its unsecured credit line of approximately RMB 100.0 million (approximately $15.5 million), which expired in August 2011, would not be renewed. As of June 30, 2011, the Company had net borrowings on lines of credit outstanding of $4.6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Investments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117" w:lineRule="exact"/>
        <w:rPr>
          <w:sz w:val="20"/>
          <w:szCs w:val="20"/>
          <w:color w:val="auto"/>
        </w:rPr>
      </w:pPr>
    </w:p>
    <w:p>
      <w:pPr>
        <w:ind w:right="440" w:firstLine="225"/>
        <w:spacing w:after="0" w:line="312" w:lineRule="auto"/>
        <w:rPr>
          <w:sz w:val="20"/>
          <w:szCs w:val="20"/>
          <w:color w:val="auto"/>
        </w:rPr>
      </w:pPr>
      <w:r>
        <w:rPr>
          <w:rFonts w:ascii="Arial" w:cs="Arial" w:eastAsia="Arial" w:hAnsi="Arial"/>
          <w:sz w:val="16"/>
          <w:szCs w:val="16"/>
          <w:color w:val="auto"/>
        </w:rPr>
        <w:t>On October 9, 2009, the Company made an investment in Tres Amigas LLC, (“Tres Amigas”), a merchant transmission company, for $1.8 million, consisting of $0.8 million in cash and $1.0 million in AMSC common stock. On January 6, 2011 and May 20, 2011, the Company increased its minority position in Tres Amigas by an additional $1.8 million on each date. As of June 30, 2011, the Company holds a 37% ownership interest.</w:t>
      </w:r>
    </w:p>
    <w:p>
      <w:pPr>
        <w:spacing w:after="0" w:line="3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has determined that Tres Amigas is a variable interest entity (“VIE”) and that the Company is not the primary beneficiary of the VIE. Therefore, the Company has not consolidated Tres Amigas as of June 30, 2011. The investment is carried at the acquisition cost, plus the Company’s equity in undistributed earnings or losses. The Company’s maximum exposure to loss is limited to the Company’s recorded investment in this VIE. The Company’s investment in Tres Amigas is included in other assets on the consolidated balance sheet and the equity in undistributed losses of Tres Amigas is included in other income (expense), net, on the consolidated statements of operations.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investment activity for the three months ended June 30, 2011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Purchase of minority investment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Minority interest in net losses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August 12, 2010, the Company acquired (through AMSC Windtec), a minority ownership position in Blade Dynamics Ltd. (“Blade Dynamics”), a designer and manufacturer of advanced wind turbine blades based on proprietary materials and structural technologies, for $8.0 million in cash. The Company uses the equity method of accounting for this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investment since it does not have a controlling ownership interest in the operating and financial policies of Blade Dynamics. As such, the investment is carried at the acquisition cost, plus the Company’s equity in undistributed earnings or losses. The Company’s investment is included in other assets on the unaudited condensed consolidated balance sheet and the minority interest in net losses of Blade Dynamics is included in other income (expense), net, on the unaudited condensed consolidated statements of operations. As of June 30, 2011, the Company holds a 25% ownership interest. The net investment activity for the three months ended June 30, 2011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Minority interest in net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(426)</w:t>
            </w: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121"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Business segments are defined as components of an enterprise about which separate financial information is available that is evaluated regularly by the chief operating decision maker, or decision-making group, in assessing performance and deciding how to allocate resources.</w:t>
      </w:r>
    </w:p>
    <w:p>
      <w:pPr>
        <w:spacing w:after="0" w:line="38"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of April 1, 2011, the Company segmented its operations into two new market-facing business units: Wind and Grid. The Company believes this market-centric structure enables it to more effectively anticipate and meet the needs of wind turbine manufacturers, power generation project developers and electric utilities.</w:t>
      </w:r>
    </w:p>
    <w:p>
      <w:pPr>
        <w:spacing w:after="0" w:line="73" w:lineRule="exact"/>
        <w:rPr>
          <w:sz w:val="20"/>
          <w:szCs w:val="20"/>
          <w:color w:val="auto"/>
        </w:rPr>
      </w:pPr>
    </w:p>
    <w:p>
      <w:pPr>
        <w:ind w:left="1000" w:right="40" w:hanging="317"/>
        <w:spacing w:after="0" w:line="255"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the Windtec brand, the Wind business unit enables manufacturers to field wind turbines with exceptional power output,</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94" w:lineRule="exact"/>
        <w:rPr>
          <w:rFonts w:ascii="Arial" w:cs="Arial" w:eastAsia="Arial" w:hAnsi="Arial"/>
          <w:sz w:val="18"/>
          <w:szCs w:val="18"/>
          <w:b w:val="1"/>
          <w:bCs w:val="1"/>
          <w:color w:val="auto"/>
        </w:rPr>
      </w:pPr>
    </w:p>
    <w:p>
      <w:pPr>
        <w:ind w:left="1000" w:right="140" w:hanging="317"/>
        <w:spacing w:after="0" w:line="257"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The Grid segment enables electric utilities and renewable energy project developers to connect, transmit and distribute power with</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efficiency, reliability and affordability. The Grid business unit provides transmission planning services that allow us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8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Prior to April 1, 2011, the Company segmented its operations through two technology-centric business units: AMSC Power Systems and AMSC Superconductors. AMSC Power Systems included all of its Wind products, as well as Grid products that regulate voltage for wind farm voltage electric utilities, renewable generation project developers and industrial operations. Solutions from the Company’s AMSC Superconductors business unit have been incorporated into its Grid business unit. All prior period segment disclosures have been revised to conform to management’s current view of the Company’s business segments.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Wind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4,262</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83,006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4,796</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w:t>
            </w:r>
          </w:p>
        </w:tc>
      </w:tr>
      <w:tr>
        <w:trPr>
          <w:trHeight w:val="223"/>
        </w:trPr>
        <w:tc>
          <w:tcPr>
            <w:tcW w:w="5780" w:type="dxa"/>
            <w:vAlign w:val="bottom"/>
          </w:tcPr>
          <w:p>
            <w:pPr>
              <w:ind w:left="22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97,209</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r>
              <w:rPr>
                <w:rFonts w:ascii="Arial" w:cs="Arial" w:eastAsia="Arial" w:hAnsi="Arial"/>
                <w:sz w:val="18"/>
                <w:szCs w:val="18"/>
                <w:color w:val="auto"/>
              </w:rPr>
              <w:t>:</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Wind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(24,370)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31,339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(10,552)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(11,764)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(3,405)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(3,494)</w:t>
            </w:r>
          </w:p>
        </w:tc>
      </w:tr>
      <w:tr>
        <w:trPr>
          <w:trHeight w:val="27"/>
        </w:trPr>
        <w:tc>
          <w:tcPr>
            <w:tcW w:w="57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(38,327)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16,081</w:t>
            </w:r>
          </w:p>
        </w:tc>
      </w:tr>
      <w:tr>
        <w:trPr>
          <w:trHeight w:val="20"/>
        </w:trPr>
        <w:tc>
          <w:tcPr>
            <w:tcW w:w="5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Unallocated corporate expenses include stock-based compensation expense of $3.5 million for the three months ended June 30, 2011 and 2010.</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24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$ 127,360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$ 145,464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Grid</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64,252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67,081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202,050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228,664</w:t>
            </w: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$ 393,662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$ 441,209</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three months ended June 30, 2011 and 2010:</w:t>
      </w:r>
    </w:p>
    <w:p>
      <w:pPr>
        <w:spacing w:after="0" w:line="16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Department of Energy</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Doosan Heavy Industries &amp; Construction Co Ltd.</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Shenyang Blower Works Group Wind Power Co.,Ltd.</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Sinovel Wind Co., Ltd</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91"/>
        </w:trPr>
        <w:tc>
          <w:tcPr>
            <w:tcW w:w="9180" w:type="dxa"/>
            <w:vAlign w:val="bottom"/>
          </w:tcPr>
          <w:p>
            <w:pPr>
              <w:ind w:left="562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9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Planned Acquisition of “The Switch”</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On March 12, 2011, the Company entered into a Share Purchase Agreement (the “Agreement”), by and among the Company and the shareholders of The Switch Engineering Oy, a power technologies company headquartered in Finland (“The Switch”).</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June 29, 2011, the Company entered into an amendment agreement (the “Amendment”), by and among the Company and the shareholders (the “Shareholders”) of The Switch, amending the Agreement. Pursuant to the Agreement, as amended by the Amendment, the Company has agreed to acquire all of the outstanding shares of The Switch for an aggregate purchase price (based on an exchange rate of $1.44 per Euro) of (i) $273.6 million, payable as follows: (1) $20.6 million in cash in the form of an advance payment (the “Advance Payment”), which was paid on June 29, 2011 and is classified as advance payment for planned acquisition on the unaudited condensed consolidated balance sheet as of June 30, 2011, (2) $171.0 million in cash at the closing of the acquisition and (3) the issuance at the closing of the acquisition shares of our common stock, $0.01 par value per share, with a value of $82.1 million based on the average closing price of the common stock during the 20 trading days preceding the second business day prior to the closing of the acquisition and the U.S. dollar to euro exchange rate on the second business day prior to the closing of the acquisition, and (ii) in the event closing occurs after September 1, 2011, interest at an annual rate of 4% on $171.0 million, accruing from September 1, 2011 to and including the closing date, payable in cash at the closing of the acquisition. In the event that the total number of shares of common stock issuable to the shareholders of The Switch exceeds 19.9% of the total number of shares of common stock outstanding prior to such issuance, in lieu of the issuance of such excess shares, the Company agreed to pay additional cash at the closing to the Minor Sellers (as defined in the Agreement) and issue to the remaining shareholders unsecured promissory notes for such excess amount, payable on the first business day after the first anniversary of the closing date.</w:t>
      </w:r>
    </w:p>
    <w:p>
      <w:pPr>
        <w:spacing w:after="0" w:line="67"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Pursuant to the Amendment, the parties agreed that the escrow would terminate on June 10, 2012 rather than twelve months after the closing date. The parties also agreed that the closing would take place on the tenth business day after the date on which the Company informs the Shareholders that a financing resulting in post-acquisition net cash available to the Company of at least $100 million has been completed, provided that all other closing conditions have been satisfied or waived. In addition, pursuant to the Amendment, the parties agreed that the Advance Payment shall constitute a termination fee payable to the Shareholders in the event the Agreement, as amended by the Amendment, is terminated should the closing not take place on or before September 30, 2011 (subject to extension for up to two one-month periods, as described in Section 6.6), or 10 business days thereafter in the case of a breach and/or failure to remedy by the Shareholders under Section 6.3.1, (i) by the Shareholders pursuant to Section 6.6(i), or (ii) the Company pursuant to Section 6.6(ii) (which, in the case of Sections 6.6(i) and 6.6(ii), includes upon the occurrence of a Failed Financing Event (as defined in the Amendment) and, in the case of</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Section 6.6(ii), upon the occurrence of a Material Adverse Effect (as defined in the Share Purchase Agreement)). Upon any such termination and retention by the Shareholders of the Advance Payment, the parties shall have no right to make any further claims against each other.</w:t>
      </w:r>
    </w:p>
    <w:p>
      <w:pPr>
        <w:spacing w:after="0" w:line="76"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Company will require proceeds from an additional financing to finance the planned acquisition of The Switch. Closing of the transaction, which has been approved by both companies’ Boards of Directors, is subject to customary closing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Chief Executive Officer Transition</w:t>
      </w:r>
    </w:p>
    <w:p>
      <w:pPr>
        <w:spacing w:after="0" w:line="121"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On May 24, 2011, the Company announced that Daniel P. McGahn, President and Chief Operating Officer, has been appointed Chief Executive Officer and a member of the Board of Directors, effective June 1, 2011. Mr. McGahn succeeds Gregory J. Yurek, who resigned from his position as Chief Executive Officer of the Company, effective on June 1, 2011. In connection with his retirement and resignation, the Company entered into a retirement and services agreement (the “Agreement”) with Mr. Yurek pursuant to which Mr. Yurek will serve as a senior advisor to the Company for up to 24 months. The Agreement includes a general release of claims and customary non-compete and non-solicit covenants for the three-year period ending May 31, 2014. Pursuant to this agreement, Mr. Yurek is entitled to receive the following payments and benefits: (i) a total of $2.0 million in cash, of which $83,333 is payable on the final day of each month from June 2011 to August 2012, $50,000 is payable on the final day of September 2012, and $50,000 is payable on the final day of each month from April 2013 to May 2014; and (ii) continued group medical, dental and vision insurance coverage through May 31, 2014. In accordance with the terms of Mr. Yurek’s outstanding stock option and restricted stock agreements, the outstanding restricted stock that is unvested as of June 1, 2011 will be forfeited and the outstanding stock options will continue to vest for so long as he continues to serve as an advisor to the Company. Thereafter, any remaining unvested portions of Mr. Yurek’s stock options will be cancelled for no consideration. Mr. Yurek agreed to remain as Chairman of the Board until the annual meeting of stockholders or August 15, 2011, whichever occurred first; and will not stand for reelection to the Board at the annual meeting. Mr. Yurek ceased serving as our Chairman of the Board on August 15, 2011. The Agreement replaces and supersedes the Amended and Restated Executive Severance Agreement, dated as of December 23, 2008, between the Company and Mr. Yurek.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recorded costs of $2.7 million within selling, general and administrative expenses of the unaudited condensed consolidated statements of operations for the three months ended June 30, 2011 which consist of $2.1 million severance benefits under the Agreement and $0.6 million of stock compensation expense related to outstanding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12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In October 2009, the FASB issued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or third-party evidence of the selling prices, consideration must be allocated to the deliverables based on management’s best estimate of the selling prices. In addition, the new standard eliminates the use of the residual method of allocation. The new accounting standard supersedes the prior multiple element revenue arrangement accounting rules that were previously used by the Company. The Company adopted this new accounting standard on April 1, 2010 using the prospective method and the adoption did not have a material impact on its consolidated financial statements.</w:t>
      </w:r>
    </w:p>
    <w:p>
      <w:pPr>
        <w:spacing w:after="0" w:line="70"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 xml:space="preserve">In January 2010, the Company adopted Accounting Standards Update (ASU) No. 2010-06, </w:t>
      </w:r>
      <w:r>
        <w:rPr>
          <w:rFonts w:ascii="Arial" w:cs="Arial" w:eastAsia="Arial" w:hAnsi="Arial"/>
          <w:sz w:val="16"/>
          <w:szCs w:val="16"/>
          <w:i w:val="1"/>
          <w:iCs w:val="1"/>
          <w:color w:val="auto"/>
        </w:rPr>
        <w:t>Fair Value Measurements and Disclosures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This standard amends the disclosure guidance with respect to fair value measurements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The Company has included these new disclosures, as applicable, in Note 3, “Marketable Securities and Fair Value Disclosures,” of the consolidated financial statements.</w:t>
      </w:r>
    </w:p>
    <w:p>
      <w:pPr>
        <w:spacing w:after="0" w:line="5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December 2010, the FASB issued Accounting Standards Update (ASU) No. 2010-29, </w:t>
      </w:r>
      <w:r>
        <w:rPr>
          <w:rFonts w:ascii="Arial" w:cs="Arial" w:eastAsia="Arial" w:hAnsi="Arial"/>
          <w:sz w:val="17"/>
          <w:szCs w:val="17"/>
          <w:i w:val="1"/>
          <w:iCs w:val="1"/>
          <w:color w:val="auto"/>
        </w:rPr>
        <w:t>Business Combinations (Topic 805), Disclosure of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Information for Business Combinations a consensus of the FASB Emerging Issues Task Force (ASC 2010-29)</w:t>
      </w:r>
      <w:r>
        <w:rPr>
          <w:rFonts w:ascii="Arial" w:cs="Arial" w:eastAsia="Arial" w:hAnsi="Arial"/>
          <w:sz w:val="17"/>
          <w:szCs w:val="17"/>
          <w:color w:val="auto"/>
        </w:rPr>
        <w:t>. This amendment clarifies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Company does not expect the adoption of ASU 2011-04 to have a material impact on the Company’s consolidated results of operations, financial condition, or cash flows.</w:t>
      </w:r>
    </w:p>
    <w:p>
      <w:pPr>
        <w:spacing w:after="0" w:line="7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does not expect the adoption of ASU 2011-04 to have a material impact on the Company’s consolidated results of operations, financial condition,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performed an evaluation of subsequent events through the time of filing this Quarterly Report on Form 10-Q with the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Notices</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June 17, 2011, the Company received notice from the NASDAQ Stock Market (“NASDAQ”) stating that the Company is not in compliance with Listing Rule 5250(c)(1) for continued listing due to the Company’s inability to file with the SEC the Company’s Annual Report on Form 10-K for the year ended March 31, 2011 (the “Initial Delinquent Filing”) on a timely basis. The notification was issued in accordance with standard NASDAQ procedures and has no immediate effect on the listing or trading of the Company’s common stock on the NASDAQ Global Select Market. On August 16, 2011, the Company received notice from the NASDAQ stating that the Company is not in compliance with Listing Rule 5250(c)(1) for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continued listing (i) due to the Company’s inability to file with the SEC the Company’s Quarterly Report on Form 10-Q for the period ended June 30, 2011, and (ii) because the Company remained delinquent in filing the Company’s Annual Report on Form 10-K for the period ended March 31, 2011. The notification was issued in accordance with standard NASDAQ procedures and had no immediate effect on the listing or trading of the Company’s common stock on the NASDAQ Global Select Market. Pursuant to NASDAQ’s letter dated June 17, 2011, which was disclosed in the Company’s Current Report on Form 8-K filed with the SEC on June 21, 2011, the Company had until August 16, 2011 to submit a plan to regain compliance with respect to the Initial Delinquent Filing. The NASDAQ letter dated August 16, 2011 indicated that the Company had until August 30, 2011 to submit an updated plan explaining how it expected to regain compliance. On August 16, 2011, the Company submitted its plan to regain compliance. On August 31, 2011, the Company was informed that NASDAQ had granted an exception to its rules to enable the Company to regain compliance by September 30, 2011. With the filing of the Quarterly Report on Form 10-Q for the quarter ended June 30, 2011, the Annual Report on Form 10-K for the year ended March 31, 2011 and the Amended Quarterly Reports on Form 10-Q as of and for the quarters ended September 30, 2010 and December 31, 2010 and subject to receipt of a confirmation of compliance, the Company will be in compliance with the NASDAQ listing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initiated a restructuring plan in August 2011 (the “2011 Plan”) to reorganize global operations, streamline various functions of the business, and reduce its global workforce to match the demand for its products. The 2011 Plan resulted in a headcount reduction of approximately 150 employees. Coinciding with the 2011 Plan, on August 8, 2011, the Company and Charles W. Stankiewicz, Executive Vice President, Operations and Grid Segment, and Angelo R. Santamaria, Senior Vice President, Global Manufacturing Operations, mutually agreed to end their employment effective on August 23, 2011 and August 12, 2011, respectively. From April 1, 2011 through the date of this filing, the Company has reduced its global workforce by approximately 30%, which is expected to result in annual savings of approximately $30.0 million. As a result of the 2011 Plan, the Company expects to recognize restructuring charges of $3.0 million to $4.0 million in the second quarter of fiscal 2011. These charges primarily relate to severance costs and are expected to be paid through fiscal 2012.</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a significant portion of our revenues has been derived from Sinovel Wind Group Co. Ltd., (“Sinovel”), which has stopped accepting scheduled deliveries and refused to pay amounts outstanding;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 we will require significant additional funding and may be unable to raise capital when needed, which could force us to delay, reduce or eliminate planned activities, including the planned acquisition of The Switch Engineering Oy (“The Switch”); we have a history of operating losses, and we may incur additional losses in the future; our operating results may fluctuate significantly from quarter to quarter and may fall below expectations in any particular fiscal quarter; if we fail to complete the planned acquisition of The Switch, our operating results and financial condition could be harmed and the price of our common stock could decline; completion of the planned acquisition of The Switch could present certain risks to our business; adverse changes in domestic and global economic conditions could adversely affect our operating results; changes in exchange rates could adversely affect our results from operations; we have identified material weaknesses in our internal control over financial reporting and if we fail to remediate these weaknesses and maintain proper and effective internal controls over financial reporting, our ability to produce accurate and timely financial statements could be impaired and may lead investors and other users to lose confidence in our financial data; if we fail to implement our business strategy successfully, our financial performance could be harmed; we may not realize all of the sales expected from our backlog of orders and contracts; many of our revenue opportunities are dependent upon subcontractors and other business collaborators; our products face intense competition, which could limit our ability to acquire or retain customers;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our international operations are subject to risks that we do not face in the United States, which could have an adverse effect on our operating results;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many of our customer relationships outside of the United States are, either directly or indirectly, with governmental entities, and we could be adversely affected by violations of the United States Foreign Corrupt Practices Act and similar worldwide anti-bribery laws outside the United States; we rely upon third party suppliers for the components and subassemblies of many of our Wind and Grid products, making us vulnerable to supply shortages and price fluctuations, which could harm our business; we are becoming increasingly reliant on contracts that require the issuance of performance bonds; problems with product quality or product performance may cause us to incur warranty expenses and may damage our market reputation and prevent us from achieving increased sales and market share; our success in addressing the wind energy market is dependent on the manufacturers that license our designs; growth of the wind energy market depends largely on the availability and size of government subsidies and economic incentives;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the commercial uses of superconductor products are limited today, and a widespread commercial market for our products may not develop; we have limited experience in marketing and selling our superconductor products and system-level solutions, and our failure to effectively market and sell our products and solutions could lower our revenue and cash flow; our contracts with the U.S. government are subject to audit, modification or termination by the U.S. government and include certain other provisions in favor of the government; the continued funding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of such contracts remains subject to annual congressional appropriation which, if not approved, could reduce our revenue and lower or eliminate our profit; we may be unable to adequately prevent disclosure of trade secrets and other proprietary information; we have filed a demand for arbitration and other lawsuits against Sinovel regarding amounts we contend are due and owing and are in dispute; we cannot be certain as to the outcome of the proceedings against Sinovel; we have been named as a party to purported stockholder class actions and shareholder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technology and products could infringe intellectual property rights of others, which may require costly litigation and, if we are not successful, could cause us to pay substantial damages and disrupt our business; our patents may not provide meaningful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and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II. Item 1A and Part 1. Item 1A of our Form 10-K for the fiscal year ended March 31, 2011,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6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American Superconductor® and design, Revolutionizing the Way the World Uses Electricity®, Amperium</w:t>
      </w:r>
      <w:r>
        <w:rPr>
          <w:rFonts w:ascii="Arial" w:cs="Arial" w:eastAsia="Arial" w:hAnsi="Arial"/>
          <w:sz w:val="15"/>
          <w:szCs w:val="15"/>
          <w:color w:val="auto"/>
        </w:rPr>
        <w:t>TM</w:t>
      </w:r>
      <w:r>
        <w:rPr>
          <w:rFonts w:ascii="Arial" w:cs="Arial" w:eastAsia="Arial" w:hAnsi="Arial"/>
          <w:sz w:val="18"/>
          <w:szCs w:val="18"/>
          <w:color w:val="auto"/>
        </w:rPr>
        <w:t>, AMSC®, Powered by AMSC®, D-VAR®, dSVC</w:t>
      </w:r>
      <w:r>
        <w:rPr>
          <w:rFonts w:ascii="Arial" w:cs="Arial" w:eastAsia="Arial" w:hAnsi="Arial"/>
          <w:sz w:val="15"/>
          <w:szCs w:val="15"/>
          <w:color w:val="auto"/>
        </w:rPr>
        <w:t>TM</w:t>
      </w:r>
      <w:r>
        <w:rPr>
          <w:rFonts w:ascii="Arial" w:cs="Arial" w:eastAsia="Arial" w:hAnsi="Arial"/>
          <w:sz w:val="18"/>
          <w:szCs w:val="18"/>
          <w:color w:val="auto"/>
        </w:rPr>
        <w:t>, FaultBlocker</w:t>
      </w:r>
      <w:r>
        <w:rPr>
          <w:rFonts w:ascii="Arial" w:cs="Arial" w:eastAsia="Arial" w:hAnsi="Arial"/>
          <w:sz w:val="15"/>
          <w:szCs w:val="15"/>
          <w:color w:val="auto"/>
        </w:rPr>
        <w:t>TM</w:t>
      </w:r>
      <w:r>
        <w:rPr>
          <w:rFonts w:ascii="Arial" w:cs="Arial" w:eastAsia="Arial" w:hAnsi="Arial"/>
          <w:sz w:val="18"/>
          <w:szCs w:val="18"/>
          <w:color w:val="auto"/>
        </w:rPr>
        <w:t>, PowerModule</w:t>
      </w:r>
      <w:r>
        <w:rPr>
          <w:rFonts w:ascii="Arial" w:cs="Arial" w:eastAsia="Arial" w:hAnsi="Arial"/>
          <w:sz w:val="15"/>
          <w:szCs w:val="15"/>
          <w:color w:val="auto"/>
        </w:rPr>
        <w:t>TM</w:t>
      </w:r>
      <w:r>
        <w:rPr>
          <w:rFonts w:ascii="Arial" w:cs="Arial" w:eastAsia="Arial" w:hAnsi="Arial"/>
          <w:sz w:val="18"/>
          <w:szCs w:val="18"/>
          <w:color w:val="auto"/>
        </w:rPr>
        <w:t>, PowerPipelines</w:t>
      </w:r>
      <w:r>
        <w:rPr>
          <w:rFonts w:ascii="Arial" w:cs="Arial" w:eastAsia="Arial" w:hAnsi="Arial"/>
          <w:sz w:val="15"/>
          <w:szCs w:val="15"/>
          <w:color w:val="auto"/>
        </w:rPr>
        <w:t>TM</w:t>
      </w:r>
      <w:r>
        <w:rPr>
          <w:rFonts w:ascii="Arial" w:cs="Arial" w:eastAsia="Arial" w:hAnsi="Arial"/>
          <w:sz w:val="18"/>
          <w:szCs w:val="18"/>
          <w:color w:val="auto"/>
        </w:rPr>
        <w:t>, PQ-IVR®, PQ-SVC®, SeaTitan</w:t>
      </w:r>
      <w:r>
        <w:rPr>
          <w:rFonts w:ascii="Arial" w:cs="Arial" w:eastAsia="Arial" w:hAnsi="Arial"/>
          <w:sz w:val="15"/>
          <w:szCs w:val="15"/>
          <w:color w:val="auto"/>
        </w:rPr>
        <w:t>TM</w:t>
      </w:r>
      <w:r>
        <w:rPr>
          <w:rFonts w:ascii="Arial" w:cs="Arial" w:eastAsia="Arial" w:hAnsi="Arial"/>
          <w:sz w:val="18"/>
          <w:szCs w:val="18"/>
          <w:color w:val="auto"/>
        </w:rPr>
        <w:t>, SolarTie</w:t>
      </w:r>
      <w:r>
        <w:rPr>
          <w:rFonts w:ascii="Arial" w:cs="Arial" w:eastAsia="Arial" w:hAnsi="Arial"/>
          <w:sz w:val="15"/>
          <w:szCs w:val="15"/>
          <w:color w:val="auto"/>
        </w:rPr>
        <w:t>TM</w:t>
      </w:r>
      <w:r>
        <w:rPr>
          <w:rFonts w:ascii="Arial" w:cs="Arial" w:eastAsia="Arial" w:hAnsi="Arial"/>
          <w:sz w:val="18"/>
          <w:szCs w:val="18"/>
          <w:color w:val="auto"/>
        </w:rPr>
        <w:t>, Windtec and SuperGEAR</w:t>
      </w:r>
      <w:r>
        <w:rPr>
          <w:rFonts w:ascii="Arial" w:cs="Arial" w:eastAsia="Arial" w:hAnsi="Arial"/>
          <w:sz w:val="15"/>
          <w:szCs w:val="15"/>
          <w:color w:val="auto"/>
        </w:rPr>
        <w:t>TM</w:t>
      </w:r>
      <w:r>
        <w:rPr>
          <w:rFonts w:ascii="Arial" w:cs="Arial" w:eastAsia="Arial" w:hAnsi="Arial"/>
          <w:sz w:val="18"/>
          <w:szCs w:val="18"/>
          <w:color w:val="auto"/>
        </w:rPr>
        <w:t xml:space="preserve"> are trademarks or registered trademarks of American Superconductor Corporation or its subsidiaries. The Windtec logo and design is a registered European Union Community Trademark. We reserve all of our rights with respect to our trademarks or registered trademarks regardless of whether they are so designated in this Quarterly Report on Form 10-Q by an ® or </w:t>
      </w:r>
      <w:r>
        <w:rPr>
          <w:rFonts w:ascii="Arial" w:cs="Arial" w:eastAsia="Arial" w:hAnsi="Arial"/>
          <w:sz w:val="15"/>
          <w:szCs w:val="15"/>
          <w:color w:val="auto"/>
        </w:rPr>
        <w:t>TM</w:t>
      </w:r>
      <w:r>
        <w:rPr>
          <w:rFonts w:ascii="Arial" w:cs="Arial" w:eastAsia="Arial" w:hAnsi="Arial"/>
          <w:sz w:val="18"/>
          <w:szCs w:val="18"/>
          <w:color w:val="auto"/>
        </w:rPr>
        <w:t xml:space="preserve"> symbol. All other brand names, product names, trademarks or service marks appearing in this Quarterly Report on Form 10-Q are the property of their respective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American Superconductor Corporation was founded in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 based products. Our wind and power grid products and services provide exceptional reliability, security, efficiency and affordability to our customers.</w:t>
      </w:r>
    </w:p>
    <w:p>
      <w:pPr>
        <w:spacing w:after="0" w:line="64"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8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wires. These technologies and our system-level solutions are protected by a broad and deep intellectual property portfolio consisting of hundreds of patents and licenses worldwide.</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March 12, 2011, we entered into a definitive agreement to acquire The Switch Engineering Oy, (“The Switch”). The Switch designs, manufactures and markets wind power products, including permanent magnet generators and power converter systems, as well as grid products such as commercial and small utility-scale solar inverters to customers in Asia, including China, Europe and North America.</w:t>
      </w:r>
    </w:p>
    <w:p>
      <w:pPr>
        <w:spacing w:after="0" w:line="73" w:lineRule="exact"/>
        <w:rPr>
          <w:sz w:val="20"/>
          <w:szCs w:val="20"/>
          <w:color w:val="auto"/>
        </w:rPr>
      </w:pPr>
    </w:p>
    <w:p>
      <w:pPr>
        <w:ind w:right="40" w:firstLine="215"/>
        <w:spacing w:after="0" w:line="342" w:lineRule="auto"/>
        <w:rPr>
          <w:sz w:val="20"/>
          <w:szCs w:val="20"/>
          <w:color w:val="auto"/>
        </w:rPr>
      </w:pPr>
      <w:r>
        <w:rPr>
          <w:rFonts w:ascii="Arial" w:cs="Arial" w:eastAsia="Arial" w:hAnsi="Arial"/>
          <w:sz w:val="16"/>
          <w:szCs w:val="16"/>
          <w:color w:val="auto"/>
        </w:rPr>
        <w:t>As of April 1, 2011, we are segmenting our operations into two new market-facing business units: Wind and Grid. We believe this market-centric structure enables us to more effectively anticipate and meet the needs of wind turbine manufacturers, power generation project developers and electric utilities.</w:t>
      </w:r>
    </w:p>
    <w:p>
      <w:pPr>
        <w:spacing w:after="0" w:line="16" w:lineRule="exact"/>
        <w:rPr>
          <w:sz w:val="20"/>
          <w:szCs w:val="20"/>
          <w:color w:val="auto"/>
        </w:rPr>
      </w:pPr>
    </w:p>
    <w:p>
      <w:pPr>
        <w:ind w:left="660" w:right="2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brand, our Wind business enables manufacturers to field wind turbines with exceptional power output, reliability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affordability. We license our highly engineered wind turbine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64" w:lineRule="exact"/>
        <w:rPr>
          <w:sz w:val="20"/>
          <w:szCs w:val="20"/>
          <w:color w:val="auto"/>
        </w:rPr>
      </w:pPr>
    </w:p>
    <w:p>
      <w:pPr>
        <w:ind w:left="660" w:right="60" w:hanging="314"/>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Our Grid segment enables electric utilities and renewable energy project developers to connect, transmit and distribute power with exceptional</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4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Prior to April 1, 2011, we segmented our operations through two technology-centric business units: AMSC Power Systems and AMSC Superconductors. AMSC Power Systems included all of our Wind products, as well as Grid products that regulate voltage for wind farm voltage electric utilities, renewable generation project developers and industrial operations. Solutions from our AMSC Superconductors business unit have been incorporated into our Grid business unit.</w:t>
      </w:r>
    </w:p>
    <w:p>
      <w:pPr>
        <w:spacing w:after="0" w:line="7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Our fiscal year begins on April 1 and ends on March 31. This document refers to fiscal 2011, which is defined as the period beginning on April 1, 2011 and concluding on March 31, 2012. The first quarter of fiscal 2011 began on April 1, 2011 and concluded on June 30, 2011.</w:t>
      </w:r>
    </w:p>
    <w:p>
      <w:pPr>
        <w:spacing w:after="0" w:line="62"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cash requirements depend on numerous factors, including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64"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As of June 30, 2011 and March 31, 2011, we had backlog of approximately $225.4 million and $228.4 million, respectively, excluding Sinovel. Including Sinovel, as of June 30, 2011 and March 31, 2011, we had backlog of approximately $925.7 million and $921.5 million, respectively. On March 31, 2011, Sinovel refused to accept contracted shipments of 1.5-MW and 3-MW wind turbine core electrical components and spare parts that we were prepared to deliver. As a result, we have not made shipments to Sinovel since February 2011. If Sinovel continues not to accept these shipments, or terminates, reduces or defers firm orders, we will not be able to complete these shipments and we may not generate the revenue supported by these contracts.</w:t>
      </w:r>
    </w:p>
    <w:p>
      <w:pPr>
        <w:spacing w:after="0" w:line="5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5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While we have had several discussions with Sinovel since March 31, 2011, as of the date of this filing, we have not received payment for any outstanding receivables nor have we been notified as to when, if ever, they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AMSC Windtec subsidiary, we believe that Sinovel illegally obtained and used our intellectual property in violation of civil and criminal intellectual property laws. In July 2011, the former employee was arrested in Austria and is currently awaiting trial on charges of economic espionage and fraudulent manipulation of data. As a result of the investigations, we believe that this former employee was contracted by Sinovel through an intermediary while employed by us and improperly obtained and transferred to Sinovel portions of our wind turbine control software source code developed for Sinovel’s 1.5MW wind turbines. Except for portions of this 1.5 MW wind turbine software, we do not believe that the source code for any other turbines, such as the 3MW, 5MW and 6MW wind turbines that were designed by and co-developed with us have been transferred to Sinovel. Moreover, we believe the former employee illegally used source code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develop for Sinovel a software modification to circumvent the encryption and remove technical protection measures on the PM3000 power converters in</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7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are also in the process of filing civil and criminal complaints against Sinovel. On September 16, 2011, we filed a civil complaint in China against Dalian Guotong Electric, Co., Ltd. and other parties. The complaints allege the illegal use of our intellectual property. We are seeking to compel Sinovel and the other parties to cease and desist from infringing our intellectual property and are also seeking monetary damages to compensate us for our economic losses resulting from the infringement.</w:t>
      </w:r>
    </w:p>
    <w:p>
      <w:pPr>
        <w:spacing w:after="0" w:line="8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cannot provide any assurance as to the outcome of these legal actions. We are now operating our business under the assumption that Sinovel will not be a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first quarter of fiscal 2011 in the critical accounting policies that were disclosed in our Form 10-K for fiscal 2010, which ended on March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2011 compared to the three ended June 30, 2010</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Beginning on April 1, 2011, management revised its reportable business segments into Wind and Grid as a result in changes in the manner in which we disaggregate the Company’s operations for making operating decisions and assessing performance business segments. Previously, we had two reportable business segments, AMSC Power Systems and AMSC Superconductors. All prior period segment disclosures have been revised to conform to management’s current view of its business segments.</w:t>
      </w:r>
    </w:p>
    <w:p>
      <w:pPr>
        <w:spacing w:after="0" w:line="79"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As discussed above, the disruption in our relationship with Sinovel has materially and adversely affected our business and results of operations. Because Sinovel has accounted for more than two-thirds of our revenues over each of the past three fiscal years, we experienced significantly lower revenues and significant operating losses during the three months ended June 30, 2011. Revenues to Sinovel represented 0% and 72% of total revenues for the three months ended June 30, 2011 and 2010, respectively. Since no cash payments were made by Sinovel in the three months ended June 30, 2011, no revenue was recognized from Sinovel in the three months ended June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revenues decreased by 91% to $9.1 million for the three months ended June 30, 2011, compared to $97.2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 Our revenues are summarized as follows (in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Wind</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83,006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Total</w:t>
            </w:r>
          </w:p>
        </w:tc>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7"/>
              </w:rPr>
              <w:t>97,209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80" w:type="dxa"/>
            <w:vAlign w:val="bottom"/>
            <w:vMerge w:val="restart"/>
          </w:tcPr>
          <w:p>
            <w:pPr>
              <w:jc w:val="right"/>
              <w:ind w:right="339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0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Our Wind business unit accounted for 47% of total revenues for the three months ended June 30, 2011, compared to 85% for the three months ended June 30, 2010. Revenues in the Wind business unit decreased 95% to $4.3 million in the three months ended June 30, 2011 from $83.0 million in the three months ended June 30, 2010. The decrease in Wind business unit revenues was primarily due to the disruption in our relationship with Sinovel, as described above, which accounted for $70.3 million of revenue for the first quarter of fiscal 2010.</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Our Grid business unit accounted for 53% of total revenues for the three months ended June 30, 2011, compared to 15% for the three months ended June 30, 2010. Our Grid business unit revenues decreased 66% to $4.8 million in the three months ended June 30, 2011 from $14.2 million for the three months ended June 30, 2010. The decrease in Grid business unit revenues were due primarily to reduced DVAR product sales, due in part to strong shipments in the fourth quarter of quarter of fiscal 2010.</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Revenue Earned</w:t>
            </w:r>
          </w:p>
        </w:tc>
        <w:tc>
          <w:tcPr>
            <w:tcW w:w="100" w:type="dxa"/>
            <w:vAlign w:val="bottom"/>
          </w:tcPr>
          <w:p>
            <w:pPr>
              <w:spacing w:after="0"/>
              <w:rPr>
                <w:sz w:val="14"/>
                <w:szCs w:val="14"/>
                <w:color w:val="auto"/>
              </w:rPr>
            </w:pPr>
          </w:p>
        </w:tc>
        <w:tc>
          <w:tcPr>
            <w:tcW w:w="20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Expected total</w:t>
            </w:r>
          </w:p>
        </w:tc>
        <w:tc>
          <w:tcPr>
            <w:tcW w:w="100" w:type="dxa"/>
            <w:vAlign w:val="bottom"/>
          </w:tcPr>
          <w:p>
            <w:pPr>
              <w:spacing w:after="0"/>
              <w:rPr>
                <w:sz w:val="13"/>
                <w:szCs w:val="13"/>
                <w:color w:val="auto"/>
              </w:rPr>
            </w:pPr>
          </w:p>
        </w:tc>
        <w:tc>
          <w:tcPr>
            <w:tcW w:w="15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3"/>
                <w:szCs w:val="13"/>
                <w:color w:val="auto"/>
              </w:rPr>
            </w:pPr>
          </w:p>
        </w:tc>
        <w:tc>
          <w:tcPr>
            <w:tcW w:w="20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Project name</w:t>
            </w:r>
          </w:p>
        </w:tc>
        <w:tc>
          <w:tcPr>
            <w:tcW w:w="540" w:type="dxa"/>
            <w:vAlign w:val="bottom"/>
          </w:tcPr>
          <w:p>
            <w:pPr>
              <w:spacing w:after="0"/>
              <w:rPr>
                <w:sz w:val="12"/>
                <w:szCs w:val="12"/>
                <w:color w:val="auto"/>
              </w:rPr>
            </w:pPr>
          </w:p>
        </w:tc>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contract value</w:t>
            </w:r>
          </w:p>
        </w:tc>
        <w:tc>
          <w:tcPr>
            <w:tcW w:w="100" w:type="dxa"/>
            <w:vAlign w:val="bottom"/>
          </w:tcPr>
          <w:p>
            <w:pPr>
              <w:spacing w:after="0"/>
              <w:rPr>
                <w:sz w:val="12"/>
                <w:szCs w:val="12"/>
                <w:color w:val="auto"/>
              </w:rPr>
            </w:pPr>
          </w:p>
        </w:tc>
        <w:tc>
          <w:tcPr>
            <w:tcW w:w="156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w w:val="90"/>
              </w:rPr>
              <w:t>June 30, 2011</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LIPA I and II</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40,141</w:t>
            </w:r>
          </w:p>
        </w:tc>
        <w:tc>
          <w:tcPr>
            <w:tcW w:w="1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39,710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DOE-FCL</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NAVSEA Motor Study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significant projects represented 41% and 11% of the Grid business unit revenues for the three months ended June 30, 2011 and 2010.</w:t>
      </w:r>
    </w:p>
    <w:p>
      <w:pPr>
        <w:spacing w:after="0" w:line="12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Project HYDRA is a contract with Consolidated Edison, Inc. which is being partially funded by the U.S. Department of Homeland Security (“DHS”). DHS is expected to invest up to a total of $24.9 million in the development of a new high temperature superconductor power grid technology called FaultBlocker™ cable systems. FaultBlocker cable systems are designed to utilize customized Amperium™ HTS wires, and ancillary controls to deliver more power through the grid while also being able to suppress power surges that can disrupt service. Of the total $24.9 million in funding expected from DHS, it has committed funding of $12.6 million to us as of June 30, 2011. On September 15, 2011, the DHS committed an additional $3.0 million in funding on Project HYDRA. Consolidated Edison and Southwire Company are subcontractors to us on this project.</w:t>
      </w:r>
    </w:p>
    <w:p>
      <w:pPr>
        <w:spacing w:after="0" w:line="70"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LIPA I, completed in the first quarter of fiscal 2009, was a project to install an HTS power cable system at transmission voltage using our first generation HTS wire for the Long Island Power Authority. LIPA II is a project to install an HTS power cable utilizing our Amperium™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Based on the average Euro and renminbi exchange rates for the first quarter of fiscal 2011, revenues denominated in these foreign currencies translated into U.S. dollars were $0.3 million higher compared to the translation of these revenues using the average exchange rates of these currencies for the first quarter of fiscal 2010.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customers who represented 10% or more of our total revenues for the three months ended June 30, 2011 and 2010:</w:t>
      </w:r>
    </w:p>
    <w:p>
      <w:pPr>
        <w:spacing w:after="0" w:line="228"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Department of Energy/NETL</w:t>
            </w:r>
          </w:p>
        </w:tc>
        <w:tc>
          <w:tcPr>
            <w:tcW w:w="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17%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Doosan Heavy Industries &amp; Construction Co Ltd.</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w w:val="88"/>
              </w:rPr>
              <w:t>15%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&lt;10%</w:t>
            </w: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Shenyang Blower Works Group Wind Power Co.,Ltd.</w:t>
            </w:r>
          </w:p>
        </w:tc>
        <w:tc>
          <w:tcPr>
            <w:tcW w:w="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13%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&lt;10%</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Sinovel Wind Co., Ltd</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w w:val="93"/>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91"/>
        </w:trPr>
        <w:tc>
          <w:tcPr>
            <w:tcW w:w="9180" w:type="dxa"/>
            <w:vAlign w:val="bottom"/>
          </w:tcPr>
          <w:p>
            <w:pPr>
              <w:ind w:left="562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9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Cost of revenues decreased by 71% to $17.0 million for the three months ended June 30, 2011, compared to $58.2 million for the three months ended June 30, 2010. Gross margin was (87.2%) and 40.1% for the three months ended June 30, 2011 and 2010, respectively. The decrease in gross margin and cost of revenues in the three months ended June 30, 2011 as compared to the same period in fiscal 2010 was a result of lower sales due to the disruption in our relationship with Sinovel and unabsorbed fixed overhead due to idle capacity. This is expected to improve in the future quarters as the wind market in China recovers.</w:t>
      </w:r>
    </w:p>
    <w:p>
      <w:pPr>
        <w:spacing w:after="0" w:line="80"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Based on the average Euro and renminbi exchange rates for the first quarter of fiscal 2011, cost of revenues denominated in these foreign currencies translated into U.S. dollars was $0.5 million higher compared to the translation of cost of revenues using the average exchange rates of these currencies for the first quarter of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16"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unaudited condensed consolidated statements of operations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3,369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Aggregated R&amp;D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10,845</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R&amp;D expenses (exclusive of amounts classified as cost of revenues and amounts offset by cost-sharing funding) increased by 11% to $8.1 million for the three months ended June 30, 2011 from $7.3 million for the three months ended June 30, 2010. The increase in R&amp;D expenses was driven primarily by labor, material and overhead spending to support new product development in our Wind business segment. The increase in R&amp;D expenditures reclassified to costs of revenue was a result of increased efforts under license and development contracts for wind turbine designs at AMSC Windtec compared to the prior year. Aggregated R&amp;D expenses, which include amounts classified as cost of revenues and amounts offset by cost-sharing funding, increased 13% to $12.2 million for the three months ended June 30, 2011, compared to $10.8 million for the three months ended June 30, 2010. The increases in fiscal 2010 were driven primarily by the net impact of the factors described above. Growth in R&amp;D expenses is expected to moderate going forward as a result of the restructuring actions undertaken in fiscal 2011.</w:t>
      </w:r>
    </w:p>
    <w:p>
      <w:pPr>
        <w:spacing w:after="0" w:line="7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300" w:firstLine="225"/>
        <w:spacing w:after="0" w:line="279" w:lineRule="auto"/>
        <w:rPr>
          <w:sz w:val="20"/>
          <w:szCs w:val="20"/>
          <w:color w:val="auto"/>
        </w:rPr>
      </w:pPr>
      <w:r>
        <w:rPr>
          <w:rFonts w:ascii="Arial" w:cs="Arial" w:eastAsia="Arial" w:hAnsi="Arial"/>
          <w:sz w:val="17"/>
          <w:szCs w:val="17"/>
          <w:color w:val="auto"/>
        </w:rPr>
        <w:t>SG&amp;A expenses increased by 45% to $22.0 million in the three months ended June 30, 2011, from $15.2 in the three months ended June 30, 2010. The increases in SG&amp;A expenses were due primarily to increases in legal fees associated with ongoing litigation as discussed in Part II, Item 1, “Legal Proceedings,” of this Quarterly Report on Form 10-Q and severance and stock compensation costs for our former Chief Executive Officer. Higher legal expenses are expected for the next several quarters as we expect to continue pursuing litigation against Sinovel.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117" w:lineRule="exact"/>
        <w:rPr>
          <w:sz w:val="20"/>
          <w:szCs w:val="20"/>
          <w:color w:val="auto"/>
        </w:rPr>
      </w:pPr>
    </w:p>
    <w:p>
      <w:pPr>
        <w:jc w:val="both"/>
        <w:ind w:right="700" w:firstLine="222"/>
        <w:spacing w:after="0" w:line="264" w:lineRule="auto"/>
        <w:rPr>
          <w:sz w:val="20"/>
          <w:szCs w:val="20"/>
          <w:color w:val="auto"/>
        </w:rPr>
      </w:pPr>
      <w:r>
        <w:rPr>
          <w:rFonts w:ascii="Arial" w:cs="Arial" w:eastAsia="Arial" w:hAnsi="Arial"/>
          <w:sz w:val="18"/>
          <w:szCs w:val="18"/>
          <w:color w:val="auto"/>
        </w:rPr>
        <w:t>We recorded amortization expense related to our core technology and know-how, trade names and trademark intangible assets of $0.3 million and $0.4 million in the three months ended June 30, 2011 and 2010, respectively. These intangible assets are primarily as a result of our AMSC Windtec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7"/>
              </w:rPr>
              <w:t>$ (24,370)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Grid</w:t>
            </w:r>
          </w:p>
        </w:tc>
        <w:tc>
          <w:tcPr>
            <w:tcW w:w="1040" w:type="dxa"/>
            <w:vAlign w:val="bottom"/>
            <w:gridSpan w:val="4"/>
          </w:tcPr>
          <w:p>
            <w:pPr>
              <w:jc w:val="right"/>
              <w:ind w:right="300"/>
              <w:spacing w:after="0"/>
              <w:rPr>
                <w:sz w:val="20"/>
                <w:szCs w:val="20"/>
                <w:color w:val="auto"/>
              </w:rPr>
            </w:pPr>
            <w:r>
              <w:rPr>
                <w:rFonts w:ascii="Arial" w:cs="Arial" w:eastAsia="Arial" w:hAnsi="Arial"/>
                <w:sz w:val="18"/>
                <w:szCs w:val="18"/>
                <w:color w:val="auto"/>
              </w:rPr>
              <w:t>(10,552)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(11,764)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(3,494)</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(38,327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Operating (loss) income for the Wind business unit decreased to an operating loss of $24.4 million in the three months ended June 30, 2011, from an operating income of $31.3 million in the three months ended June 30, 2010. The decrease in Wind business unit operating income was primarily due to the disruption in our relationship with Sinovel, as described above.</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Operating loss for the Grid business unit decreased to $10.6 million in the three months ended June 30, 2011, compared to $11.8 million in the three months ended June 30, 2010. The decrease in Grid business unit operating loss was primarily due to lower operating expenses as a result of the reductions in force and reduced discretionary spending, partially offset by reduced DVAR revenues.</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Unallocated corporate expenses also include stock-based compensation expense of $3.5 million and $3.5 million for the three months ended June 30,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color w:val="auto"/>
        </w:rPr>
        <w:t>Interest income, net, was $0.2 million in the three months ended June 30, 2011 and 2010. Due to recent economic conditions and the United States monetary policy intended to promote growth, the yields of our interest bearing assets are low as compared to prior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Other income, net, was income of $0.6 million in the three months ended June 30, 2011 compared to income of $0.2 million for the three months ended June 30, 2010. The increase in other income, net primarily relates to an increase in foreign currency translation gains of $0.9 million, partially offset by an increase in losses on minority interest investments of $0.5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In the three months ended June 30, 2011, we recorded income tax expense of $0.2 million compared to $7.3 million in the three months ended June 30, 2010. Income tax expense decreased due to the pretax loss in the three months ended June 30, 2011 and a full valuation allowance against our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79"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define non-GAAP net (loss) income as net (loss) income before amortization of acquisition-related intangibles, restructuring and impairments, stock-based compensation, other unusual charges and any tax effects related to these items.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185"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(37,679)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Losses on purchase commitments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Tax effects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income</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(30,772)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12,972</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gridSpan w:val="2"/>
          </w:tcPr>
          <w:p>
            <w:pPr>
              <w:spacing w:after="0"/>
              <w:rPr>
                <w:sz w:val="20"/>
                <w:szCs w:val="20"/>
                <w:color w:val="auto"/>
              </w:rPr>
            </w:pPr>
            <w:r>
              <w:rPr>
                <w:rFonts w:ascii="Arial" w:cs="Arial" w:eastAsia="Arial" w:hAnsi="Arial"/>
                <w:sz w:val="18"/>
                <w:szCs w:val="18"/>
                <w:color w:val="auto"/>
              </w:rPr>
              <w:t>Non-GAAP (loss) earnings per share</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(0.61)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shares are used for periods where net income is generated.</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incurred non-GAAP net loss of ($30.8) million, or ($0.61) per share, for the three months ended June 30, 2011, compared to a non-GAAP net income of $13.0 million, or $0.28 per diluted share, for the three months ended June 30, 2010. The decrease in non-GAAP net income was driven primarily by a decrease in net income, partially offset by severance costs and losses on purchase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80" w:firstLine="215"/>
        <w:spacing w:after="0" w:line="342" w:lineRule="auto"/>
        <w:rPr>
          <w:sz w:val="20"/>
          <w:szCs w:val="20"/>
          <w:color w:val="auto"/>
        </w:rPr>
      </w:pPr>
      <w:r>
        <w:rPr>
          <w:rFonts w:ascii="Arial" w:cs="Arial" w:eastAsia="Arial" w:hAnsi="Arial"/>
          <w:sz w:val="16"/>
          <w:szCs w:val="16"/>
          <w:color w:val="auto"/>
        </w:rPr>
        <w:t>At June 30, 2011, we had cash, cash equivalents, marketable securities and restricted cash of $166.2 million, compared to $245.5 million at March 31, 2011, a decrease of $79.3 million. Our cash and cash equivalents, marketable securities and restricted cash are summarized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924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$ 130,885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$ 123,783</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25,894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116,126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5,566</w:t>
            </w: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$ 166,152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$ 245,475</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For the three months ended June 30, 2011, net cash used in operating activities was $57.8 million compared to $18.5 million in the three months ended June 30, 2010. The increase in net cash used in operations is due primarily to a decrease in net income of $46.8 million, partially offset by a decrease in cash used for working capital of $8.1 million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June 30, 2011, net cash provided by investing activities was $59.8 million compared to net cash used in investing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 than $0.1 million in the three months ended June 30, 2010. The increase in net cash provided by investing activities for the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2011 was driven primarily by an increase in net maturities and sales of marketable securities of $81.7 million and a decrease in capital expenditures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 million, partially offset by the $20.6 million advance payment to The Switch, an increase in restricted cash of $4.0 million and an increase in purchased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minority investments of $1.8 million.</w:t>
      </w:r>
    </w:p>
    <w:p>
      <w:pPr>
        <w:spacing w:after="0" w:line="103"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For the three months ended June 30, 2011, net cash provided by financing activities was $4.4 million compared to $0.6 million in the three months ended June 30, 2010. The increase in net cash provided by financing activities is primarily due to net borrowings on lines credit of $4.6 million, partially offset by payments in lieu of issuance of common stock for payroll taxes of $0.3 in the three months ended June 30, 2011.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15"/>
        <w:spacing w:after="0" w:line="279" w:lineRule="auto"/>
        <w:rPr>
          <w:sz w:val="20"/>
          <w:szCs w:val="20"/>
          <w:color w:val="auto"/>
        </w:rPr>
      </w:pPr>
      <w:r>
        <w:rPr>
          <w:rFonts w:ascii="Arial" w:cs="Arial" w:eastAsia="Arial" w:hAnsi="Arial"/>
          <w:sz w:val="17"/>
          <w:szCs w:val="17"/>
          <w:color w:val="auto"/>
        </w:rPr>
        <w:t>As of June 30, 2011, we had nine performance bonds on behalf of AMSC Windtec and our wholly-owned Chinese subsidiary, Suzhou AMSC Superconductor Co. Ltd (“AMSC China”), in support of customer contracts to guarantee supply of core components and software. The total value of the outstanding performance bonds is $2.3 million with various expiration dates through March 2014. In the event that the payment is made in accordance with the requirements of any of these performance bonds, we would record the payment as an offset to revenue.</w:t>
      </w:r>
    </w:p>
    <w:p>
      <w:pPr>
        <w:spacing w:after="0" w:line="63" w:lineRule="exact"/>
        <w:rPr>
          <w:sz w:val="20"/>
          <w:szCs w:val="20"/>
          <w:color w:val="auto"/>
        </w:rPr>
      </w:pPr>
    </w:p>
    <w:p>
      <w:pPr>
        <w:ind w:right="240" w:firstLine="215"/>
        <w:spacing w:after="0" w:line="279" w:lineRule="auto"/>
        <w:rPr>
          <w:sz w:val="20"/>
          <w:szCs w:val="20"/>
          <w:color w:val="auto"/>
        </w:rPr>
      </w:pPr>
      <w:r>
        <w:rPr>
          <w:rFonts w:ascii="Arial" w:cs="Arial" w:eastAsia="Arial" w:hAnsi="Arial"/>
          <w:sz w:val="17"/>
          <w:szCs w:val="17"/>
          <w:color w:val="auto"/>
        </w:rPr>
        <w:t>At June 30, 2011 and March 31, 2011, we had $6.5 million and $5.6 million, respectively, of restricted cash included in current assets. At June 30, 2011, we had $2.9 million of restricted cash included in long term assets with various expiration dates through March 2014. These amounts included in restricted cash represent deposits to secure letters of credit for various supply contracts. These deposits are held in an interest bearing account. We had an additional $2.5 million in unsecured letters of credit, at June 30, 2011 and March 31, 2011, also in support of various supply contracts.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had unused, unsecured lines of credit consisting of RMB 114.8 million (approximately $17.8 million) in China and €1.6 million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 million) in Austria as of June 30, 2011. In July 2011, the Bank of China informed us that our unsecured credit line of approximately RMB 100.0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$15.5 million), which expired in August 2011, would not be renewed. As of June 30, 2011, we had net borrowings on lines of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of $4.6 million.</w:t>
      </w:r>
    </w:p>
    <w:p>
      <w:pPr>
        <w:spacing w:after="0" w:line="103" w:lineRule="exact"/>
        <w:rPr>
          <w:sz w:val="20"/>
          <w:szCs w:val="20"/>
          <w:color w:val="auto"/>
        </w:rPr>
      </w:pPr>
    </w:p>
    <w:p>
      <w:pPr>
        <w:ind w:right="40" w:firstLine="215"/>
        <w:spacing w:after="0" w:line="286" w:lineRule="auto"/>
        <w:rPr>
          <w:sz w:val="20"/>
          <w:szCs w:val="20"/>
          <w:color w:val="auto"/>
        </w:rPr>
      </w:pPr>
      <w:r>
        <w:rPr>
          <w:rFonts w:ascii="Arial" w:cs="Arial" w:eastAsia="Arial" w:hAnsi="Arial"/>
          <w:sz w:val="16"/>
          <w:szCs w:val="16"/>
          <w:color w:val="auto"/>
        </w:rPr>
        <w:t>At June 30, 2011, we had cash, cash equivalents, marketable securities and restricted cash of $166.2 million. Our business plan anticipates a substantial decline in revenues and a substantial use of cash from operations in our fiscal year ending March 31, 2012, particularly in light of the difficult and uncertain current economic environment, the significant restructuring actions undertaken and the uncertainty surrounding Sinovel and certain of our other customers in China. Our plan includes a significant restructuring undertaken in August 2011, resulting in the elimination of approximately 150 positions worldwide. Since April 1, 2011, we have eliminated approximately 30% of our workforce and we expect to save approximately $30 million annually as a result of these reductions. Additional actions include further monitoring of our operating results against expectations and, if required, further reducing operating costs and capital spending if events warrant in order to enhance liquidity. Due to the disruption in our relationship with Sinovel, we will need to raise additional capital in order to complete the planned acquisition of The Switch in order to leave sufficient cash to fund our working capital, capital expenditures and other cash requirements. We may seek this financing through public or private equity offerings, debt financings, or other financing alternatives, however, there can be no assurance that financing will be available on acceptable terms or at all. If we fail to raise sufficient additional funds and terminate the purchase agreement for the acquisition of The Switch, we will likely forfeit the $20.6 million cash advance payment we paid to the shareholders of The Switch on June 29, 2011. In the event that we do not receive any additional payments from Sinovel and we neither complete the planned acquisition of The Switch, nor raise additional capital, we believe that our available cash, together with additional reductions in operating costs and capital expenditures as necessary will be sufficient to fund our operations, capital expenditures and other cash requirements through at least March 31 2012. Our long-term liquidity is dependent on our ability to profitably grow our revenues or raise additional capital as required.</w:t>
      </w:r>
    </w:p>
    <w:p>
      <w:pPr>
        <w:spacing w:after="0" w:line="6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7"/>
          <w:szCs w:val="17"/>
          <w:i w:val="1"/>
          <w:iCs w:val="1"/>
          <w:color w:val="auto"/>
        </w:rPr>
        <w:t>Lenartz v. American Superconductor Corporation, et al.</w:t>
      </w:r>
      <w:r>
        <w:rPr>
          <w:rFonts w:ascii="Arial" w:cs="Arial" w:eastAsia="Arial" w:hAnsi="Arial"/>
          <w:sz w:val="17"/>
          <w:szCs w:val="17"/>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8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6"/>
          <w:szCs w:val="16"/>
          <w:i w:val="1"/>
          <w:iCs w:val="1"/>
          <w:color w:val="auto"/>
        </w:rPr>
        <w:t>Weakley v. Yurek, et al.</w:t>
      </w:r>
      <w:r>
        <w:rPr>
          <w:rFonts w:ascii="Arial" w:cs="Arial" w:eastAsia="Arial" w:hAnsi="Arial"/>
          <w:sz w:val="16"/>
          <w:szCs w:val="16"/>
          <w:color w:val="auto"/>
        </w:rPr>
        <w:t xml:space="preserve">, Docket No. 1:11-cv-10784; </w:t>
      </w:r>
      <w:r>
        <w:rPr>
          <w:rFonts w:ascii="Arial" w:cs="Arial" w:eastAsia="Arial" w:hAnsi="Arial"/>
          <w:sz w:val="16"/>
          <w:szCs w:val="16"/>
          <w:i w:val="1"/>
          <w:iCs w:val="1"/>
          <w:color w:val="auto"/>
        </w:rPr>
        <w:t>Marlborough Family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Revocable Trust v. Yurek, et al.</w:t>
      </w:r>
      <w:r>
        <w:rPr>
          <w:rFonts w:ascii="Arial" w:cs="Arial" w:eastAsia="Arial" w:hAnsi="Arial"/>
          <w:sz w:val="17"/>
          <w:szCs w:val="17"/>
          <w:color w:val="auto"/>
        </w:rPr>
        <w:t>, Docket No. 1:11-cv-10825;</w:t>
      </w:r>
      <w:r>
        <w:rPr>
          <w:rFonts w:ascii="Arial" w:cs="Arial" w:eastAsia="Arial" w:hAnsi="Arial"/>
          <w:sz w:val="17"/>
          <w:szCs w:val="17"/>
          <w:i w:val="1"/>
          <w:iCs w:val="1"/>
          <w:color w:val="auto"/>
        </w:rPr>
        <w:t xml:space="preserve"> Connors v. Yurek, et al.</w:t>
      </w:r>
      <w:r>
        <w:rPr>
          <w:rFonts w:ascii="Arial" w:cs="Arial" w:eastAsia="Arial" w:hAnsi="Arial"/>
          <w:sz w:val="17"/>
          <w:szCs w:val="17"/>
          <w:color w:val="auto"/>
        </w:rPr>
        <w:t>, Docket No. 1:11-cv-10910; and</w:t>
      </w:r>
      <w:r>
        <w:rPr>
          <w:rFonts w:ascii="Arial" w:cs="Arial" w:eastAsia="Arial" w:hAnsi="Arial"/>
          <w:sz w:val="17"/>
          <w:szCs w:val="17"/>
          <w:i w:val="1"/>
          <w:iCs w:val="1"/>
          <w:color w:val="auto"/>
        </w:rPr>
        <w:t xml:space="preserve"> Hurd v. Yurek, et al.</w:t>
      </w:r>
      <w:r>
        <w:rPr>
          <w:rFonts w:ascii="Arial" w:cs="Arial" w:eastAsia="Arial" w:hAnsi="Arial"/>
          <w:sz w:val="17"/>
          <w:szCs w:val="17"/>
          <w:color w:val="auto"/>
        </w:rPr>
        <w:t xml:space="preserve">, Docket No. 1:11-cv-11102. On June 1, 2011, the plaintiff in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xml:space="preserve"> moved to voluntarily dismiss its complaint and refiled its complaint in Superior Court for the Commonwealth of Massachusetts, Middlesex County, on June 3, 2011. The case is now captioned </w:t>
      </w:r>
      <w:r>
        <w:rPr>
          <w:rFonts w:ascii="Arial" w:cs="Arial" w:eastAsia="Arial" w:hAnsi="Arial"/>
          <w:sz w:val="17"/>
          <w:szCs w:val="17"/>
          <w:i w:val="1"/>
          <w:iCs w:val="1"/>
          <w:color w:val="auto"/>
        </w:rPr>
        <w:t>Marlborough Family</w:t>
      </w:r>
      <w:r>
        <w:rPr>
          <w:rFonts w:ascii="Arial" w:cs="Arial" w:eastAsia="Arial" w:hAnsi="Arial"/>
          <w:sz w:val="17"/>
          <w:szCs w:val="17"/>
          <w:color w:val="auto"/>
        </w:rPr>
        <w:t xml:space="preserve"> </w:t>
      </w:r>
      <w:r>
        <w:rPr>
          <w:rFonts w:ascii="Arial" w:cs="Arial" w:eastAsia="Arial" w:hAnsi="Arial"/>
          <w:sz w:val="17"/>
          <w:szCs w:val="17"/>
          <w:i w:val="1"/>
          <w:iCs w:val="1"/>
          <w:color w:val="auto"/>
        </w:rPr>
        <w:t>Revocable Trust v. Yurek, et al.</w:t>
      </w:r>
      <w:r>
        <w:rPr>
          <w:rFonts w:ascii="Arial" w:cs="Arial" w:eastAsia="Arial" w:hAnsi="Arial"/>
          <w:sz w:val="17"/>
          <w:szCs w:val="17"/>
          <w:color w:val="auto"/>
        </w:rPr>
        <w:t>, Docket No. 11-1961. The Superior Court in Worcester County granted the plaintiff’s motion to transfer in</w:t>
      </w:r>
      <w:r>
        <w:rPr>
          <w:rFonts w:ascii="Arial" w:cs="Arial" w:eastAsia="Arial" w:hAnsi="Arial"/>
          <w:sz w:val="17"/>
          <w:szCs w:val="17"/>
          <w:i w:val="1"/>
          <w:iCs w:val="1"/>
          <w:color w:val="auto"/>
        </w:rPr>
        <w:t xml:space="preserve"> Segel v. Yurek et al. </w:t>
      </w:r>
      <w:r>
        <w:rPr>
          <w:rFonts w:ascii="Arial" w:cs="Arial" w:eastAsia="Arial" w:hAnsi="Arial"/>
          <w:sz w:val="17"/>
          <w:szCs w:val="17"/>
          <w:color w:val="auto"/>
        </w:rPr>
        <w:t xml:space="preserve">to the Superior Court for the Commonwealth of Massachusetts, Middlesex County on June 23, 2011, and that matter is now captioned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Docket No. 11-2269. On July 5, 2011, the </w:t>
      </w:r>
      <w:r>
        <w:rPr>
          <w:rFonts w:ascii="Arial" w:cs="Arial" w:eastAsia="Arial" w:hAnsi="Arial"/>
          <w:sz w:val="17"/>
          <w:szCs w:val="17"/>
          <w:i w:val="1"/>
          <w:iCs w:val="1"/>
          <w:color w:val="auto"/>
        </w:rPr>
        <w:t>Weakley</w:t>
      </w:r>
      <w:r>
        <w:rPr>
          <w:rFonts w:ascii="Arial" w:cs="Arial" w:eastAsia="Arial" w:hAnsi="Arial"/>
          <w:sz w:val="17"/>
          <w:szCs w:val="17"/>
          <w:color w:val="auto"/>
        </w:rPr>
        <w:t xml:space="preserve">, </w:t>
      </w:r>
      <w:r>
        <w:rPr>
          <w:rFonts w:ascii="Arial" w:cs="Arial" w:eastAsia="Arial" w:hAnsi="Arial"/>
          <w:sz w:val="17"/>
          <w:szCs w:val="17"/>
          <w:i w:val="1"/>
          <w:iCs w:val="1"/>
          <w:color w:val="auto"/>
        </w:rPr>
        <w:t>Connors</w:t>
      </w:r>
      <w:r>
        <w:rPr>
          <w:rFonts w:ascii="Arial" w:cs="Arial" w:eastAsia="Arial" w:hAnsi="Arial"/>
          <w:sz w:val="17"/>
          <w:szCs w:val="17"/>
          <w:color w:val="auto"/>
        </w:rPr>
        <w:t xml:space="preserve"> and </w:t>
      </w:r>
      <w:r>
        <w:rPr>
          <w:rFonts w:ascii="Arial" w:cs="Arial" w:eastAsia="Arial" w:hAnsi="Arial"/>
          <w:sz w:val="17"/>
          <w:szCs w:val="17"/>
          <w:i w:val="1"/>
          <w:iCs w:val="1"/>
          <w:color w:val="auto"/>
        </w:rPr>
        <w:t>Hurd</w:t>
      </w:r>
      <w:r>
        <w:rPr>
          <w:rFonts w:ascii="Arial" w:cs="Arial" w:eastAsia="Arial" w:hAnsi="Arial"/>
          <w:sz w:val="17"/>
          <w:szCs w:val="17"/>
          <w:color w:val="auto"/>
        </w:rPr>
        <w:t xml:space="preserve"> actions were consolidated in United States District Court for the District of Massachusetts. That matter is now captioned </w:t>
      </w:r>
      <w:r>
        <w:rPr>
          <w:rFonts w:ascii="Arial" w:cs="Arial" w:eastAsia="Arial" w:hAnsi="Arial"/>
          <w:sz w:val="17"/>
          <w:szCs w:val="17"/>
          <w:i w:val="1"/>
          <w:iCs w:val="1"/>
          <w:color w:val="auto"/>
        </w:rPr>
        <w:t>In re American Superconductor Corporation Derivative Litigation</w:t>
      </w:r>
      <w:r>
        <w:rPr>
          <w:rFonts w:ascii="Arial" w:cs="Arial" w:eastAsia="Arial" w:hAnsi="Arial"/>
          <w:sz w:val="17"/>
          <w:szCs w:val="17"/>
          <w:color w:val="auto"/>
        </w:rPr>
        <w:t xml:space="preserve">, Docket No. 1:11-cv-10784. On June 1, 2011, the plaintiff in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7"/>
          <w:szCs w:val="17"/>
          <w:i w:val="1"/>
          <w:iCs w:val="1"/>
          <w:color w:val="auto"/>
        </w:rPr>
        <w:t>Segel v. Yurek et al.</w:t>
      </w:r>
      <w:r>
        <w:rPr>
          <w:rFonts w:ascii="Arial" w:cs="Arial" w:eastAsia="Arial" w:hAnsi="Arial"/>
          <w:sz w:val="17"/>
          <w:szCs w:val="17"/>
          <w:color w:val="auto"/>
        </w:rPr>
        <w:t xml:space="preserve"> to the Superior Court for the Commonwealth of Massachusetts, Middlesex County on June 23, 2011. On September 7, 2011, the </w:t>
      </w:r>
      <w:r>
        <w:rPr>
          <w:rFonts w:ascii="Arial" w:cs="Arial" w:eastAsia="Arial" w:hAnsi="Arial"/>
          <w:sz w:val="17"/>
          <w:szCs w:val="17"/>
          <w:i w:val="1"/>
          <w:iCs w:val="1"/>
          <w:color w:val="auto"/>
        </w:rPr>
        <w:t>Marlborough</w:t>
      </w:r>
      <w:r>
        <w:rPr>
          <w:rFonts w:ascii="Arial" w:cs="Arial" w:eastAsia="Arial" w:hAnsi="Arial"/>
          <w:sz w:val="17"/>
          <w:szCs w:val="17"/>
          <w:color w:val="auto"/>
        </w:rPr>
        <w:t xml:space="preserve"> and </w:t>
      </w:r>
      <w:r>
        <w:rPr>
          <w:rFonts w:ascii="Arial" w:cs="Arial" w:eastAsia="Arial" w:hAnsi="Arial"/>
          <w:sz w:val="17"/>
          <w:szCs w:val="17"/>
          <w:i w:val="1"/>
          <w:iCs w:val="1"/>
          <w:color w:val="auto"/>
        </w:rPr>
        <w:t>Segel</w:t>
      </w:r>
      <w:r>
        <w:rPr>
          <w:rFonts w:ascii="Arial" w:cs="Arial" w:eastAsia="Arial" w:hAnsi="Arial"/>
          <w:sz w:val="17"/>
          <w:szCs w:val="17"/>
          <w:color w:val="auto"/>
        </w:rPr>
        <w:t xml:space="preserve"> actions were consolidated in Superior Court for the Commonwealth of Massachusetts, Middlesex County. The case is now captioned </w:t>
      </w:r>
      <w:r>
        <w:rPr>
          <w:rFonts w:ascii="Arial" w:cs="Arial" w:eastAsia="Arial" w:hAnsi="Arial"/>
          <w:sz w:val="17"/>
          <w:szCs w:val="17"/>
          <w:i w:val="1"/>
          <w:iCs w:val="1"/>
          <w:color w:val="auto"/>
        </w:rPr>
        <w:t>Marlborough Family Revocable Trust v. Yurek, et al.</w:t>
      </w:r>
      <w:r>
        <w:rPr>
          <w:rFonts w:ascii="Arial" w:cs="Arial" w:eastAsia="Arial" w:hAnsi="Arial"/>
          <w:sz w:val="17"/>
          <w:szCs w:val="17"/>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7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8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September 13, 2011, we commenced a series of legal actions in China against Sinovel Wind Group Co. Ltd. (“Sinovel”). Our Chinese subsidiary, Suzhou AMSC Superconductor Co. Ltd. (“AMSC China”), filed a claim for arbitration with the Beijing Arbitration Commission in accordance with the terms of our supply contracts with Sinovel.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due to Sinovel’s breaches of our contracts. We are also seeking specific performance of our existing contracts as well as reimbursement of all costs and reasonable expenses with respect to the arbitration.</w:t>
      </w:r>
    </w:p>
    <w:p>
      <w:pPr>
        <w:spacing w:after="0" w:line="7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also submitted a civil action application to the Beijing No. 1 Intermediate People’s Court against Sinovel for software copyright infringement.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and is currently awaiting trial on charges of economic espionage and fraudulent manipulation of data.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for our economic losses and reimbursement of all costs and reasonable expenses. The court must accept the application in order for the case to proceed, and there can be no assurance that the court will do so.</w:t>
      </w:r>
    </w:p>
    <w:p>
      <w:pPr>
        <w:spacing w:after="0" w:line="75"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submitted a civil action application to the Beijing Higher People’s Court against Sinovel and certain of its employees for trade secret infringement. The application alleges the defendants’ unauthorized use of portions of our wind turbine control software source code developed for Sinovel’s 1.5MW wind turbines as described above with respect to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Copyright Action. We are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38"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September 16, 2011, AMSC China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for our economic losses (with respect to Guotong only) and reimbursement of all costs and reasonable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addition, the Company has various contractual arrangements in which minimum quantities of goods or services have been committed to be purchased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In October 2009, the FASB issued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pertaining to the accounting for revenue arrangements with multiple deliverables. Specifically, the new standard requires an entity to allocate consideration at the inception of an arrangement to all of its deliverables based on their relative selling prices. In the absence of the vendor-specific objective evidence or third-party evidence of the selling prices, consideration must be allocated to the deliverables based on management’s best estimate of the selling prices. In addition, the new standard eliminates the use of the residual method of allocation. The new accounting standard supersedes the prior multiple element revenue arrangement accounting rules that were previously used by us. We adopted this new accounting standard on April 1, 2010 using the prospective method and the adoption did not have a material impact on our consolidated financial statements.</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In January 2010, we adopted Accounting Standards Update (ASU) No. 2010-06, </w:t>
      </w:r>
      <w:r>
        <w:rPr>
          <w:rFonts w:ascii="Arial" w:cs="Arial" w:eastAsia="Arial" w:hAnsi="Arial"/>
          <w:sz w:val="17"/>
          <w:szCs w:val="17"/>
          <w:i w:val="1"/>
          <w:iCs w:val="1"/>
          <w:color w:val="auto"/>
        </w:rPr>
        <w:t>Fair Value Measurements and Disclosures (Topic 820): 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Fair Value Measurements</w:t>
      </w:r>
      <w:r>
        <w:rPr>
          <w:rFonts w:ascii="Arial" w:cs="Arial" w:eastAsia="Arial" w:hAnsi="Arial"/>
          <w:sz w:val="17"/>
          <w:szCs w:val="17"/>
          <w:color w:val="auto"/>
        </w:rPr>
        <w:t>. This standard amends the disclosure guidance with respect to fair value measurements for both interim and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We have included these new disclosures, as applicable, in Note 3, “Marketable Securities and Fair Value Disclosures,” of our consolidated financial statements.</w:t>
      </w:r>
    </w:p>
    <w:p>
      <w:pPr>
        <w:spacing w:after="0" w:line="7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December 2010, the FASB issued Accounting Standards Update (ASU) No. 2010-29, </w:t>
      </w:r>
      <w:r>
        <w:rPr>
          <w:rFonts w:ascii="Arial" w:cs="Arial" w:eastAsia="Arial" w:hAnsi="Arial"/>
          <w:sz w:val="17"/>
          <w:szCs w:val="17"/>
          <w:i w:val="1"/>
          <w:iCs w:val="1"/>
          <w:color w:val="auto"/>
        </w:rPr>
        <w:t>Business Combinations (Topic 805), Disclosure of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Information for Business Combinations a consensus of the FASB Emerging Issues Task Force (ASC 2010-29)</w:t>
      </w:r>
      <w:r>
        <w:rPr>
          <w:rFonts w:ascii="Arial" w:cs="Arial" w:eastAsia="Arial" w:hAnsi="Arial"/>
          <w:sz w:val="17"/>
          <w:szCs w:val="17"/>
          <w:color w:val="auto"/>
        </w:rPr>
        <w:t>. This amendment clarifies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We do not expect the adoption of ASU 2011-04 to have a material impact on our consolidated results of operations, financial condition, or cash flows.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do not expect the adoption of ASU 2011-04 to have a material impact on our consolidated results of operations, financial condition, or cash flows.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80" w:firstLine="222"/>
        <w:spacing w:after="0" w:line="34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market risk</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functional currency of each of our foreign subsidiaries is the U.S. dollar, except for AMSC Windtec, for which the local currency (Euro) is the functional currency, and AMSC China, for which the local currency (Renminbi) is the functional currency. The assets and liabilities of AMSC Windtec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46"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Foreign currency transaction gains included in net (loss) income were $1.2 million and $0.3 million for the three months ended June 30, 2011 and 2010, respectively.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Our management previously identified material weaknesses in internal control over financial reporting related to revenues and accounts receivable balances as fees were not fixed or determinable or collectability was not reasonably assured at the time revenue was recognized, which is described in our Annual Report on Form 10-K for the year ended March 31, 2011. During fiscal 2011 through the date of this filing, management has been focused on remediating these material weaknesses. The remediation process is ongoing but it is not yet complete. There was no change in internal control over financial reporting during the quarter ended June 30, 2011 that has materially affected, or is reasonably likely to materially affect, our internal control over financial reporting. The following discussion sets forth a summary of management’s evaluation of our disclosure controls and procedures as of June 30, 2011.</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as of June 30, 2011 because of the previously identified material weaknesses in internal control over financial reporting discussed below.</w:t>
      </w:r>
    </w:p>
    <w:p>
      <w:pPr>
        <w:spacing w:after="0" w:line="6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Notwithstanding the material weaknesses described below, management believes that the unaudited condensed consolidated financial statements included in this Quarterly Report on Form 10-Q fairly present, in all material respects, our financial condition, results of operations and cash flows for the periods presented in conformity with accounting principles generally accepted in the United States (“GAAP”).</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This section of Item 4, “Controls and Procedures,” should be read in conjunction with Item 9A. “Controls and Procedures,” included in our Annual Report on Form 10-K for the fiscal year ended March 31, 2011.</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2011, the unremediated material weaknesses were as follows:</w:t>
      </w:r>
    </w:p>
    <w:p>
      <w:pPr>
        <w:spacing w:after="0" w:line="117" w:lineRule="exact"/>
        <w:rPr>
          <w:sz w:val="20"/>
          <w:szCs w:val="20"/>
          <w:color w:val="auto"/>
        </w:rPr>
      </w:pPr>
    </w:p>
    <w:p>
      <w:pPr>
        <w:ind w:left="1000" w:right="260" w:hanging="317"/>
        <w:spacing w:after="0" w:line="342" w:lineRule="auto"/>
        <w:tabs>
          <w:tab w:leader="none" w:pos="10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spacing w:after="0" w:line="15" w:lineRule="exact"/>
        <w:rPr>
          <w:rFonts w:ascii="Arial" w:cs="Arial" w:eastAsia="Arial" w:hAnsi="Arial"/>
          <w:sz w:val="16"/>
          <w:szCs w:val="16"/>
          <w:b w:val="1"/>
          <w:bCs w:val="1"/>
          <w:color w:val="auto"/>
        </w:rPr>
      </w:pPr>
    </w:p>
    <w:p>
      <w:pPr>
        <w:ind w:left="1000" w:right="120" w:hanging="317"/>
        <w:spacing w:after="0" w:line="277" w:lineRule="auto"/>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did not maintain adequate controls to ensure proper monitoring and evaluation of customer creditworthiness, including the collectability of amounts due from customers and appropriate revenue recognition;</w:t>
      </w:r>
    </w:p>
    <w:p>
      <w:pPr>
        <w:spacing w:after="0" w:line="62" w:lineRule="exact"/>
        <w:rPr>
          <w:rFonts w:ascii="Arial" w:cs="Arial" w:eastAsia="Arial" w:hAnsi="Arial"/>
          <w:sz w:val="18"/>
          <w:szCs w:val="18"/>
          <w:b w:val="1"/>
          <w:bCs w:val="1"/>
          <w:color w:val="auto"/>
        </w:rPr>
      </w:pPr>
    </w:p>
    <w:p>
      <w:pPr>
        <w:ind w:left="1000" w:right="360" w:hanging="317"/>
        <w:spacing w:after="0" w:line="264" w:lineRule="auto"/>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73" w:lineRule="exact"/>
        <w:rPr>
          <w:rFonts w:ascii="Arial" w:cs="Arial" w:eastAsia="Arial" w:hAnsi="Arial"/>
          <w:sz w:val="18"/>
          <w:szCs w:val="18"/>
          <w:b w:val="1"/>
          <w:bCs w:val="1"/>
          <w:color w:val="auto"/>
        </w:rPr>
      </w:pPr>
    </w:p>
    <w:p>
      <w:pPr>
        <w:ind w:left="1000" w:hanging="317"/>
        <w:spacing w:after="0" w:line="308" w:lineRule="auto"/>
        <w:tabs>
          <w:tab w:leader="none" w:pos="100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the process of remediating the above material weaknesses through the following initiatives:</w:t>
      </w:r>
    </w:p>
    <w:p>
      <w:pPr>
        <w:spacing w:after="0" w:line="117"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establishing formal, written policies and procedures governing the customer credit process;</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improving procedures to ensure the proper review and documentation of customer creditworthiness;</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establishing a new worldwide revenue manager position in finance with GAAP experience to ensure accuracy of revenue recognition;</w:t>
      </w:r>
    </w:p>
    <w:p>
      <w:pPr>
        <w:spacing w:after="0" w:line="128" w:lineRule="exact"/>
        <w:rPr>
          <w:rFonts w:ascii="Arial" w:cs="Arial" w:eastAsia="Arial" w:hAnsi="Arial"/>
          <w:sz w:val="17"/>
          <w:szCs w:val="17"/>
          <w:b w:val="1"/>
          <w:bCs w:val="1"/>
          <w:color w:val="auto"/>
        </w:rPr>
      </w:pPr>
    </w:p>
    <w:p>
      <w:pPr>
        <w:ind w:left="1000" w:hanging="317"/>
        <w:spacing w:after="0"/>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improving procedures to ensure the proper communication, approval and accounting review of deviations from sales contracts;</w:t>
      </w:r>
    </w:p>
    <w:p>
      <w:pPr>
        <w:spacing w:after="0" w:line="117" w:lineRule="exact"/>
        <w:rPr>
          <w:rFonts w:ascii="Arial" w:cs="Arial" w:eastAsia="Arial" w:hAnsi="Arial"/>
          <w:sz w:val="18"/>
          <w:szCs w:val="18"/>
          <w:b w:val="1"/>
          <w:bCs w:val="1"/>
          <w:color w:val="auto"/>
        </w:rPr>
      </w:pPr>
    </w:p>
    <w:p>
      <w:pPr>
        <w:ind w:left="1000" w:right="40" w:hanging="317"/>
        <w:spacing w:after="0" w:line="277" w:lineRule="auto"/>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providing additional and on-going training to product managers and others involved in negotiating contractual arrangements and accounting for revenue transactions, in order to heighten awareness of revenue recognition concepts under GAAP; and</w:t>
      </w:r>
    </w:p>
    <w:p>
      <w:pPr>
        <w:spacing w:after="0" w:line="62" w:lineRule="exact"/>
        <w:rPr>
          <w:rFonts w:ascii="Arial" w:cs="Arial" w:eastAsia="Arial" w:hAnsi="Arial"/>
          <w:sz w:val="18"/>
          <w:szCs w:val="18"/>
          <w:b w:val="1"/>
          <w:bCs w:val="1"/>
          <w:color w:val="auto"/>
        </w:rPr>
      </w:pPr>
    </w:p>
    <w:p>
      <w:pPr>
        <w:ind w:left="1000" w:right="480" w:hanging="317"/>
        <w:spacing w:after="0" w:line="277" w:lineRule="auto"/>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improving the internal communication process for senior management. During monthly operations reviews time will be devoted to senior management review of pending operational and accounting issues for the current quarter.</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Management is committed to a strong internal control environment and believes that, when fully implemented and tested, the measures described above will improve our internal control over financial reporting. We will continue to assess the effectiveness of our remediation efforts in connection with our future assessments of the effectiveness of internal control over financial reporting.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Except as discussed above, there were no changes in our internal control over financial reporting during the quarter ended June 30, 2011 that have materially affected, or are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Between April 6, 2011 and April 29, 2011, six putative securities class action complaints were filed against us and two of our officers in the United States District Court for the District of Massachusetts. On May 12, 2011, an additional complaint was filed against us, our officers and directors, and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7"/>
          <w:szCs w:val="17"/>
          <w:i w:val="1"/>
          <w:iCs w:val="1"/>
          <w:color w:val="auto"/>
        </w:rPr>
        <w:t>Lenartz v. American Superconductor Corporation, et al.</w:t>
      </w:r>
      <w:r>
        <w:rPr>
          <w:rFonts w:ascii="Arial" w:cs="Arial" w:eastAsia="Arial" w:hAnsi="Arial"/>
          <w:sz w:val="17"/>
          <w:szCs w:val="17"/>
          <w:color w:val="auto"/>
        </w:rPr>
        <w:t xml:space="preserve"> Docket No. 1:11-cv-10582-WGY. On June 16, 2011, the court appointed the law firm Robbins Geller Rudman &amp; Dowd LLP as Lead Counsel and the Plumbers and Pipefitters National Pension Fund as Lead Plaintiff. On August 31, 2011, the Lead Plaintiff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8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 xml:space="preserve">On April 27, 2011, a putative shareholder derivative complaint was filed against us (as a nominal defendant) and each of our current directors in Superior Court for the Commonwealth of Massachusetts, Worcester County. The case is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11-0787. Between May 4, 2011 and June 17, 2011, four additional putative shareholder derivative complaints were filed in the United States District Court for the District of Massachusetts against us and certain of our directors and officers. The cases are captioned </w:t>
      </w:r>
      <w:r>
        <w:rPr>
          <w:rFonts w:ascii="Arial" w:cs="Arial" w:eastAsia="Arial" w:hAnsi="Arial"/>
          <w:sz w:val="16"/>
          <w:szCs w:val="16"/>
          <w:i w:val="1"/>
          <w:iCs w:val="1"/>
          <w:color w:val="auto"/>
        </w:rPr>
        <w:t>Weakley v. Yurek, et al.</w:t>
      </w:r>
      <w:r>
        <w:rPr>
          <w:rFonts w:ascii="Arial" w:cs="Arial" w:eastAsia="Arial" w:hAnsi="Arial"/>
          <w:sz w:val="16"/>
          <w:szCs w:val="16"/>
          <w:color w:val="auto"/>
        </w:rPr>
        <w:t xml:space="preserve">, Docket No. 1:11-cv-10784;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1:11-cv-10825;</w:t>
      </w:r>
      <w:r>
        <w:rPr>
          <w:rFonts w:ascii="Arial" w:cs="Arial" w:eastAsia="Arial" w:hAnsi="Arial"/>
          <w:sz w:val="16"/>
          <w:szCs w:val="16"/>
          <w:i w:val="1"/>
          <w:iCs w:val="1"/>
          <w:color w:val="auto"/>
        </w:rPr>
        <w:t xml:space="preserve"> Connors v. Yurek, et al.</w:t>
      </w:r>
      <w:r>
        <w:rPr>
          <w:rFonts w:ascii="Arial" w:cs="Arial" w:eastAsia="Arial" w:hAnsi="Arial"/>
          <w:sz w:val="16"/>
          <w:szCs w:val="16"/>
          <w:color w:val="auto"/>
        </w:rPr>
        <w:t>, Docket No. 1:11-cv-10910; and</w:t>
      </w:r>
      <w:r>
        <w:rPr>
          <w:rFonts w:ascii="Arial" w:cs="Arial" w:eastAsia="Arial" w:hAnsi="Arial"/>
          <w:sz w:val="16"/>
          <w:szCs w:val="16"/>
          <w:i w:val="1"/>
          <w:iCs w:val="1"/>
          <w:color w:val="auto"/>
        </w:rPr>
        <w:t xml:space="preserve"> Hurd v. Yurek, et al.</w:t>
      </w:r>
      <w:r>
        <w:rPr>
          <w:rFonts w:ascii="Arial" w:cs="Arial" w:eastAsia="Arial" w:hAnsi="Arial"/>
          <w:sz w:val="16"/>
          <w:szCs w:val="16"/>
          <w:color w:val="auto"/>
        </w:rPr>
        <w:t xml:space="preserve">, Docket No. 1:11-cv-11102.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June 3, 2011. The case is now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The Superior Court in Worcester County granted the plaintiff’s motion to transfer in</w:t>
      </w:r>
      <w:r>
        <w:rPr>
          <w:rFonts w:ascii="Arial" w:cs="Arial" w:eastAsia="Arial" w:hAnsi="Arial"/>
          <w:sz w:val="16"/>
          <w:szCs w:val="16"/>
          <w:i w:val="1"/>
          <w:iCs w:val="1"/>
          <w:color w:val="auto"/>
        </w:rPr>
        <w:t xml:space="preserve"> Segel v. Yurek et al. </w:t>
      </w:r>
      <w:r>
        <w:rPr>
          <w:rFonts w:ascii="Arial" w:cs="Arial" w:eastAsia="Arial" w:hAnsi="Arial"/>
          <w:sz w:val="16"/>
          <w:szCs w:val="16"/>
          <w:color w:val="auto"/>
        </w:rPr>
        <w:t xml:space="preserve">to the Superior Court for the Commonwealth of Massachusetts, Middlesex County on June 23, 2011, and that matter is now captioned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Docket No. 11-2269. On July 5, 2011, the </w:t>
      </w:r>
      <w:r>
        <w:rPr>
          <w:rFonts w:ascii="Arial" w:cs="Arial" w:eastAsia="Arial" w:hAnsi="Arial"/>
          <w:sz w:val="16"/>
          <w:szCs w:val="16"/>
          <w:i w:val="1"/>
          <w:iCs w:val="1"/>
          <w:color w:val="auto"/>
        </w:rPr>
        <w:t>Weakley</w:t>
      </w:r>
      <w:r>
        <w:rPr>
          <w:rFonts w:ascii="Arial" w:cs="Arial" w:eastAsia="Arial" w:hAnsi="Arial"/>
          <w:sz w:val="16"/>
          <w:szCs w:val="16"/>
          <w:color w:val="auto"/>
        </w:rPr>
        <w:t xml:space="preserve">, </w:t>
      </w:r>
      <w:r>
        <w:rPr>
          <w:rFonts w:ascii="Arial" w:cs="Arial" w:eastAsia="Arial" w:hAnsi="Arial"/>
          <w:sz w:val="16"/>
          <w:szCs w:val="16"/>
          <w:i w:val="1"/>
          <w:iCs w:val="1"/>
          <w:color w:val="auto"/>
        </w:rPr>
        <w:t>Connors</w:t>
      </w:r>
      <w:r>
        <w:rPr>
          <w:rFonts w:ascii="Arial" w:cs="Arial" w:eastAsia="Arial" w:hAnsi="Arial"/>
          <w:sz w:val="16"/>
          <w:szCs w:val="16"/>
          <w:color w:val="auto"/>
        </w:rPr>
        <w:t xml:space="preserve"> and </w:t>
      </w:r>
      <w:r>
        <w:rPr>
          <w:rFonts w:ascii="Arial" w:cs="Arial" w:eastAsia="Arial" w:hAnsi="Arial"/>
          <w:sz w:val="16"/>
          <w:szCs w:val="16"/>
          <w:i w:val="1"/>
          <w:iCs w:val="1"/>
          <w:color w:val="auto"/>
        </w:rPr>
        <w:t>Hurd</w:t>
      </w:r>
      <w:r>
        <w:rPr>
          <w:rFonts w:ascii="Arial" w:cs="Arial" w:eastAsia="Arial" w:hAnsi="Arial"/>
          <w:sz w:val="16"/>
          <w:szCs w:val="16"/>
          <w:color w:val="auto"/>
        </w:rPr>
        <w:t xml:space="preserve"> actions were consolidated in United States District Court for the District of Massachusetts.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 On June 1, 2011, the plaintiff in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on June 3, 2011, refiled its complaint in Superior Court for the Commonwealth of Massachusetts, Middlesex County. The Superior Court in Worcester County granted the plaintiff’s motion to transfer in </w:t>
      </w:r>
      <w:r>
        <w:rPr>
          <w:rFonts w:ascii="Arial" w:cs="Arial" w:eastAsia="Arial" w:hAnsi="Arial"/>
          <w:sz w:val="16"/>
          <w:szCs w:val="16"/>
          <w:i w:val="1"/>
          <w:iCs w:val="1"/>
          <w:color w:val="auto"/>
        </w:rPr>
        <w:t>Segel v. Yurek et al.</w:t>
      </w:r>
      <w:r>
        <w:rPr>
          <w:rFonts w:ascii="Arial" w:cs="Arial" w:eastAsia="Arial" w:hAnsi="Arial"/>
          <w:sz w:val="16"/>
          <w:szCs w:val="16"/>
          <w:color w:val="auto"/>
        </w:rPr>
        <w:t xml:space="preserve"> to the Superior Court for the Commonwealth of Massachusetts, Middlesex County on June 23, 2011.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and </w:t>
      </w:r>
      <w:r>
        <w:rPr>
          <w:rFonts w:ascii="Arial" w:cs="Arial" w:eastAsia="Arial" w:hAnsi="Arial"/>
          <w:sz w:val="16"/>
          <w:szCs w:val="16"/>
          <w:i w:val="1"/>
          <w:iCs w:val="1"/>
          <w:color w:val="auto"/>
        </w:rPr>
        <w:t>Segel</w:t>
      </w:r>
      <w:r>
        <w:rPr>
          <w:rFonts w:ascii="Arial" w:cs="Arial" w:eastAsia="Arial" w:hAnsi="Arial"/>
          <w:sz w:val="16"/>
          <w:szCs w:val="16"/>
          <w:color w:val="auto"/>
        </w:rPr>
        <w:t xml:space="preserve"> actions were consolidated in Superior Court for the Commonwealth of Massachusetts, Middlesex County. The case is now captioned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Docket No. 11-1961.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2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September 13, 2011, we commenced a series of legal actions in China against Sinovel Wind Group Co. Ltd. (“Sinovel”). Our Chinese subsidiary, Suzhou AMSC Superconductor Co. Ltd. (“AMSC China”), filed a claim for arbitration with the Beijing Arbitration Commission in accordance with the terms of our supply contracts with Sinovel.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due to Sinovel’s breaches of our contracts. We are also seeking specific performance of our existing contracts as well as reimbursement of all costs and reasonable expenses with respect to the arbitration.</w:t>
      </w:r>
    </w:p>
    <w:p>
      <w:pPr>
        <w:spacing w:after="0" w:line="7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also submitted a civil action application to the Beijing No. 1 Intermediate People’s Court against Sinovel for software copyright infringement.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and is currently awaiting trial on charges of economic espionage and fraudulent manipulation of data.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for our economic losses and reimbursement of all costs and reasonable expenses. The court must accept the application in order for the case to proceed, and there can be no assurance that the court will do so.</w:t>
      </w:r>
    </w:p>
    <w:p>
      <w:pPr>
        <w:spacing w:after="0" w:line="75"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submitted a civil action application to the Beijing Higher People’s Court against Sinovel and certain of its employees for trade secret infringement. The application alleges the defendants’ unauthorized use of portions of our wind turbine control software source code developed for Sinovel’s 1.5MW wind turbines as described above with respect to the Copyright Action. We are seeking monetary damages for the trade secret infringement as well as reimbursement of all costs and reasonable expenses. The court must accept the application in order for the case to proceed, and there can be no assurance that the court will do so.</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On September 16, 2011, AMSC China filed a civil copyright infringement complaint in the Hainan Province No. 1 Intermediate People’s Court against Dalian Guotong Electric Co. Ltd. (“Guotong”), a supplier of power converter products to Sinovel, and Huaneng Hainan Power, Inc., a wind farm operator that has purchased Sinovel wind turbines containing Goutong power converter products.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for our economic losses (with respect to Guotong only) and reimbursement of all costs and reasonable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factors discussed in Part I, “Item 1A. Risk Factors” in our Annual Report on Form 10-K for the year ended March 31, 2011, which could materially affect our business, financial condition or future results. To the best of our knowledge, as of the date of this report there has been no material change in any risk factors described in our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In May 2011, in connection with the vesting of certain restricted stock awards issued to certain executive officers of the Company, these employees paid withholding taxes due by returning 23,861 shares valued at $0.3 million. The Company has recorded these shares as treasury stock as of June 30, 2011.</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419"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7"/>
          <w:szCs w:val="17"/>
          <w:b w:val="1"/>
          <w:bCs w:val="1"/>
          <w:color w:val="auto"/>
        </w:rPr>
        <w:t>By: /s/ David A. Henry</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25984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Retirement and Services Agreement, dated as of May 23, 2011, between the Registrant and Gregory J. Yurek (1)</w:t>
            </w: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Amended and Restated Executive Severance Agreement, dated as of May 24, 2011, between the Registrant and Daniel P. McGahn (2)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Letter Agreement, dated as of June 7, 2011, between the Registrant and The Switch Engineering Oy (3)</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Amendment Agreement, dated June 29, 2011, by and among the Registrant and the shareholders of The Switch Engineering Oy (4)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Chief Executive Officer—Certification pursuant to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Chief Financial Officer—Certification pursuant to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Officer—Certification pursuant to Rule13a-14(b) or Rule 15d-14(b) of the Securities Exchange Act of 1934 and 18 U.S.C.</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Chief Financial Officer—Certification pursuant to Rule 13a-14(b) or Rule 15d-14(b) of the Securities Exchange Act of 1934 and 18 U.S.C.</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Taxonomy Presentation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XBRL Taxonomy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May 24, 2011 (Commission file No. 000-19672).</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filed with the Commission on May 24, 2011 (Commission file No. 000-19672).</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13, 2011 (Commission file No. 000-19672).</w:t>
      </w:r>
    </w:p>
    <w:p>
      <w:pPr>
        <w:spacing w:after="0" w:line="21"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30, 2011 (Commission file No. 000-19672).</w:t>
      </w:r>
    </w:p>
    <w:p>
      <w:pPr>
        <w:spacing w:after="0" w:line="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Statements of Income for the three months ended June 30, 2011 and 2010, (ii) Condensed Consolidated Balance Sheets as of June 30, 2011 and March 31, 2011, (iii) Condensed Consolidated Statements of Comprehensive (Loss) Income for the three months ended June 30, 2011 and 2010, (iv) Condensed Consolidated Statements of Cash Flows for the three months ended June 30, 2011 and 2010, and (v) Notes to Condensed Consolidated Financial Statements.</w:t>
      </w:r>
    </w:p>
    <w:p>
      <w:pPr>
        <w:spacing w:after="0" w:line="4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1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7"/>
          <w:szCs w:val="17"/>
          <w:b w:val="1"/>
          <w:bCs w:val="1"/>
          <w:color w:val="auto"/>
        </w:rPr>
        <w:t>By: /s/ D</w:t>
      </w:r>
      <w:r>
        <w:rPr>
          <w:rFonts w:ascii="Arial" w:cs="Arial" w:eastAsia="Arial" w:hAnsi="Arial"/>
          <w:sz w:val="11"/>
          <w:szCs w:val="11"/>
          <w:b w:val="1"/>
          <w:bCs w:val="1"/>
          <w:color w:val="auto"/>
        </w:rPr>
        <w:t>ANIEL</w:t>
      </w:r>
      <w:r>
        <w:rPr>
          <w:rFonts w:ascii="Arial" w:cs="Arial" w:eastAsia="Arial" w:hAnsi="Arial"/>
          <w:sz w:val="17"/>
          <w:szCs w:val="17"/>
          <w:b w:val="1"/>
          <w:bCs w:val="1"/>
          <w:color w:val="auto"/>
        </w:rPr>
        <w:t xml:space="preserve"> P. M</w:t>
      </w:r>
      <w:r>
        <w:rPr>
          <w:rFonts w:ascii="Arial" w:cs="Arial" w:eastAsia="Arial" w:hAnsi="Arial"/>
          <w:sz w:val="11"/>
          <w:szCs w:val="11"/>
          <w:b w:val="1"/>
          <w:bCs w:val="1"/>
          <w:color w:val="auto"/>
        </w:rPr>
        <w:t>C</w:t>
      </w:r>
      <w:r>
        <w:rPr>
          <w:rFonts w:ascii="Arial" w:cs="Arial" w:eastAsia="Arial" w:hAnsi="Arial"/>
          <w:sz w:val="17"/>
          <w:szCs w:val="17"/>
          <w:b w:val="1"/>
          <w:bCs w:val="1"/>
          <w:color w:val="auto"/>
        </w:rPr>
        <w:t>G</w:t>
      </w:r>
      <w:r>
        <w:rPr>
          <w:rFonts w:ascii="Arial" w:cs="Arial" w:eastAsia="Arial" w:hAnsi="Arial"/>
          <w:sz w:val="11"/>
          <w:szCs w:val="11"/>
          <w:b w:val="1"/>
          <w:bCs w:val="1"/>
          <w:color w:val="auto"/>
        </w:rPr>
        <w:t>AHN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7"/>
          <w:szCs w:val="17"/>
          <w:b w:val="1"/>
          <w:bCs w:val="1"/>
          <w:color w:val="auto"/>
        </w:rPr>
        <w:t>By: /s/ D</w:t>
      </w:r>
      <w:r>
        <w:rPr>
          <w:rFonts w:ascii="Arial" w:cs="Arial" w:eastAsia="Arial" w:hAnsi="Arial"/>
          <w:sz w:val="11"/>
          <w:szCs w:val="11"/>
          <w:b w:val="1"/>
          <w:bCs w:val="1"/>
          <w:color w:val="auto"/>
        </w:rPr>
        <w:t>AVID</w:t>
      </w:r>
      <w:r>
        <w:rPr>
          <w:rFonts w:ascii="Arial" w:cs="Arial" w:eastAsia="Arial" w:hAnsi="Arial"/>
          <w:sz w:val="17"/>
          <w:szCs w:val="17"/>
          <w:b w:val="1"/>
          <w:bCs w:val="1"/>
          <w:color w:val="auto"/>
        </w:rPr>
        <w:t xml:space="preserve"> A. H</w:t>
      </w:r>
      <w:r>
        <w:rPr>
          <w:rFonts w:ascii="Arial" w:cs="Arial" w:eastAsia="Arial" w:hAnsi="Arial"/>
          <w:sz w:val="11"/>
          <w:szCs w:val="11"/>
          <w:b w:val="1"/>
          <w:bCs w:val="1"/>
          <w:color w:val="auto"/>
        </w:rPr>
        <w:t>ENRY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2011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7"/>
          <w:szCs w:val="17"/>
          <w:b w:val="1"/>
          <w:bCs w:val="1"/>
          <w:color w:val="auto"/>
        </w:rPr>
        <w:t>By: /s/ D</w:t>
      </w:r>
      <w:r>
        <w:rPr>
          <w:rFonts w:ascii="Arial" w:cs="Arial" w:eastAsia="Arial" w:hAnsi="Arial"/>
          <w:sz w:val="11"/>
          <w:szCs w:val="11"/>
          <w:b w:val="1"/>
          <w:bCs w:val="1"/>
          <w:color w:val="auto"/>
        </w:rPr>
        <w:t>ANIEL</w:t>
      </w:r>
      <w:r>
        <w:rPr>
          <w:rFonts w:ascii="Arial" w:cs="Arial" w:eastAsia="Arial" w:hAnsi="Arial"/>
          <w:sz w:val="17"/>
          <w:szCs w:val="17"/>
          <w:b w:val="1"/>
          <w:bCs w:val="1"/>
          <w:color w:val="auto"/>
        </w:rPr>
        <w:t xml:space="preserve"> P. M</w:t>
      </w:r>
      <w:r>
        <w:rPr>
          <w:rFonts w:ascii="Arial" w:cs="Arial" w:eastAsia="Arial" w:hAnsi="Arial"/>
          <w:sz w:val="11"/>
          <w:szCs w:val="11"/>
          <w:b w:val="1"/>
          <w:bCs w:val="1"/>
          <w:color w:val="auto"/>
        </w:rPr>
        <w:t>C</w:t>
      </w:r>
      <w:r>
        <w:rPr>
          <w:rFonts w:ascii="Arial" w:cs="Arial" w:eastAsia="Arial" w:hAnsi="Arial"/>
          <w:sz w:val="17"/>
          <w:szCs w:val="17"/>
          <w:b w:val="1"/>
          <w:bCs w:val="1"/>
          <w:color w:val="auto"/>
        </w:rPr>
        <w:t>G</w:t>
      </w:r>
      <w:r>
        <w:rPr>
          <w:rFonts w:ascii="Arial" w:cs="Arial" w:eastAsia="Arial" w:hAnsi="Arial"/>
          <w:sz w:val="11"/>
          <w:szCs w:val="11"/>
          <w:b w:val="1"/>
          <w:bCs w:val="1"/>
          <w:color w:val="auto"/>
        </w:rPr>
        <w:t>AHN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2011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September 23, 2011</w:t>
      </w:r>
      <w:r>
        <w:rPr>
          <w:sz w:val="20"/>
          <w:szCs w:val="20"/>
          <w:color w:val="auto"/>
        </w:rPr>
        <w:tab/>
      </w:r>
      <w:r>
        <w:rPr>
          <w:rFonts w:ascii="Arial" w:cs="Arial" w:eastAsia="Arial" w:hAnsi="Arial"/>
          <w:sz w:val="18"/>
          <w:szCs w:val="18"/>
          <w:b w:val="1"/>
          <w:bCs w:val="1"/>
          <w:color w:val="auto"/>
        </w:rPr>
        <w:t>By: /</w:t>
      </w:r>
      <w:r>
        <w:rPr>
          <w:rFonts w:ascii="Arial" w:cs="Arial" w:eastAsia="Arial" w:hAnsi="Arial"/>
          <w:sz w:val="12"/>
          <w:szCs w:val="12"/>
          <w:b w:val="1"/>
          <w:bCs w:val="1"/>
          <w:color w:val="auto"/>
        </w:rPr>
        <w:t>S</w:t>
      </w:r>
      <w:r>
        <w:rPr>
          <w:rFonts w:ascii="Arial" w:cs="Arial" w:eastAsia="Arial" w:hAnsi="Arial"/>
          <w:sz w:val="18"/>
          <w:szCs w:val="18"/>
          <w:b w:val="1"/>
          <w:bCs w:val="1"/>
          <w:color w:val="auto"/>
        </w:rPr>
        <w:t>/ 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2"/>
          <w:szCs w:val="12"/>
          <w:b w:val="1"/>
          <w:bCs w:val="1"/>
          <w:color w:val="auto"/>
        </w:rPr>
        <w:t>ENRY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2019-12-10T10:07:27Z</dcterms:created>
  <dcterms:modified xsi:type="dcterms:W3CDTF">2019-12-10T10:07:27Z</dcterms:modified>
</cp:coreProperties>
</file>