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sc20251231_10q.htm"/>
      <w:bookmarkStart w:id="1" w:name="ksamsc20251231_10q"/>
      <w:bookmarkEnd w:id="0"/>
      <w:bookmarkEnd w:id="1"/>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UNITED STATES</w:t>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SECURITIES AND EXCHANGE COMMISSION</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32"/>
        </w:rPr>
      </w:pPr>
      <w:r>
        <w:rPr>
          <w:rFonts w:ascii="Times New Roman" w:hAnsi="Times New Roman"/>
          <w:b/>
          <w:sz w:val="32"/>
        </w:rPr>
        <w:t>FORM 10-Q</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pPr>
            <w:r>
              <w:rPr/>
              <w:t>☒</w:t>
            </w:r>
          </w:p>
        </w:tc>
        <w:tc>
          <w:tcPr>
            <w:tcW w:w="7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December 31, 2025</w:t>
      </w:r>
    </w:p>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ind w:left="0" w:right="0" w:hanging="0"/>
              <w:jc w:val="left"/>
              <w:rPr/>
            </w:pPr>
            <w:r>
              <w:rPr/>
              <w:t>☐</w:t>
            </w:r>
          </w:p>
        </w:tc>
        <w:tc>
          <w:tcPr>
            <w:tcW w:w="74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_____ </w:t>
      </w:r>
      <w:r>
        <w:rPr>
          <w:rFonts w:ascii="Times New Roman;Times;serif" w:hAnsi="Times New Roman;Times;serif"/>
          <w:b/>
          <w:sz w:val="20"/>
        </w:rPr>
        <w:t xml:space="preserve">to </w:t>
      </w:r>
      <w:r>
        <w:rPr>
          <w:rFonts w:ascii="Times New Roman;Times;serif" w:hAnsi="Times New Roman;Times;serif"/>
          <w:sz w:val="20"/>
        </w:rPr>
        <w:t>_____</w:t>
      </w:r>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0-19672</w:t>
      </w:r>
    </w:p>
    <w:p>
      <w:pPr>
        <w:pStyle w:val="TextBody"/>
        <w:bidi w:val="0"/>
        <w:spacing w:before="120" w:after="12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44"/>
        </w:rPr>
      </w:pPr>
      <w:r>
        <w:rPr>
          <w:rFonts w:ascii="Times New Roman" w:hAnsi="Times New Roman"/>
          <w:b/>
          <w:sz w:val="44"/>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4645" w:type="dxa"/>
        <w:jc w:val="left"/>
        <w:tblInd w:w="0" w:type="dxa"/>
        <w:tblLayout w:type="fixed"/>
        <w:tblCellMar>
          <w:top w:w="0" w:type="dxa"/>
          <w:left w:w="0" w:type="dxa"/>
          <w:bottom w:w="0" w:type="dxa"/>
          <w:right w:w="0" w:type="dxa"/>
        </w:tblCellMar>
      </w:tblPr>
      <w:tblGrid>
        <w:gridCol w:w="3275"/>
        <w:gridCol w:w="1370"/>
      </w:tblGrid>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04-2959321</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3275" w:type="dxa"/>
            <w:tcBorders/>
            <w:vAlign w:val="center"/>
          </w:tcPr>
          <w:p>
            <w:pPr>
              <w:pStyle w:val="TableContents"/>
              <w:bidi w:val="0"/>
              <w:spacing w:before="0" w:after="0"/>
              <w:ind w:left="0" w:right="0" w:hanging="0"/>
              <w:jc w:val="left"/>
              <w:rPr/>
            </w:pPr>
            <w:r>
              <w:rPr/>
              <w:t> </w:t>
            </w:r>
          </w:p>
        </w:tc>
        <w:tc>
          <w:tcPr>
            <w:tcW w:w="1370" w:type="dxa"/>
            <w:tcBorders/>
            <w:vAlign w:val="center"/>
          </w:tcPr>
          <w:p>
            <w:pPr>
              <w:pStyle w:val="TableContents"/>
              <w:bidi w:val="0"/>
              <w:spacing w:before="0" w:after="0"/>
              <w:ind w:left="0" w:right="0" w:hanging="0"/>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114 East Main St. Ayer, Massachusetts</w:t>
            </w:r>
          </w:p>
        </w:tc>
        <w:tc>
          <w:tcPr>
            <w:tcW w:w="13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01432</w:t>
            </w:r>
          </w:p>
        </w:tc>
      </w:tr>
      <w:tr>
        <w:trPr/>
        <w:tc>
          <w:tcPr>
            <w:tcW w:w="327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37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(978) 842-3000</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ind w:left="0" w:right="0" w:hanging="0"/>
        <w:jc w:val="center"/>
        <w:rPr/>
      </w:pPr>
      <w:r>
        <w:rPr/>
        <w:t> </w:t>
      </w:r>
    </w:p>
    <w:p>
      <w:pPr>
        <w:pStyle w:val="TextBody"/>
        <w:bidi w:val="0"/>
        <w:spacing w:before="0" w:after="0"/>
        <w:ind w:left="144" w:right="144"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144" w:right="144" w:hanging="0"/>
        <w:jc w:val="center"/>
        <w:rPr/>
      </w:pPr>
      <w:r>
        <w:rPr/>
        <w:t> </w:t>
      </w:r>
    </w:p>
    <w:tbl>
      <w:tblPr>
        <w:tblW w:w="7185" w:type="dxa"/>
        <w:jc w:val="left"/>
        <w:tblInd w:w="0" w:type="dxa"/>
        <w:tblLayout w:type="fixed"/>
        <w:tblCellMar>
          <w:top w:w="0" w:type="dxa"/>
          <w:left w:w="0" w:type="dxa"/>
          <w:bottom w:w="28" w:type="dxa"/>
          <w:right w:w="0" w:type="dxa"/>
        </w:tblCellMar>
      </w:tblPr>
      <w:tblGrid>
        <w:gridCol w:w="2060"/>
        <w:gridCol w:w="1535"/>
        <w:gridCol w:w="3590"/>
      </w:tblGrid>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0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br/>
              <w:t>$0.01 par value per share</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AMSC</w:t>
            </w:r>
          </w:p>
        </w:tc>
        <w:tc>
          <w:tcPr>
            <w:tcW w:w="35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05" w:type="dxa"/>
        <w:jc w:val="left"/>
        <w:tblInd w:w="0" w:type="dxa"/>
        <w:tblLayout w:type="fixed"/>
        <w:tblCellMar>
          <w:top w:w="45" w:type="dxa"/>
          <w:left w:w="45" w:type="dxa"/>
          <w:bottom w:w="45" w:type="dxa"/>
          <w:right w:w="45" w:type="dxa"/>
        </w:tblCellMar>
      </w:tblPr>
      <w:tblGrid>
        <w:gridCol w:w="2150"/>
        <w:gridCol w:w="2555"/>
      </w:tblGrid>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r>
      <w:tr>
        <w:trPr/>
        <w:tc>
          <w:tcPr>
            <w:tcW w:w="2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r>
      <w:tr>
        <w:trPr/>
        <w:tc>
          <w:tcPr>
            <w:tcW w:w="2150" w:type="dxa"/>
            <w:tcBorders/>
            <w:vAlign w:val="center"/>
          </w:tcPr>
          <w:p>
            <w:pPr>
              <w:pStyle w:val="TableContents"/>
              <w:bidi w:val="0"/>
              <w:spacing w:before="0" w:after="0"/>
              <w:ind w:left="0" w:right="0" w:hanging="0"/>
              <w:jc w:val="left"/>
              <w:rPr/>
            </w:pPr>
            <w:r>
              <w:rPr/>
              <w:t> </w:t>
            </w:r>
          </w:p>
        </w:tc>
        <w:tc>
          <w:tcPr>
            <w:tcW w:w="2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center"/>
        <w:rPr>
          <w:rFonts w:ascii="Times New Roman;Times;serif" w:hAnsi="Times New Roman;Times;serif"/>
          <w:sz w:val="20"/>
          <w:shd w:fill="FFFFFF" w:val="clear"/>
        </w:rPr>
      </w:pPr>
      <w:r>
        <w:rPr>
          <w:rFonts w:ascii="Times New Roman;Times;serif" w:hAnsi="Times New Roman;Times;serif"/>
          <w:sz w:val="20"/>
          <w:shd w:fill="FFFFFF" w:val="clear"/>
        </w:rPr>
        <w:t>Shares outstanding of the Registrant’s common stock:</w:t>
      </w:r>
    </w:p>
    <w:p>
      <w:pPr>
        <w:pStyle w:val="TextBody"/>
        <w:bidi w:val="0"/>
        <w:spacing w:before="0" w:after="0"/>
        <w:ind w:left="0" w:right="0" w:hanging="0"/>
        <w:jc w:val="center"/>
        <w:rPr/>
      </w:pPr>
      <w:r>
        <w:rPr/>
        <w:t> </w:t>
      </w:r>
    </w:p>
    <w:tbl>
      <w:tblPr>
        <w:tblW w:w="6670" w:type="dxa"/>
        <w:jc w:val="left"/>
        <w:tblInd w:w="0" w:type="dxa"/>
        <w:tblLayout w:type="fixed"/>
        <w:tblCellMar>
          <w:top w:w="0" w:type="dxa"/>
          <w:left w:w="0" w:type="dxa"/>
          <w:bottom w:w="28" w:type="dxa"/>
          <w:right w:w="0" w:type="dxa"/>
        </w:tblCellMar>
      </w:tblPr>
      <w:tblGrid>
        <w:gridCol w:w="3575"/>
        <w:gridCol w:w="60"/>
        <w:gridCol w:w="303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shd w:fill="FFFFFF" w:val="clear"/>
              </w:rPr>
            </w:pPr>
            <w:r>
              <w:rPr>
                <w:rFonts w:ascii="Times New Roman;Times;serif" w:hAnsi="Times New Roman;Times;serif"/>
                <w:b/>
                <w:sz w:val="20"/>
                <w:shd w:fill="FFFFFF" w:val="clear"/>
              </w:rPr>
              <w:t>Common Stock, par value $0.01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35" w:type="dxa"/>
            <w:tcBorders>
              <w:bottom w:val="single" w:sz="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47,612,285</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0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 as of January 30, 2026</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283"/>
        <w:jc w:val="left"/>
        <w:rPr/>
      </w:pPr>
      <w:r>
        <w:rPr/>
        <w:t> </w:t>
      </w:r>
    </w:p>
    <w:tbl>
      <w:tblPr>
        <w:tblW w:w="8880" w:type="dxa"/>
        <w:jc w:val="left"/>
        <w:tblInd w:w="0" w:type="dxa"/>
        <w:tblLayout w:type="fixed"/>
        <w:tblCellMar>
          <w:top w:w="0" w:type="dxa"/>
          <w:left w:w="0" w:type="dxa"/>
          <w:bottom w:w="0" w:type="dxa"/>
          <w:right w:w="0" w:type="dxa"/>
        </w:tblCellMar>
      </w:tblPr>
      <w:tblGrid>
        <w:gridCol w:w="815"/>
        <w:gridCol w:w="7280"/>
        <w:gridCol w:w="785"/>
      </w:tblGrid>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8095" w:type="dxa"/>
            <w:gridSpan w:val="2"/>
            <w:tcBorders/>
            <w:vAlign w:val="center"/>
          </w:tcPr>
          <w:p>
            <w:pPr>
              <w:pStyle w:val="TableContents"/>
              <w:bidi w:val="0"/>
              <w:spacing w:before="0" w:after="0"/>
              <w:ind w:left="0" w:right="0" w:hanging="0"/>
              <w:jc w:val="left"/>
              <w:rPr/>
            </w:pPr>
            <w:hyperlink w:anchor="partone">
              <w:r>
                <w:rPr>
                  <w:rStyle w:val="InternetLink"/>
                  <w:rFonts w:ascii="Times New Roman;Times;serif" w:hAnsi="Times New Roman;Times;serif"/>
                  <w:sz w:val="20"/>
                </w:rPr>
                <w:t>PART I—FINANCIAL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finstate">
              <w:r>
                <w:rPr>
                  <w:rStyle w:val="InternetLink"/>
                  <w:rFonts w:ascii="Times New Roman;Times;serif" w:hAnsi="Times New Roman;Times;serif"/>
                  <w:sz w:val="20"/>
                </w:rPr>
                <w:t>Financial Statements</w:t>
              </w:r>
            </w:hyperlink>
          </w:p>
        </w:tc>
        <w:tc>
          <w:tcPr>
            <w:tcW w:w="785" w:type="dxa"/>
            <w:tcBorders/>
            <w:vAlign w:val="center"/>
          </w:tcPr>
          <w:p>
            <w:pPr>
              <w:pStyle w:val="TableContents"/>
              <w:bidi w:val="0"/>
              <w:spacing w:before="0" w:after="0"/>
              <w:ind w:left="0" w:right="0" w:hanging="0"/>
              <w:jc w:val="right"/>
              <w:rPr/>
            </w:pPr>
            <w:hyperlink w:anchor="finstate">
              <w:r>
                <w:rPr>
                  <w:rStyle w:val="InternetLink"/>
                  <w:rFonts w:ascii="Times New Roman;Times;serif" w:hAnsi="Times New Roman;Times;serif"/>
                  <w:sz w:val="20"/>
                </w:rPr>
                <w:t>3</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mdna">
              <w:r>
                <w:rPr>
                  <w:rStyle w:val="InternetLink"/>
                  <w:rFonts w:ascii="Times New Roman;Times;serif" w:hAnsi="Times New Roman;Times;serif"/>
                  <w:sz w:val="20"/>
                </w:rPr>
                <w:t>Management’s Discussion and Analysis of Financial Condition and Results of Operations</w:t>
              </w:r>
            </w:hyperlink>
          </w:p>
        </w:tc>
        <w:tc>
          <w:tcPr>
            <w:tcW w:w="785" w:type="dxa"/>
            <w:tcBorders/>
            <w:vAlign w:val="center"/>
          </w:tcPr>
          <w:p>
            <w:pPr>
              <w:pStyle w:val="TableContents"/>
              <w:bidi w:val="0"/>
              <w:spacing w:before="0" w:after="0"/>
              <w:ind w:left="0" w:right="0" w:hanging="0"/>
              <w:jc w:val="right"/>
              <w:rPr/>
            </w:pPr>
            <w:hyperlink w:anchor="mdna">
              <w:r>
                <w:rPr>
                  <w:rStyle w:val="InternetLink"/>
                  <w:rFonts w:ascii="Times New Roman;Times;serif" w:hAnsi="Times New Roman;Times;serif"/>
                  <w:sz w:val="20"/>
                </w:rPr>
                <w:t>28</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785"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785"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36</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095" w:type="dxa"/>
            <w:gridSpan w:val="2"/>
            <w:tcBorders/>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sz w:val="20"/>
                </w:rPr>
                <w:t>PART II—OTHER INFORMATION</w:t>
              </w:r>
            </w:hyperlink>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7280" w:type="dxa"/>
            <w:tcBorders/>
            <w:vAlign w:val="center"/>
          </w:tcPr>
          <w:p>
            <w:pPr>
              <w:pStyle w:val="TableContents"/>
              <w:bidi w:val="0"/>
              <w:spacing w:before="0" w:after="0"/>
              <w:ind w:left="0" w:right="0" w:hanging="0"/>
              <w:jc w:val="left"/>
              <w:rPr/>
            </w:pPr>
            <w:hyperlink w:anchor="itemone">
              <w:r>
                <w:rPr>
                  <w:rStyle w:val="InternetLink"/>
                  <w:rFonts w:ascii="Times New Roman;Times;serif" w:hAnsi="Times New Roman;Times;serif"/>
                  <w:sz w:val="20"/>
                </w:rPr>
                <w:t>Legal Proceedings</w:t>
              </w:r>
            </w:hyperlink>
          </w:p>
        </w:tc>
        <w:tc>
          <w:tcPr>
            <w:tcW w:w="785" w:type="dxa"/>
            <w:tcBorders/>
            <w:vAlign w:val="center"/>
          </w:tcPr>
          <w:p>
            <w:pPr>
              <w:pStyle w:val="TableContents"/>
              <w:bidi w:val="0"/>
              <w:spacing w:before="0" w:after="0"/>
              <w:ind w:left="0" w:right="0" w:hanging="0"/>
              <w:jc w:val="right"/>
              <w:rPr/>
            </w:pPr>
            <w:hyperlink w:anchor="itemone">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7280"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785" w:type="dxa"/>
            <w:tcBorders/>
            <w:vAlign w:val="center"/>
          </w:tcPr>
          <w:p>
            <w:pPr>
              <w:pStyle w:val="TableContents"/>
              <w:bidi w:val="0"/>
              <w:spacing w:before="0" w:after="0"/>
              <w:ind w:left="0" w:right="0" w:hanging="0"/>
              <w:jc w:val="right"/>
              <w:rPr/>
            </w:pPr>
            <w:hyperlink w:anchor="item1a">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7280" w:type="dxa"/>
            <w:tcBorders/>
            <w:vAlign w:val="center"/>
          </w:tcPr>
          <w:p>
            <w:pPr>
              <w:pStyle w:val="TableContents"/>
              <w:bidi w:val="0"/>
              <w:spacing w:before="0" w:after="0"/>
              <w:ind w:left="0" w:right="0" w:hanging="0"/>
              <w:jc w:val="left"/>
              <w:rPr/>
            </w:pPr>
            <w:hyperlink w:anchor="unregsales">
              <w:r>
                <w:rPr>
                  <w:rStyle w:val="InternetLink"/>
                  <w:rFonts w:ascii="Times New Roman;Times;serif" w:hAnsi="Times New Roman;Times;serif"/>
                  <w:sz w:val="20"/>
                  <w:shd w:fill="FFFFFF" w:val="clear"/>
                </w:rPr>
                <w:t>Unregistered Sales of Equity Securities and Use of Proceeds</w:t>
              </w:r>
            </w:hyperlink>
          </w:p>
        </w:tc>
        <w:tc>
          <w:tcPr>
            <w:tcW w:w="785" w:type="dxa"/>
            <w:tcBorders/>
            <w:vAlign w:val="center"/>
          </w:tcPr>
          <w:p>
            <w:pPr>
              <w:pStyle w:val="TableContents"/>
              <w:bidi w:val="0"/>
              <w:spacing w:before="0" w:after="0"/>
              <w:ind w:left="0" w:right="0" w:hanging="0"/>
              <w:jc w:val="right"/>
              <w:rPr/>
            </w:pPr>
            <w:hyperlink w:anchor="unregsales">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7280" w:type="dxa"/>
            <w:tcBorders/>
            <w:vAlign w:val="center"/>
          </w:tcPr>
          <w:p>
            <w:pPr>
              <w:pStyle w:val="TableContents"/>
              <w:bidi w:val="0"/>
              <w:spacing w:before="0" w:after="0"/>
              <w:ind w:left="0" w:right="0" w:hanging="0"/>
              <w:jc w:val="left"/>
              <w:rPr/>
            </w:pPr>
            <w:hyperlink w:anchor="itemthree">
              <w:r>
                <w:rPr>
                  <w:rStyle w:val="InternetLink"/>
                  <w:rFonts w:ascii="Times New Roman;Times;serif" w:hAnsi="Times New Roman;Times;serif"/>
                  <w:sz w:val="20"/>
                </w:rPr>
                <w:t>Defaults Upon Senior Securities</w:t>
              </w:r>
            </w:hyperlink>
          </w:p>
        </w:tc>
        <w:tc>
          <w:tcPr>
            <w:tcW w:w="785" w:type="dxa"/>
            <w:tcBorders/>
            <w:vAlign w:val="center"/>
          </w:tcPr>
          <w:p>
            <w:pPr>
              <w:pStyle w:val="TableContents"/>
              <w:bidi w:val="0"/>
              <w:spacing w:before="0" w:after="0"/>
              <w:ind w:left="0" w:right="0" w:hanging="0"/>
              <w:jc w:val="right"/>
              <w:rPr/>
            </w:pPr>
            <w:hyperlink w:anchor="itemthree">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7280" w:type="dxa"/>
            <w:tcBorders/>
            <w:vAlign w:val="center"/>
          </w:tcPr>
          <w:p>
            <w:pPr>
              <w:pStyle w:val="TableContents"/>
              <w:bidi w:val="0"/>
              <w:spacing w:before="0" w:after="0"/>
              <w:ind w:left="0" w:right="0" w:hanging="0"/>
              <w:jc w:val="left"/>
              <w:rPr/>
            </w:pPr>
            <w:hyperlink w:anchor="itemfour">
              <w:r>
                <w:rPr>
                  <w:rStyle w:val="InternetLink"/>
                  <w:rFonts w:ascii="Times New Roman;Times;serif" w:hAnsi="Times New Roman;Times;serif"/>
                  <w:sz w:val="20"/>
                </w:rPr>
                <w:t>Mine Safety Disclosure</w:t>
              </w:r>
            </w:hyperlink>
          </w:p>
        </w:tc>
        <w:tc>
          <w:tcPr>
            <w:tcW w:w="785" w:type="dxa"/>
            <w:tcBorders/>
            <w:vAlign w:val="center"/>
          </w:tcPr>
          <w:p>
            <w:pPr>
              <w:pStyle w:val="TableContents"/>
              <w:bidi w:val="0"/>
              <w:spacing w:before="0" w:after="0"/>
              <w:ind w:left="0" w:right="0" w:hanging="0"/>
              <w:jc w:val="right"/>
              <w:rPr/>
            </w:pPr>
            <w:hyperlink w:anchor="itemfour">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728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Other Information</w:t>
              </w:r>
            </w:hyperlink>
          </w:p>
        </w:tc>
        <w:tc>
          <w:tcPr>
            <w:tcW w:w="785" w:type="dxa"/>
            <w:tcBorders/>
            <w:vAlign w:val="center"/>
          </w:tcPr>
          <w:p>
            <w:pPr>
              <w:pStyle w:val="TableContents"/>
              <w:bidi w:val="0"/>
              <w:spacing w:before="0" w:after="0"/>
              <w:ind w:left="0" w:right="0" w:hanging="0"/>
              <w:jc w:val="right"/>
              <w:rPr/>
            </w:pPr>
            <w:hyperlink w:anchor="item5">
              <w:r>
                <w:rPr>
                  <w:rStyle w:val="InternetLink"/>
                  <w:rFonts w:ascii="Times New Roman;Times;serif" w:hAnsi="Times New Roman;Times;serif"/>
                  <w:sz w:val="20"/>
                </w:rPr>
                <w:t>37</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7280" w:type="dxa"/>
            <w:tcBorders/>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Exhibits</w:t>
              </w:r>
            </w:hyperlink>
          </w:p>
        </w:tc>
        <w:tc>
          <w:tcPr>
            <w:tcW w:w="785" w:type="dxa"/>
            <w:tcBorders/>
            <w:vAlign w:val="center"/>
          </w:tcPr>
          <w:p>
            <w:pPr>
              <w:pStyle w:val="TableContents"/>
              <w:bidi w:val="0"/>
              <w:spacing w:before="0" w:after="0"/>
              <w:ind w:left="0" w:right="0" w:hanging="0"/>
              <w:jc w:val="right"/>
              <w:rPr/>
            </w:pPr>
            <w:hyperlink w:anchor="item6">
              <w:r>
                <w:rPr>
                  <w:rStyle w:val="InternetLink"/>
                  <w:rFonts w:ascii="Times New Roman;Times;serif" w:hAnsi="Times New Roman;Times;serif"/>
                  <w:sz w:val="20"/>
                </w:rPr>
                <w:t>38</w:t>
              </w:r>
            </w:hyperlink>
          </w:p>
        </w:tc>
      </w:tr>
      <w:tr>
        <w:trPr/>
        <w:tc>
          <w:tcPr>
            <w:tcW w:w="815" w:type="dxa"/>
            <w:tcBorders/>
            <w:vAlign w:val="center"/>
          </w:tcPr>
          <w:p>
            <w:pPr>
              <w:pStyle w:val="TableContents"/>
              <w:bidi w:val="0"/>
              <w:spacing w:before="0" w:after="0"/>
              <w:ind w:left="0" w:right="0" w:hanging="0"/>
              <w:jc w:val="left"/>
              <w:rPr/>
            </w:pPr>
            <w:r>
              <w:rPr/>
              <w:t> </w:t>
            </w:r>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left"/>
              <w:rPr/>
            </w:pPr>
            <w:r>
              <w:rPr/>
              <w:t> </w:t>
            </w:r>
          </w:p>
        </w:tc>
      </w:tr>
      <w:tr>
        <w:trPr/>
        <w:tc>
          <w:tcPr>
            <w:tcW w:w="815" w:type="dxa"/>
            <w:tcBorders/>
            <w:vAlign w:val="center"/>
          </w:tcPr>
          <w:p>
            <w:pPr>
              <w:pStyle w:val="TableContents"/>
              <w:bidi w:val="0"/>
              <w:spacing w:before="0" w:after="0"/>
              <w:ind w:left="0" w:right="0" w:hanging="0"/>
              <w:jc w:val="left"/>
              <w:rPr/>
            </w:pPr>
            <w:hyperlink w:anchor="signature">
              <w:r>
                <w:rPr>
                  <w:rStyle w:val="InternetLink"/>
                  <w:rFonts w:ascii="Times New Roman;Times;serif" w:hAnsi="Times New Roman;Times;serif"/>
                  <w:sz w:val="20"/>
                </w:rPr>
                <w:t>Signature</w:t>
              </w:r>
            </w:hyperlink>
          </w:p>
        </w:tc>
        <w:tc>
          <w:tcPr>
            <w:tcW w:w="7280"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hyperlink w:anchor="signature">
              <w:r>
                <w:rPr>
                  <w:rStyle w:val="InternetLink"/>
                  <w:rFonts w:ascii="Times New Roman;Times;serif" w:hAnsi="Times New Roman;Times;serif"/>
                  <w:sz w:val="20"/>
                </w:rPr>
                <w:t>39</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lineRule="auto" w:line="480" w:before="0" w:after="0"/>
        <w:ind w:left="0" w:right="0" w:hanging="0"/>
        <w:jc w:val="center"/>
        <w:rPr>
          <w:rFonts w:ascii="Times New Roman" w:hAnsi="Times New Roman"/>
          <w:b/>
          <w:sz w:val="20"/>
        </w:rPr>
      </w:pPr>
      <w:r>
        <w:rPr>
          <w:rFonts w:ascii="Times New Roman" w:hAnsi="Times New Roman"/>
          <w:b/>
          <w:sz w:val="20"/>
        </w:rPr>
        <w:t>AMERICAN SUPERCONDUCTOR CORPORATION</w:t>
      </w:r>
    </w:p>
    <w:p>
      <w:pPr>
        <w:pStyle w:val="TextBody"/>
        <w:bidi w:val="0"/>
        <w:spacing w:lineRule="auto" w:line="480" w:before="0" w:after="0"/>
        <w:ind w:left="0" w:right="0" w:hanging="0"/>
        <w:jc w:val="center"/>
        <w:rPr>
          <w:rFonts w:ascii="Times New Roman;Times;serif" w:hAnsi="Times New Roman;Times;serif"/>
          <w:b/>
          <w:sz w:val="20"/>
        </w:rPr>
      </w:pPr>
      <w:bookmarkStart w:id="3" w:name="partone"/>
      <w:bookmarkEnd w:id="3"/>
      <w:r>
        <w:rPr>
          <w:rFonts w:ascii="Times New Roman;Times;serif" w:hAnsi="Times New Roman;Times;serif"/>
          <w:b/>
          <w:sz w:val="20"/>
        </w:rPr>
        <w:t>PART I — FINANCIAL INFORMATION</w:t>
      </w:r>
    </w:p>
    <w:p>
      <w:pPr>
        <w:pStyle w:val="TextBody"/>
        <w:bidi w:val="0"/>
        <w:spacing w:lineRule="auto" w:line="480" w:before="0" w:after="0"/>
        <w:ind w:left="0" w:right="0" w:hanging="0"/>
        <w:jc w:val="center"/>
        <w:rPr>
          <w:rFonts w:ascii="Times New Roman;Times;serif" w:hAnsi="Times New Roman;Times;serif"/>
          <w:b/>
          <w:sz w:val="20"/>
        </w:rPr>
      </w:pPr>
      <w:bookmarkStart w:id="4" w:name="finstate"/>
      <w:bookmarkEnd w:id="4"/>
      <w:r>
        <w:rPr>
          <w:rFonts w:ascii="Times New Roman;Times;serif" w:hAnsi="Times New Roman;Times;serif"/>
          <w:b/>
          <w:sz w:val="20"/>
        </w:rPr>
        <w:t>ITEM 1.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lineRule="auto" w:line="48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bl>
      <w:tblPr>
        <w:tblW w:w="10205" w:type="dxa"/>
        <w:jc w:val="left"/>
        <w:tblInd w:w="0" w:type="dxa"/>
        <w:tblLayout w:type="fixed"/>
        <w:tblCellMar>
          <w:top w:w="0" w:type="dxa"/>
          <w:left w:w="0" w:type="dxa"/>
          <w:bottom w:w="0" w:type="dxa"/>
          <w:right w:w="0" w:type="dxa"/>
        </w:tblCellMar>
      </w:tblPr>
      <w:tblGrid>
        <w:gridCol w:w="7758"/>
        <w:gridCol w:w="60"/>
        <w:gridCol w:w="143"/>
        <w:gridCol w:w="966"/>
        <w:gridCol w:w="80"/>
        <w:gridCol w:w="60"/>
        <w:gridCol w:w="125"/>
        <w:gridCol w:w="916"/>
        <w:gridCol w:w="97"/>
      </w:tblGrid>
      <w:tr>
        <w:trPr/>
        <w:tc>
          <w:tcPr>
            <w:tcW w:w="7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18"/>
              </w:rPr>
              <w:t>March 31, 2025</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center"/>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18"/>
              </w:rPr>
            </w:pPr>
            <w:r>
              <w:rPr>
                <w:sz w:val="18"/>
              </w:rPr>
              <w:t>$</w:t>
            </w:r>
          </w:p>
        </w:tc>
        <w:tc>
          <w:tcPr>
            <w:tcW w:w="966" w:type="dxa"/>
            <w:tcBorders/>
            <w:shd w:fill="CCEEFF" w:val="clear"/>
            <w:vAlign w:val="center"/>
          </w:tcPr>
          <w:p>
            <w:pPr>
              <w:pStyle w:val="TableContents"/>
              <w:bidi w:val="0"/>
              <w:spacing w:before="0" w:after="283"/>
              <w:jc w:val="right"/>
              <w:rPr>
                <w:sz w:val="18"/>
              </w:rPr>
            </w:pPr>
            <w:r>
              <w:rPr>
                <w:sz w:val="18"/>
              </w:rPr>
              <w:t>141,072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18"/>
              </w:rPr>
            </w:pPr>
            <w:r>
              <w:rPr>
                <w:sz w:val="18"/>
              </w:rPr>
              <w:t>$</w:t>
            </w:r>
          </w:p>
        </w:tc>
        <w:tc>
          <w:tcPr>
            <w:tcW w:w="916" w:type="dxa"/>
            <w:tcBorders/>
            <w:shd w:fill="CCEEFF" w:val="clear"/>
            <w:vAlign w:val="center"/>
          </w:tcPr>
          <w:p>
            <w:pPr>
              <w:pStyle w:val="TableContents"/>
              <w:bidi w:val="0"/>
              <w:spacing w:before="0" w:after="283"/>
              <w:jc w:val="right"/>
              <w:rPr>
                <w:sz w:val="18"/>
              </w:rPr>
            </w:pPr>
            <w:r>
              <w:rPr>
                <w:sz w:val="18"/>
              </w:rPr>
              <w:t>79,494</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62,581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46,186</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Inventory,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18"/>
              </w:rPr>
            </w:pPr>
            <w:r>
              <w:rPr>
                <w:sz w:val="18"/>
              </w:rPr>
              <w:t>105,408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71,169</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13,181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8,055</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77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2,751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1,613</w:t>
            </w:r>
          </w:p>
        </w:tc>
        <w:tc>
          <w:tcPr>
            <w:tcW w:w="97" w:type="dxa"/>
            <w:tcBorders/>
            <w:shd w:fill="CCEEFF" w:val="clear"/>
            <w:vAlign w:val="center"/>
          </w:tcPr>
          <w:p>
            <w:pPr>
              <w:pStyle w:val="TableContents"/>
              <w:bidi w:val="0"/>
              <w:spacing w:before="0" w:after="0"/>
              <w:jc w:val="left"/>
              <w:rPr/>
            </w:pPr>
            <w:r>
              <w:rPr/>
              <w:t> </w:t>
            </w:r>
          </w:p>
        </w:tc>
      </w:tr>
      <w:tr>
        <w:trPr/>
        <w:tc>
          <w:tcPr>
            <w:tcW w:w="7758"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sz w:val="18"/>
              </w:rPr>
            </w:pPr>
            <w:r>
              <w:rPr>
                <w:sz w:val="18"/>
              </w:rPr>
              <w:t>324,993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16" w:type="dxa"/>
            <w:tcBorders/>
            <w:shd w:fill="FFFFFF" w:val="clear"/>
            <w:vAlign w:val="center"/>
          </w:tcPr>
          <w:p>
            <w:pPr>
              <w:pStyle w:val="TableContents"/>
              <w:bidi w:val="0"/>
              <w:spacing w:before="0" w:after="283"/>
              <w:ind w:left="0" w:right="0" w:hanging="0"/>
              <w:jc w:val="right"/>
              <w:rPr>
                <w:sz w:val="18"/>
              </w:rPr>
            </w:pPr>
            <w:r>
              <w:rPr>
                <w:sz w:val="18"/>
              </w:rPr>
              <w:t>206,517</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87,451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38,572</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Intangibles,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18"/>
              </w:rPr>
            </w:pPr>
            <w:r>
              <w:rPr>
                <w:sz w:val="18"/>
              </w:rPr>
              <w:t>13,852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5,916</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Right-of-use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3,655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3,829</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Goodwill</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18"/>
              </w:rPr>
            </w:pPr>
            <w:r>
              <w:rPr>
                <w:sz w:val="18"/>
              </w:rPr>
              <w:t>166,373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48,164</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Restricted cash</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3,288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4,274</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Deferred tax assets, long-term portion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18"/>
              </w:rPr>
            </w:pPr>
            <w:r>
              <w:rPr>
                <w:sz w:val="18"/>
              </w:rPr>
              <w:t>117,342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1,178</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Equity-method investments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1,561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1,113</w:t>
            </w:r>
          </w:p>
        </w:tc>
        <w:tc>
          <w:tcPr>
            <w:tcW w:w="97" w:type="dxa"/>
            <w:tcBorders/>
            <w:shd w:fill="FFFFFF" w:val="clear"/>
            <w:vAlign w:val="center"/>
          </w:tcPr>
          <w:p>
            <w:pPr>
              <w:pStyle w:val="TableContents"/>
              <w:bidi w:val="0"/>
              <w:spacing w:before="0" w:after="283"/>
              <w:ind w:left="0" w:right="0" w:hanging="0"/>
              <w:jc w:val="left"/>
              <w:rPr/>
            </w:pPr>
            <w:r>
              <w:rPr/>
              <w:t> </w:t>
            </w:r>
          </w:p>
        </w:tc>
      </w:tr>
      <w:tr>
        <w:trPr/>
        <w:tc>
          <w:tcPr>
            <w:tcW w:w="775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1,019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18"/>
              </w:rPr>
            </w:pPr>
            <w:r>
              <w:rPr>
                <w:sz w:val="18"/>
              </w:rPr>
              <w:t>958</w:t>
            </w:r>
          </w:p>
        </w:tc>
        <w:tc>
          <w:tcPr>
            <w:tcW w:w="97" w:type="dxa"/>
            <w:tcBorders/>
            <w:shd w:fill="CCEEFF" w:val="clear"/>
            <w:vAlign w:val="center"/>
          </w:tcPr>
          <w:p>
            <w:pPr>
              <w:pStyle w:val="TableContents"/>
              <w:bidi w:val="0"/>
              <w:spacing w:before="0" w:after="0"/>
              <w:jc w:val="left"/>
              <w:rPr/>
            </w:pPr>
            <w:r>
              <w:rPr/>
              <w:t> </w:t>
            </w:r>
          </w:p>
        </w:tc>
      </w:tr>
      <w:tr>
        <w:trPr/>
        <w:tc>
          <w:tcPr>
            <w:tcW w:w="7758"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719,534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310,521</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Current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sz w:val="18"/>
              </w:rPr>
            </w:pPr>
            <w:r>
              <w:rPr>
                <w:sz w:val="18"/>
              </w:rPr>
              <w:t>$</w:t>
            </w:r>
          </w:p>
        </w:tc>
        <w:tc>
          <w:tcPr>
            <w:tcW w:w="966" w:type="dxa"/>
            <w:tcBorders/>
            <w:shd w:fill="CCEEFF" w:val="clear"/>
            <w:vAlign w:val="center"/>
          </w:tcPr>
          <w:p>
            <w:pPr>
              <w:pStyle w:val="TableContents"/>
              <w:bidi w:val="0"/>
              <w:spacing w:before="0" w:after="283"/>
              <w:jc w:val="right"/>
              <w:rPr>
                <w:sz w:val="18"/>
              </w:rPr>
            </w:pPr>
            <w:r>
              <w:rPr>
                <w:sz w:val="18"/>
              </w:rPr>
              <w:t>46,602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18"/>
              </w:rPr>
            </w:pPr>
            <w:r>
              <w:rPr>
                <w:sz w:val="18"/>
              </w:rPr>
              <w:t>$</w:t>
            </w:r>
          </w:p>
        </w:tc>
        <w:tc>
          <w:tcPr>
            <w:tcW w:w="916" w:type="dxa"/>
            <w:tcBorders/>
            <w:shd w:fill="CCEEFF" w:val="clear"/>
            <w:vAlign w:val="center"/>
          </w:tcPr>
          <w:p>
            <w:pPr>
              <w:pStyle w:val="TableContents"/>
              <w:bidi w:val="0"/>
              <w:spacing w:before="0" w:after="283"/>
              <w:jc w:val="right"/>
              <w:rPr>
                <w:sz w:val="18"/>
              </w:rPr>
            </w:pPr>
            <w:r>
              <w:rPr>
                <w:sz w:val="18"/>
              </w:rPr>
              <w:t>32,282</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Lease liability, current portion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1,078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685</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Debt, current portion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18"/>
              </w:rPr>
            </w:pPr>
            <w:r>
              <w:rPr>
                <w:sz w:val="18"/>
              </w:rPr>
              <w:t>1,621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7758"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current portion</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72,659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66,797</w:t>
            </w:r>
          </w:p>
        </w:tc>
        <w:tc>
          <w:tcPr>
            <w:tcW w:w="97" w:type="dxa"/>
            <w:tcBorders/>
            <w:shd w:fill="FFFFFF" w:val="clear"/>
            <w:vAlign w:val="center"/>
          </w:tcPr>
          <w:p>
            <w:pPr>
              <w:pStyle w:val="TableContents"/>
              <w:bidi w:val="0"/>
              <w:spacing w:before="0" w:after="0"/>
              <w:jc w:val="left"/>
              <w:rPr/>
            </w:pPr>
            <w:r>
              <w:rPr/>
              <w:t> </w:t>
            </w:r>
          </w:p>
        </w:tc>
      </w:tr>
      <w:tr>
        <w:trPr/>
        <w:tc>
          <w:tcPr>
            <w:tcW w:w="7758"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sz w:val="18"/>
              </w:rPr>
            </w:pPr>
            <w:r>
              <w:rPr>
                <w:sz w:val="18"/>
              </w:rPr>
              <w:t>121,960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16" w:type="dxa"/>
            <w:tcBorders/>
            <w:shd w:fill="CCEEFF" w:val="clear"/>
            <w:vAlign w:val="center"/>
          </w:tcPr>
          <w:p>
            <w:pPr>
              <w:pStyle w:val="TableContents"/>
              <w:bidi w:val="0"/>
              <w:spacing w:before="0" w:after="283"/>
              <w:ind w:left="0" w:right="0" w:hanging="0"/>
              <w:jc w:val="right"/>
              <w:rPr>
                <w:sz w:val="18"/>
              </w:rPr>
            </w:pPr>
            <w:r>
              <w:rPr>
                <w:sz w:val="18"/>
              </w:rPr>
              <w:t>99,764</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Deferred revenue, long-term portion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18"/>
              </w:rPr>
            </w:pPr>
            <w:r>
              <w:rPr>
                <w:sz w:val="18"/>
              </w:rPr>
              <w:t>16,704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9,336</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Lease liability, long-term portion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2,560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2,684</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Deferred tax liabilities, long-term portion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1,595</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Debt, long-term portion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6,124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Contingent consideration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18"/>
              </w:rPr>
            </w:pPr>
            <w:r>
              <w:rPr>
                <w:sz w:val="18"/>
              </w:rPr>
              <w:t>34,737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7758"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613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28</w:t>
            </w:r>
          </w:p>
        </w:tc>
        <w:tc>
          <w:tcPr>
            <w:tcW w:w="97" w:type="dxa"/>
            <w:tcBorders/>
            <w:shd w:fill="FFFFFF" w:val="clear"/>
            <w:vAlign w:val="center"/>
          </w:tcPr>
          <w:p>
            <w:pPr>
              <w:pStyle w:val="TableContents"/>
              <w:bidi w:val="0"/>
              <w:spacing w:before="0" w:after="0"/>
              <w:jc w:val="left"/>
              <w:rPr/>
            </w:pPr>
            <w:r>
              <w:rPr/>
              <w:t> </w:t>
            </w:r>
          </w:p>
        </w:tc>
      </w:tr>
      <w:tr>
        <w:trPr/>
        <w:tc>
          <w:tcPr>
            <w:tcW w:w="7758"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182,698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113,407</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Commitments and Contingencies (Note 17)</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Stockholders' equity: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Common stock, $0.01 par value, 75,000,000 shares authorized; 48,015,636 and 39,887,536 shares issued and 47,612,285 and 39,484,185 shares outstanding at December 31, 2025 and March 31, 2025, respectively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399</w:t>
            </w:r>
          </w:p>
        </w:tc>
        <w:tc>
          <w:tcPr>
            <w:tcW w:w="97" w:type="dxa"/>
            <w:tcBorders/>
            <w:shd w:fill="FFFFFF" w:val="clear"/>
            <w:vAlign w:val="center"/>
          </w:tcPr>
          <w:p>
            <w:pPr>
              <w:pStyle w:val="TableContents"/>
              <w:bidi w:val="0"/>
              <w:spacing w:before="0" w:after="283"/>
              <w:jc w:val="left"/>
              <w:rPr/>
            </w:pPr>
            <w:r>
              <w:rPr/>
              <w:t> </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18"/>
              </w:rPr>
            </w:pPr>
            <w:r>
              <w:rPr>
                <w:sz w:val="18"/>
              </w:rPr>
              <w:t>1,475,792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1,259,540</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Treasury stock, at cost, 403,351 at December 31, 2025 and March 31, 2025</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18"/>
              </w:rPr>
            </w:pPr>
            <w:r>
              <w:rPr>
                <w:sz w:val="18"/>
              </w:rPr>
              <w:t>(3,765</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sz w:val="18"/>
              </w:rPr>
            </w:pPr>
            <w:r>
              <w:rPr>
                <w:sz w:val="18"/>
              </w:rPr>
              <w:t>(3,765</w:t>
            </w:r>
          </w:p>
        </w:tc>
        <w:tc>
          <w:tcPr>
            <w:tcW w:w="97" w:type="dxa"/>
            <w:tcBorders/>
            <w:shd w:fill="FFFFFF" w:val="clear"/>
            <w:vAlign w:val="center"/>
          </w:tcPr>
          <w:p>
            <w:pPr>
              <w:pStyle w:val="TableContents"/>
              <w:bidi w:val="0"/>
              <w:spacing w:before="0" w:after="283"/>
              <w:jc w:val="left"/>
              <w:rPr>
                <w:sz w:val="18"/>
              </w:rPr>
            </w:pPr>
            <w:r>
              <w:rPr>
                <w:sz w:val="18"/>
              </w:rPr>
              <w:t>)</w:t>
            </w:r>
          </w:p>
        </w:tc>
      </w:tr>
      <w:tr>
        <w:trPr/>
        <w:tc>
          <w:tcPr>
            <w:tcW w:w="7758" w:type="dxa"/>
            <w:tcBorders/>
            <w:shd w:fill="CCEEFF" w:val="clear"/>
            <w:vAlign w:val="center"/>
          </w:tcPr>
          <w:p>
            <w:pPr>
              <w:pStyle w:val="TableContents"/>
              <w:bidi w:val="0"/>
              <w:spacing w:before="0" w:after="0"/>
              <w:ind w:left="36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18"/>
              </w:rPr>
            </w:pPr>
            <w:r>
              <w:rPr>
                <w:sz w:val="18"/>
              </w:rPr>
              <w:t>(4,326</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sz w:val="18"/>
              </w:rPr>
            </w:pPr>
            <w:r>
              <w:rPr>
                <w:sz w:val="18"/>
              </w:rPr>
              <w:t>1,565</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7758"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(931,345</w:t>
            </w:r>
          </w:p>
        </w:tc>
        <w:tc>
          <w:tcPr>
            <w:tcW w:w="80" w:type="dxa"/>
            <w:tcBorders/>
            <w:shd w:fill="FFFFFF" w:val="clear"/>
            <w:vAlign w:val="center"/>
          </w:tcPr>
          <w:p>
            <w:pPr>
              <w:pStyle w:val="TableContents"/>
              <w:bidi w:val="0"/>
              <w:spacing w:before="0" w:after="0"/>
              <w:ind w:left="0" w:right="0" w:hanging="0"/>
              <w:jc w:val="left"/>
              <w:rPr>
                <w:sz w:val="18"/>
              </w:rPr>
            </w:pPr>
            <w:r>
              <w:rPr>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sz w:val="18"/>
              </w:rPr>
            </w:pPr>
            <w:r>
              <w:rPr>
                <w:sz w:val="18"/>
              </w:rPr>
              <w:t>(1,060,625</w:t>
            </w:r>
          </w:p>
        </w:tc>
        <w:tc>
          <w:tcPr>
            <w:tcW w:w="97" w:type="dxa"/>
            <w:tcBorders/>
            <w:shd w:fill="FFFFFF" w:val="clear"/>
            <w:vAlign w:val="center"/>
          </w:tcPr>
          <w:p>
            <w:pPr>
              <w:pStyle w:val="TableContents"/>
              <w:bidi w:val="0"/>
              <w:spacing w:before="0" w:after="0"/>
              <w:jc w:val="left"/>
              <w:rPr>
                <w:sz w:val="18"/>
              </w:rPr>
            </w:pPr>
            <w:r>
              <w:rPr>
                <w:sz w:val="18"/>
              </w:rPr>
              <w:t>)</w:t>
            </w:r>
          </w:p>
        </w:tc>
      </w:tr>
      <w:tr>
        <w:trPr/>
        <w:tc>
          <w:tcPr>
            <w:tcW w:w="7758" w:type="dxa"/>
            <w:tcBorders/>
            <w:shd w:fill="CCEE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stockholders' equity</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536,836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sz w:val="18"/>
              </w:rPr>
            </w:pPr>
            <w:r>
              <w:rPr>
                <w:sz w:val="18"/>
              </w:rPr>
              <w:t>197,114</w:t>
            </w:r>
          </w:p>
        </w:tc>
        <w:tc>
          <w:tcPr>
            <w:tcW w:w="97" w:type="dxa"/>
            <w:tcBorders/>
            <w:shd w:fill="CCEEFF" w:val="clear"/>
            <w:vAlign w:val="center"/>
          </w:tcPr>
          <w:p>
            <w:pPr>
              <w:pStyle w:val="TableContents"/>
              <w:bidi w:val="0"/>
              <w:spacing w:before="0" w:after="283"/>
              <w:jc w:val="left"/>
              <w:rPr/>
            </w:pPr>
            <w:r>
              <w:rPr/>
              <w:t> </w:t>
            </w:r>
          </w:p>
        </w:tc>
      </w:tr>
      <w:tr>
        <w:trPr/>
        <w:tc>
          <w:tcPr>
            <w:tcW w:w="7758" w:type="dxa"/>
            <w:tcBorders/>
            <w:shd w:fill="FFFFFF" w:val="clear"/>
            <w:vAlign w:val="center"/>
          </w:tcPr>
          <w:p>
            <w:pPr>
              <w:pStyle w:val="TableContents"/>
              <w:bidi w:val="0"/>
              <w:spacing w:before="0" w:after="0"/>
              <w:ind w:left="0" w:right="0" w:firstLine="720"/>
              <w:jc w:val="left"/>
              <w:rPr>
                <w:rFonts w:ascii="Times New Roman;Times;serif" w:hAnsi="Times New Roman;Times;serif"/>
                <w:b w:val="false"/>
                <w:sz w:val="18"/>
              </w:rPr>
            </w:pPr>
            <w:r>
              <w:rPr>
                <w:rFonts w:ascii="Times New Roman;Times;serif" w:hAnsi="Times New Roman;Times;serif"/>
                <w:b w:val="false"/>
                <w:sz w:val="18"/>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719,534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18"/>
              </w:rPr>
            </w:pPr>
            <w:r>
              <w:rPr>
                <w:sz w:val="18"/>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18"/>
              </w:rPr>
            </w:pPr>
            <w:r>
              <w:rPr>
                <w:sz w:val="18"/>
              </w:rPr>
              <w:t>310,521</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pPr>
      <w:r>
        <w:rPr/>
        <w:t> </w:t>
      </w:r>
    </w:p>
    <w:tbl>
      <w:tblPr>
        <w:tblW w:w="9236" w:type="dxa"/>
        <w:jc w:val="left"/>
        <w:tblInd w:w="0" w:type="dxa"/>
        <w:tblLayout w:type="fixed"/>
        <w:tblCellMar>
          <w:top w:w="0" w:type="dxa"/>
          <w:left w:w="0" w:type="dxa"/>
          <w:bottom w:w="0" w:type="dxa"/>
          <w:right w:w="0" w:type="dxa"/>
        </w:tblCellMar>
      </w:tblPr>
      <w:tblGrid>
        <w:gridCol w:w="5360"/>
        <w:gridCol w:w="60"/>
        <w:gridCol w:w="126"/>
        <w:gridCol w:w="765"/>
        <w:gridCol w:w="81"/>
        <w:gridCol w:w="60"/>
        <w:gridCol w:w="126"/>
        <w:gridCol w:w="598"/>
        <w:gridCol w:w="80"/>
        <w:gridCol w:w="60"/>
        <w:gridCol w:w="125"/>
        <w:gridCol w:w="755"/>
        <w:gridCol w:w="80"/>
        <w:gridCol w:w="60"/>
        <w:gridCol w:w="125"/>
        <w:gridCol w:w="695"/>
        <w:gridCol w:w="80"/>
      </w:tblGrid>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74,529</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156,163</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51,677</w:t>
            </w:r>
          </w:p>
        </w:tc>
        <w:tc>
          <w:tcPr>
            <w:tcW w:w="8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45,077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144,970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112,000</w:t>
            </w:r>
          </w:p>
        </w:tc>
        <w:tc>
          <w:tcPr>
            <w:tcW w:w="80" w:type="dxa"/>
            <w:tcBorders/>
            <w:shd w:fill="CCEEFF" w:val="clear"/>
            <w:vAlign w:val="center"/>
          </w:tcPr>
          <w:p>
            <w:pPr>
              <w:pStyle w:val="TableContents"/>
              <w:bidi w:val="0"/>
              <w:spacing w:before="0" w:after="0"/>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22,852</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44,163</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3,543</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7,932</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15,440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30,990</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510</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1,289</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6,682</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19,493</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46,893</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3,359</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1,997</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2,901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(expense)/income, net</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8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 benefit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5,433</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(112,373</w:t>
            </w:r>
          </w:p>
        </w:tc>
        <w:tc>
          <w:tcPr>
            <w:tcW w:w="8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(112,058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(4,871</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117,806</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4,828</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of common stock</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2.68</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0.13</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2.62</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0.13</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76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shares of common stock outstanding</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7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43,957</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36,766</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44,939</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37,457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INCOME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7118" w:type="dxa"/>
        <w:jc w:val="left"/>
        <w:tblInd w:w="0" w:type="dxa"/>
        <w:tblLayout w:type="fixed"/>
        <w:tblCellMar>
          <w:top w:w="0" w:type="dxa"/>
          <w:left w:w="0" w:type="dxa"/>
          <w:bottom w:w="0" w:type="dxa"/>
          <w:right w:w="0" w:type="dxa"/>
        </w:tblCellMar>
      </w:tblPr>
      <w:tblGrid>
        <w:gridCol w:w="3455"/>
        <w:gridCol w:w="60"/>
        <w:gridCol w:w="141"/>
        <w:gridCol w:w="789"/>
        <w:gridCol w:w="68"/>
        <w:gridCol w:w="68"/>
        <w:gridCol w:w="141"/>
        <w:gridCol w:w="550"/>
        <w:gridCol w:w="60"/>
        <w:gridCol w:w="60"/>
        <w:gridCol w:w="134"/>
        <w:gridCol w:w="748"/>
        <w:gridCol w:w="64"/>
        <w:gridCol w:w="64"/>
        <w:gridCol w:w="134"/>
        <w:gridCol w:w="522"/>
        <w:gridCol w:w="60"/>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117,806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129,280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4,828</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5,702</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5,891</w:t>
            </w:r>
          </w:p>
        </w:tc>
        <w:tc>
          <w:tcPr>
            <w:tcW w:w="64"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0"/>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gain, net of tax</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123,508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135,171</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 xml:space="preserve">UNAUDITED CONDENSED CONSOLIDATED STATEMENTS OF STOCKHOLDERS’ EQUITY </w:t>
      </w:r>
    </w:p>
    <w:p>
      <w:pPr>
        <w:pStyle w:val="TextBody"/>
        <w:bidi w:val="0"/>
        <w:spacing w:before="0" w:after="0"/>
        <w:ind w:left="144" w:right="144" w:hanging="0"/>
        <w:jc w:val="center"/>
        <w:rPr>
          <w:rFonts w:ascii="Times New Roman;Times;serif" w:hAnsi="Times New Roman;Times;serif"/>
          <w:b/>
          <w:caps/>
          <w:sz w:val="20"/>
        </w:rPr>
      </w:pPr>
      <w:r>
        <w:rPr>
          <w:rFonts w:ascii="Times New Roman;Times;serif" w:hAnsi="Times New Roman;Times;serif"/>
          <w:b/>
          <w:caps/>
          <w:sz w:val="20"/>
        </w:rPr>
        <w:t>FOR THE Three and Nine Months Ended December 31, 2025 AND 2024</w:t>
      </w:r>
    </w:p>
    <w:p>
      <w:pPr>
        <w:pStyle w:val="TextBody"/>
        <w:bidi w:val="0"/>
        <w:spacing w:before="0" w:after="0"/>
        <w:ind w:left="144" w:right="144" w:hanging="0"/>
        <w:jc w:val="center"/>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2009"/>
        <w:gridCol w:w="60"/>
        <w:gridCol w:w="74"/>
        <w:gridCol w:w="745"/>
        <w:gridCol w:w="60"/>
        <w:gridCol w:w="60"/>
        <w:gridCol w:w="155"/>
        <w:gridCol w:w="419"/>
        <w:gridCol w:w="60"/>
        <w:gridCol w:w="60"/>
        <w:gridCol w:w="132"/>
        <w:gridCol w:w="896"/>
        <w:gridCol w:w="80"/>
        <w:gridCol w:w="60"/>
        <w:gridCol w:w="156"/>
        <w:gridCol w:w="687"/>
        <w:gridCol w:w="80"/>
        <w:gridCol w:w="60"/>
        <w:gridCol w:w="331"/>
        <w:gridCol w:w="1172"/>
        <w:gridCol w:w="80"/>
        <w:gridCol w:w="60"/>
        <w:gridCol w:w="147"/>
        <w:gridCol w:w="1071"/>
        <w:gridCol w:w="80"/>
        <w:gridCol w:w="60"/>
        <w:gridCol w:w="191"/>
        <w:gridCol w:w="1072"/>
        <w:gridCol w:w="88"/>
      </w:tblGrid>
      <w:tr>
        <w:trPr/>
        <w:tc>
          <w:tcPr>
            <w:tcW w:w="2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8" w:type="dxa"/>
            <w:tcBorders/>
            <w:shd w:fill="FFFFFF" w:val="clear"/>
            <w:vAlign w:val="center"/>
          </w:tcPr>
          <w:p>
            <w:pPr>
              <w:pStyle w:val="TableContents"/>
              <w:bidi w:val="0"/>
              <w:spacing w:before="0" w:after="283"/>
              <w:jc w:val="left"/>
              <w:rPr/>
            </w:pPr>
            <w:r>
              <w:rPr/>
              <w:t> </w:t>
            </w:r>
          </w:p>
        </w:tc>
      </w:tr>
      <w:tr>
        <w:trPr/>
        <w:tc>
          <w:tcPr>
            <w:tcW w:w="2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 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 Equity</w:t>
            </w:r>
          </w:p>
        </w:tc>
        <w:tc>
          <w:tcPr>
            <w:tcW w:w="88" w:type="dxa"/>
            <w:tcBorders/>
            <w:shd w:fill="FFFFFF" w:val="clear"/>
            <w:vAlign w:val="center"/>
          </w:tcPr>
          <w:p>
            <w:pPr>
              <w:pStyle w:val="TableContents"/>
              <w:bidi w:val="0"/>
              <w:spacing w:before="0" w:after="283"/>
              <w:jc w:val="left"/>
              <w:rPr/>
            </w:pPr>
            <w:r>
              <w:rPr/>
              <w:t> </w:t>
            </w:r>
          </w:p>
        </w:tc>
      </w:tr>
      <w:tr>
        <w:trPr/>
        <w:tc>
          <w:tcPr>
            <w:tcW w:w="200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1,259,540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(1,060,625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197,114</w:t>
            </w:r>
          </w:p>
        </w:tc>
        <w:tc>
          <w:tcPr>
            <w:tcW w:w="88" w:type="dxa"/>
            <w:tcBorders/>
            <w:shd w:fill="CCEEFF" w:val="clear"/>
            <w:vAlign w:val="center"/>
          </w:tcPr>
          <w:p>
            <w:pPr>
              <w:pStyle w:val="TableContents"/>
              <w:bidi w:val="0"/>
              <w:spacing w:before="0" w:after="283"/>
              <w:jc w:val="left"/>
              <w:rPr/>
            </w:pPr>
            <w:r>
              <w:rPr/>
              <w:t> </w:t>
            </w:r>
          </w:p>
        </w:tc>
      </w:tr>
      <w:tr>
        <w:trPr/>
        <w:tc>
          <w:tcPr>
            <w:tcW w:w="200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11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283"/>
              <w:jc w:val="left"/>
              <w:rPr/>
            </w:pPr>
            <w:r>
              <w:rPr/>
              <w:t> </w:t>
            </w:r>
          </w:p>
        </w:tc>
      </w:tr>
      <w:tr>
        <w:trPr/>
        <w:tc>
          <w:tcPr>
            <w:tcW w:w="200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117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4,526</w:t>
            </w:r>
          </w:p>
        </w:tc>
        <w:tc>
          <w:tcPr>
            <w:tcW w:w="88" w:type="dxa"/>
            <w:tcBorders/>
            <w:shd w:fill="CCEEFF" w:val="clear"/>
            <w:vAlign w:val="center"/>
          </w:tcPr>
          <w:p>
            <w:pPr>
              <w:pStyle w:val="TableContents"/>
              <w:bidi w:val="0"/>
              <w:spacing w:before="0" w:after="283"/>
              <w:jc w:val="left"/>
              <w:rPr/>
            </w:pPr>
            <w:r>
              <w:rPr/>
              <w:t> </w:t>
            </w:r>
          </w:p>
        </w:tc>
      </w:tr>
      <w:tr>
        <w:trPr/>
        <w:tc>
          <w:tcPr>
            <w:tcW w:w="200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117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88" w:type="dxa"/>
            <w:tcBorders/>
            <w:shd w:fill="FFFFFF" w:val="clear"/>
            <w:vAlign w:val="center"/>
          </w:tcPr>
          <w:p>
            <w:pPr>
              <w:pStyle w:val="TableContents"/>
              <w:bidi w:val="0"/>
              <w:spacing w:before="0" w:after="283"/>
              <w:jc w:val="left"/>
              <w:rPr/>
            </w:pPr>
            <w:r>
              <w:rPr/>
              <w:t> </w:t>
            </w:r>
          </w:p>
        </w:tc>
      </w:tr>
      <w:tr>
        <w:trPr/>
        <w:tc>
          <w:tcPr>
            <w:tcW w:w="2009"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equity offering, net of offering expenses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124,577</w:t>
            </w:r>
          </w:p>
        </w:tc>
        <w:tc>
          <w:tcPr>
            <w:tcW w:w="88" w:type="dxa"/>
            <w:tcBorders/>
            <w:shd w:fill="CCEEFF" w:val="clear"/>
            <w:vAlign w:val="center"/>
          </w:tcPr>
          <w:p>
            <w:pPr>
              <w:pStyle w:val="TableContents"/>
              <w:bidi w:val="0"/>
              <w:spacing w:before="0" w:after="283"/>
              <w:jc w:val="left"/>
              <w:rPr/>
            </w:pPr>
            <w:r>
              <w:rPr/>
              <w:t> </w:t>
            </w:r>
          </w:p>
        </w:tc>
      </w:tr>
      <w:tr>
        <w:trPr/>
        <w:tc>
          <w:tcPr>
            <w:tcW w:w="200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11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0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6,724</w:t>
            </w:r>
          </w:p>
        </w:tc>
        <w:tc>
          <w:tcPr>
            <w:tcW w:w="88" w:type="dxa"/>
            <w:tcBorders/>
            <w:shd w:fill="CCEEFF" w:val="clear"/>
            <w:vAlign w:val="center"/>
          </w:tcPr>
          <w:p>
            <w:pPr>
              <w:pStyle w:val="TableContents"/>
              <w:bidi w:val="0"/>
              <w:spacing w:before="0" w:after="283"/>
              <w:jc w:val="left"/>
              <w:rPr/>
            </w:pPr>
            <w:r>
              <w:rPr/>
              <w:t> </w:t>
            </w:r>
          </w:p>
        </w:tc>
      </w:tr>
      <w:tr>
        <w:trPr/>
        <w:tc>
          <w:tcPr>
            <w:tcW w:w="200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1,388,948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(1,053,901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333,116</w:t>
            </w:r>
          </w:p>
        </w:tc>
        <w:tc>
          <w:tcPr>
            <w:tcW w:w="88" w:type="dxa"/>
            <w:tcBorders/>
            <w:shd w:fill="FFFFFF" w:val="clear"/>
            <w:vAlign w:val="center"/>
          </w:tcPr>
          <w:p>
            <w:pPr>
              <w:pStyle w:val="TableContents"/>
              <w:bidi w:val="0"/>
              <w:spacing w:before="0" w:after="283"/>
              <w:jc w:val="left"/>
              <w:rPr/>
            </w:pPr>
            <w:r>
              <w:rPr/>
              <w:t> </w:t>
            </w:r>
          </w:p>
        </w:tc>
      </w:tr>
      <w:tr>
        <w:trPr/>
        <w:tc>
          <w:tcPr>
            <w:tcW w:w="2009"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Exercise of stock options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w:t>
            </w:r>
          </w:p>
        </w:tc>
        <w:tc>
          <w:tcPr>
            <w:tcW w:w="88" w:type="dxa"/>
            <w:tcBorders/>
            <w:shd w:fill="CCEEFF" w:val="clear"/>
            <w:vAlign w:val="center"/>
          </w:tcPr>
          <w:p>
            <w:pPr>
              <w:pStyle w:val="TableContents"/>
              <w:bidi w:val="0"/>
              <w:spacing w:before="0" w:after="283"/>
              <w:jc w:val="left"/>
              <w:rPr/>
            </w:pPr>
            <w:r>
              <w:rPr/>
              <w:t> </w:t>
            </w:r>
          </w:p>
        </w:tc>
      </w:tr>
      <w:tr>
        <w:trPr/>
        <w:tc>
          <w:tcPr>
            <w:tcW w:w="2009"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p>
        </w:tc>
      </w:tr>
      <w:tr>
        <w:trPr/>
        <w:tc>
          <w:tcPr>
            <w:tcW w:w="2009"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ESPP</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w:t>
            </w:r>
          </w:p>
        </w:tc>
        <w:tc>
          <w:tcPr>
            <w:tcW w:w="88" w:type="dxa"/>
            <w:tcBorders/>
            <w:shd w:fill="CCEEFF" w:val="clear"/>
            <w:vAlign w:val="center"/>
          </w:tcPr>
          <w:p>
            <w:pPr>
              <w:pStyle w:val="TableContents"/>
              <w:bidi w:val="0"/>
              <w:spacing w:before="0" w:after="283"/>
              <w:jc w:val="left"/>
              <w:rPr/>
            </w:pPr>
            <w:r>
              <w:rPr/>
              <w:t> </w:t>
            </w:r>
          </w:p>
        </w:tc>
      </w:tr>
      <w:tr>
        <w:trPr/>
        <w:tc>
          <w:tcPr>
            <w:tcW w:w="2009"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3,766</w:t>
            </w:r>
          </w:p>
        </w:tc>
        <w:tc>
          <w:tcPr>
            <w:tcW w:w="88" w:type="dxa"/>
            <w:tcBorders/>
            <w:shd w:fill="FFFFFF" w:val="clear"/>
            <w:vAlign w:val="center"/>
          </w:tcPr>
          <w:p>
            <w:pPr>
              <w:pStyle w:val="TableContents"/>
              <w:bidi w:val="0"/>
              <w:spacing w:before="0" w:after="283"/>
              <w:jc w:val="left"/>
              <w:rPr/>
            </w:pPr>
            <w:r>
              <w:rPr/>
              <w:t> </w:t>
            </w:r>
          </w:p>
        </w:tc>
      </w:tr>
      <w:tr>
        <w:trPr/>
        <w:tc>
          <w:tcPr>
            <w:tcW w:w="2009"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for 401(k) match</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310</w:t>
            </w:r>
          </w:p>
        </w:tc>
        <w:tc>
          <w:tcPr>
            <w:tcW w:w="88" w:type="dxa"/>
            <w:tcBorders/>
            <w:shd w:fill="CCEEFF" w:val="clear"/>
            <w:vAlign w:val="center"/>
          </w:tcPr>
          <w:p>
            <w:pPr>
              <w:pStyle w:val="TableContents"/>
              <w:bidi w:val="0"/>
              <w:spacing w:before="0" w:after="283"/>
              <w:jc w:val="left"/>
              <w:rPr/>
            </w:pPr>
            <w:r>
              <w:rPr/>
              <w:t> </w:t>
            </w:r>
          </w:p>
        </w:tc>
      </w:tr>
      <w:tr>
        <w:trPr/>
        <w:tc>
          <w:tcPr>
            <w:tcW w:w="2009"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0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4,750</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200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September 30, 2025</w:t>
            </w:r>
          </w:p>
        </w:tc>
        <w:tc>
          <w:tcPr>
            <w:tcW w:w="60" w:type="dxa"/>
            <w:tcBorders/>
            <w:shd w:fill="FFFFFF" w:val="clear"/>
            <w:vAlign w:val="center"/>
          </w:tcPr>
          <w:p>
            <w:pPr>
              <w:pStyle w:val="TableContents"/>
              <w:bidi w:val="0"/>
              <w:spacing w:before="0" w:after="0"/>
              <w:ind w:left="0" w:right="0" w:hanging="0"/>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45,590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1,393,266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(3,765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3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(1,049,151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342,182</w:t>
            </w:r>
          </w:p>
        </w:tc>
        <w:tc>
          <w:tcPr>
            <w:tcW w:w="88" w:type="dxa"/>
            <w:tcBorders/>
            <w:shd w:fill="FFFFFF" w:val="clear"/>
            <w:vAlign w:val="center"/>
          </w:tcPr>
          <w:p>
            <w:pPr>
              <w:pStyle w:val="TableContents"/>
              <w:bidi w:val="0"/>
              <w:spacing w:before="0" w:after="0"/>
              <w:jc w:val="left"/>
              <w:rPr/>
            </w:pPr>
            <w:r>
              <w:rPr/>
              <w:t> </w:t>
            </w:r>
          </w:p>
        </w:tc>
      </w:tr>
      <w:tr>
        <w:trPr/>
        <w:tc>
          <w:tcPr>
            <w:tcW w:w="2009"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3,822</w:t>
            </w:r>
          </w:p>
        </w:tc>
        <w:tc>
          <w:tcPr>
            <w:tcW w:w="88" w:type="dxa"/>
            <w:tcBorders/>
            <w:shd w:fill="CCEEFF" w:val="clear"/>
            <w:vAlign w:val="center"/>
          </w:tcPr>
          <w:p>
            <w:pPr>
              <w:pStyle w:val="TableContents"/>
              <w:bidi w:val="0"/>
              <w:spacing w:before="0" w:after="283"/>
              <w:jc w:val="left"/>
              <w:rPr/>
            </w:pPr>
            <w:r>
              <w:rPr/>
              <w:t> </w:t>
            </w:r>
          </w:p>
        </w:tc>
      </w:tr>
      <w:tr>
        <w:trPr/>
        <w:tc>
          <w:tcPr>
            <w:tcW w:w="2009"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321</w:t>
            </w:r>
          </w:p>
        </w:tc>
        <w:tc>
          <w:tcPr>
            <w:tcW w:w="88" w:type="dxa"/>
            <w:tcBorders/>
            <w:shd w:fill="FFFFFF" w:val="clear"/>
            <w:vAlign w:val="center"/>
          </w:tcPr>
          <w:p>
            <w:pPr>
              <w:pStyle w:val="TableContents"/>
              <w:bidi w:val="0"/>
              <w:spacing w:before="0" w:after="283"/>
              <w:jc w:val="left"/>
              <w:rPr/>
            </w:pPr>
            <w:r>
              <w:rPr/>
              <w:t> </w:t>
            </w:r>
          </w:p>
        </w:tc>
      </w:tr>
      <w:tr>
        <w:trPr/>
        <w:tc>
          <w:tcPr>
            <w:tcW w:w="2009"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Issuance of common stock - Comtrafo acquisition, net of offering expenses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78,407</w:t>
            </w:r>
          </w:p>
        </w:tc>
        <w:tc>
          <w:tcPr>
            <w:tcW w:w="88" w:type="dxa"/>
            <w:tcBorders/>
            <w:shd w:fill="CCEEFF" w:val="clear"/>
            <w:vAlign w:val="center"/>
          </w:tcPr>
          <w:p>
            <w:pPr>
              <w:pStyle w:val="TableContents"/>
              <w:bidi w:val="0"/>
              <w:spacing w:before="0" w:after="283"/>
              <w:ind w:left="0" w:right="0" w:hanging="0"/>
              <w:jc w:val="left"/>
              <w:rPr/>
            </w:pPr>
            <w:r>
              <w:rPr/>
              <w:t> </w:t>
            </w:r>
          </w:p>
        </w:tc>
      </w:tr>
      <w:tr>
        <w:trPr/>
        <w:tc>
          <w:tcPr>
            <w:tcW w:w="2009"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(5,702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(5,702</w:t>
            </w:r>
          </w:p>
        </w:tc>
        <w:tc>
          <w:tcPr>
            <w:tcW w:w="8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009"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income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117,806</w:t>
            </w:r>
          </w:p>
        </w:tc>
        <w:tc>
          <w:tcPr>
            <w:tcW w:w="88" w:type="dxa"/>
            <w:tcBorders/>
            <w:shd w:fill="CCEEFF" w:val="clear"/>
            <w:vAlign w:val="center"/>
          </w:tcPr>
          <w:p>
            <w:pPr>
              <w:pStyle w:val="TableContents"/>
              <w:bidi w:val="0"/>
              <w:spacing w:before="0" w:after="283"/>
              <w:jc w:val="left"/>
              <w:rPr/>
            </w:pPr>
            <w:r>
              <w:rPr/>
              <w:t> </w:t>
            </w:r>
          </w:p>
        </w:tc>
      </w:tr>
      <w:tr>
        <w:trPr/>
        <w:tc>
          <w:tcPr>
            <w:tcW w:w="200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7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74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41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1,475,792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3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7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(931,345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536,836</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11"/>
        <w:gridCol w:w="60"/>
        <w:gridCol w:w="74"/>
        <w:gridCol w:w="745"/>
        <w:gridCol w:w="60"/>
        <w:gridCol w:w="60"/>
        <w:gridCol w:w="155"/>
        <w:gridCol w:w="419"/>
        <w:gridCol w:w="60"/>
        <w:gridCol w:w="60"/>
        <w:gridCol w:w="132"/>
        <w:gridCol w:w="896"/>
        <w:gridCol w:w="80"/>
        <w:gridCol w:w="60"/>
        <w:gridCol w:w="156"/>
        <w:gridCol w:w="687"/>
        <w:gridCol w:w="80"/>
        <w:gridCol w:w="60"/>
        <w:gridCol w:w="362"/>
        <w:gridCol w:w="1140"/>
        <w:gridCol w:w="80"/>
        <w:gridCol w:w="60"/>
        <w:gridCol w:w="147"/>
        <w:gridCol w:w="1071"/>
        <w:gridCol w:w="80"/>
        <w:gridCol w:w="60"/>
        <w:gridCol w:w="191"/>
        <w:gridCol w:w="1072"/>
        <w:gridCol w:w="87"/>
      </w:tblGrid>
      <w:tr>
        <w:trPr/>
        <w:tc>
          <w:tcPr>
            <w:tcW w:w="20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Accumulated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Number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Comprehensive 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8"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Accumulated 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Stockholders' Equity</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1,212,913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(1,066,658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144,571</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shd w:fill="FFFFFF" w:val="clear"/>
            <w:vAlign w:val="center"/>
          </w:tcPr>
          <w:p>
            <w:pPr>
              <w:pStyle w:val="TableContents"/>
              <w:bidi w:val="0"/>
              <w:spacing w:before="0" w:after="0"/>
              <w:ind w:left="0" w:right="0" w:hanging="0"/>
              <w:jc w:val="left"/>
              <w:rPr/>
            </w:pPr>
            <w:r>
              <w:rPr/>
              <w:t> </w:t>
            </w:r>
          </w:p>
        </w:tc>
        <w:tc>
          <w:tcPr>
            <w:tcW w:w="1072" w:type="dxa"/>
            <w:tcBorders/>
            <w:shd w:fill="FFFFFF" w:val="clear"/>
            <w:vAlign w:val="center"/>
          </w:tcPr>
          <w:p>
            <w:pPr>
              <w:pStyle w:val="TableContents"/>
              <w:bidi w:val="0"/>
              <w:spacing w:before="0" w:after="0"/>
              <w:jc w:val="right"/>
              <w:rPr/>
            </w:pPr>
            <w:r>
              <w:rPr/>
              <w:t>—</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74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ind w:left="0" w:right="0" w:hanging="0"/>
              <w:jc w:val="left"/>
              <w:rPr/>
            </w:pPr>
            <w:r>
              <w:rPr/>
              <w:t> </w:t>
            </w:r>
          </w:p>
        </w:tc>
        <w:tc>
          <w:tcPr>
            <w:tcW w:w="11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Repurchase of treasury stock</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4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41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ind w:left="0" w:right="0" w:hanging="0"/>
              <w:jc w:val="left"/>
              <w:rPr/>
            </w:pPr>
            <w:r>
              <w:rPr/>
              <w:t> </w:t>
            </w:r>
          </w:p>
        </w:tc>
        <w:tc>
          <w:tcPr>
            <w:tcW w:w="11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w:t>
            </w:r>
          </w:p>
        </w:tc>
        <w:tc>
          <w:tcPr>
            <w:tcW w:w="8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143,344</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ESPP</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 net of forfeited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Megatran acquisition, net of offering expenses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31,202</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to settle contingent consideration</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6,504</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w:t>
            </w:r>
          </w:p>
        </w:tc>
        <w:tc>
          <w:tcPr>
            <w:tcW w:w="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1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2024</w:t>
            </w:r>
          </w:p>
        </w:tc>
        <w:tc>
          <w:tcPr>
            <w:tcW w:w="60" w:type="dxa"/>
            <w:tcBorders/>
            <w:shd w:fill="CCEEFF" w:val="clear"/>
            <w:vAlign w:val="center"/>
          </w:tcPr>
          <w:p>
            <w:pPr>
              <w:pStyle w:val="TableContents"/>
              <w:bidi w:val="0"/>
              <w:spacing w:before="0" w:after="0"/>
              <w:ind w:left="0" w:right="0" w:hanging="0"/>
              <w:jc w:val="left"/>
              <w:rPr/>
            </w:pPr>
            <w:r>
              <w:rPr/>
              <w:t> </w:t>
            </w:r>
          </w:p>
        </w:tc>
        <w:tc>
          <w:tcPr>
            <w:tcW w:w="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1,253,168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(1,064,295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187,015</w:t>
            </w:r>
          </w:p>
        </w:tc>
        <w:tc>
          <w:tcPr>
            <w:tcW w:w="87" w:type="dxa"/>
            <w:tcBorders/>
            <w:shd w:fill="CCEEFF" w:val="clear"/>
            <w:vAlign w:val="center"/>
          </w:tcPr>
          <w:p>
            <w:pPr>
              <w:pStyle w:val="TableContents"/>
              <w:bidi w:val="0"/>
              <w:spacing w:before="0" w:after="0"/>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 restricted shares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2,861</w:t>
            </w:r>
          </w:p>
        </w:tc>
        <w:tc>
          <w:tcPr>
            <w:tcW w:w="87" w:type="dxa"/>
            <w:tcBorders/>
            <w:shd w:fill="CCEE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for 401(k) match</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w:t>
            </w:r>
          </w:p>
        </w:tc>
        <w:tc>
          <w:tcPr>
            <w:tcW w:w="87" w:type="dxa"/>
            <w:tcBorders/>
            <w:shd w:fill="CCEEFF" w:val="clear"/>
            <w:vAlign w:val="center"/>
          </w:tcPr>
          <w:p>
            <w:pPr>
              <w:pStyle w:val="TableContents"/>
              <w:bidi w:val="0"/>
              <w:spacing w:before="0" w:after="283"/>
              <w:ind w:left="0" w:right="0" w:hanging="0"/>
              <w:jc w:val="left"/>
              <w:rPr/>
            </w:pPr>
            <w:r>
              <w:rPr/>
              <w:t> </w:t>
            </w:r>
          </w:p>
        </w:tc>
      </w:tr>
      <w:tr>
        <w:trPr/>
        <w:tc>
          <w:tcPr>
            <w:tcW w:w="201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1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2,465</w:t>
            </w:r>
          </w:p>
        </w:tc>
        <w:tc>
          <w:tcPr>
            <w:tcW w:w="87" w:type="dxa"/>
            <w:tcBorders/>
            <w:shd w:fill="FFFFFF" w:val="clear"/>
            <w:vAlign w:val="center"/>
          </w:tcPr>
          <w:p>
            <w:pPr>
              <w:pStyle w:val="TableContents"/>
              <w:bidi w:val="0"/>
              <w:spacing w:before="0" w:after="283"/>
              <w:jc w:val="left"/>
              <w:rPr/>
            </w:pPr>
            <w:r>
              <w:rPr/>
              <w:t> </w:t>
            </w:r>
          </w:p>
        </w:tc>
      </w:tr>
      <w:tr>
        <w:trPr/>
        <w:tc>
          <w:tcPr>
            <w:tcW w:w="20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7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74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1,256,210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(1,061,830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192,676</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 w:right="144"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9161" w:type="dxa"/>
        <w:jc w:val="left"/>
        <w:tblInd w:w="0" w:type="dxa"/>
        <w:tblLayout w:type="fixed"/>
        <w:tblCellMar>
          <w:top w:w="0" w:type="dxa"/>
          <w:left w:w="0" w:type="dxa"/>
          <w:bottom w:w="0" w:type="dxa"/>
          <w:right w:w="0" w:type="dxa"/>
        </w:tblCellMar>
      </w:tblPr>
      <w:tblGrid>
        <w:gridCol w:w="6185"/>
        <w:gridCol w:w="60"/>
        <w:gridCol w:w="197"/>
        <w:gridCol w:w="1194"/>
        <w:gridCol w:w="126"/>
        <w:gridCol w:w="94"/>
        <w:gridCol w:w="197"/>
        <w:gridCol w:w="1028"/>
        <w:gridCol w:w="80"/>
      </w:tblGrid>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2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129,280</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4,828</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operations: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4,184</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3,984</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12,114</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4,933</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2,162</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1,186</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825</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753</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(113,769</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Earnings from equity method investments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(449</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pPr>
            <w:r>
              <w:rPr/>
              <w:t>—</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6,682</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 non-cash items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 and liability accounts: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(12,462</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Inventory</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(8,824</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1,581</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5,972</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(6,469</w:t>
            </w:r>
          </w:p>
        </w:tc>
        <w:tc>
          <w:tcPr>
            <w:tcW w:w="1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20,686</w:t>
            </w:r>
          </w:p>
        </w:tc>
        <w:tc>
          <w:tcPr>
            <w:tcW w:w="80" w:type="dxa"/>
            <w:tcBorders/>
            <w:shd w:fill="FFFFFF" w:val="clear"/>
            <w:vAlign w:val="center"/>
          </w:tcPr>
          <w:p>
            <w:pPr>
              <w:pStyle w:val="TableContents"/>
              <w:bidi w:val="0"/>
              <w:spacing w:before="0" w:after="0"/>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13,861</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21,995</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(3,099</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paid for acquisition, net of cash acquired</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(72,096</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(29,577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1194"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1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102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FFFFFF" w:val="clear"/>
            <w:vAlign w:val="center"/>
          </w:tcPr>
          <w:p>
            <w:pPr>
              <w:pStyle w:val="TableContents"/>
              <w:bidi w:val="0"/>
              <w:spacing w:before="0" w:after="0"/>
              <w:jc w:val="left"/>
              <w:rPr/>
            </w:pPr>
            <w:r>
              <w:rPr/>
              <w:t> </w:t>
            </w:r>
          </w:p>
        </w:tc>
      </w:tr>
      <w:tr>
        <w:trPr/>
        <w:tc>
          <w:tcPr>
            <w:tcW w:w="618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Cash paid to settle Megatran contingent consideration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4"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(75,270</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Repurchase of treasury stock</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Repayment of debt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(883</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Employee taxes paid related to net settlement of equity awards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Proceeds from exercise of employee stock options and ESPP</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Proceeds from public equity offering, net of offering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124,501</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123,859</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126"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61,730</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9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85,381</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92,280</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147,111</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80,040</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schedule of cash flow information:</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income taxes, net of refunds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407</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263</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common stock in connection with the purchase of Megatran</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4" w:type="dxa"/>
            <w:tcBorders/>
            <w:shd w:fill="CCEEFF" w:val="cle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31,350</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Issuance of common stock in connection with the purchase of Comtrafo</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78,407</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common stock to settle contingent consideration</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4" w:type="dxa"/>
            <w:tcBorders/>
            <w:shd w:fill="CCEEFF" w:val="cle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6,504</w:t>
            </w:r>
          </w:p>
        </w:tc>
        <w:tc>
          <w:tcPr>
            <w:tcW w:w="8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obligations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647</w:t>
            </w:r>
          </w:p>
        </w:tc>
        <w:tc>
          <w:tcPr>
            <w:tcW w:w="126"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2,247</w:t>
            </w:r>
          </w:p>
        </w:tc>
        <w:tc>
          <w:tcPr>
            <w:tcW w:w="8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Issuance of common stock to settle 401k match liabilities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993</w:t>
            </w:r>
          </w:p>
        </w:tc>
        <w:tc>
          <w:tcPr>
            <w:tcW w:w="126"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w:t>
      </w:r>
      <w:r>
        <w:rPr>
          <w:rFonts w:ascii="Times New Roman;Times;serif" w:hAnsi="Times New Roman;Times;serif"/>
          <w:b/>
          <w:sz w:val="20"/>
        </w:rPr>
        <w:t xml:space="preserve"> Nature of the Business and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Nature of the Business and Operations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American Superconductor Corporation (together with its subsidiaries, “AMSC®” or the “Company”) was founded on </w:t>
      </w:r>
      <w:r>
        <w:rPr>
          <w:rStyle w:val="Emphasis"/>
          <w:rFonts w:ascii="Times New Roman;Times;serif" w:hAnsi="Times New Roman;Times;serif"/>
          <w:sz w:val="20"/>
        </w:rPr>
        <w:t>April 9,</w:t>
      </w:r>
      <w:r>
        <w:rPr>
          <w:rFonts w:ascii="Times New Roman;Times;serif" w:hAnsi="Times New Roman;Times;serif"/>
          <w:sz w:val="20"/>
        </w:rPr>
        <w:t xml:space="preserve"> </w:t>
      </w:r>
      <w:r>
        <w:rPr>
          <w:rStyle w:val="Emphasis"/>
          <w:rFonts w:ascii="Times New Roman;Times;serif" w:hAnsi="Times New Roman;Times;serif"/>
          <w:sz w:val="20"/>
        </w:rPr>
        <w:t>1987.</w:t>
      </w:r>
      <w:r>
        <w:rPr>
          <w:rFonts w:ascii="Times New Roman;Times;serif" w:hAnsi="Times New Roman;Times;serif"/>
          <w:sz w:val="20"/>
        </w:rPr>
        <w:t xml:space="preserve"> The Company is a leading system provider of megawatt-scale power resiliency solutions that orchestrate the rhythm and harmony of power on the grid™ and protect and expand the capability of the Navy’s fleet. The Company’s system level products leverage its proprietary “smart materials” and “smart software and controls” to provide enhanced resiliency and improved performance of megawatt-scale power flow.</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These unaudited condensed consolidated financial statements of the Company have been prepared on a going concern basis in accordance with United States generally accepted accounting principles (“GAAP”) and the Securities and Exchange Commission’s (“SEC”) instructions to Form </w:t>
      </w:r>
      <w:r>
        <w:rPr>
          <w:rStyle w:val="Emphasis"/>
          <w:rFonts w:ascii="Times New Roman;Times;serif" w:hAnsi="Times New Roman;Times;serif"/>
          <w:sz w:val="20"/>
        </w:rPr>
        <w:t>10</w:t>
      </w:r>
      <w:r>
        <w:rPr>
          <w:rFonts w:ascii="Times New Roman;Times;serif" w:hAnsi="Times New Roman;Times;serif"/>
          <w:sz w:val="20"/>
        </w:rPr>
        <w:t xml:space="preserve">-Q. All significant intercompany accounts and transactions are eliminated in consolidation. Investments in entities in which we do </w:t>
      </w:r>
      <w:r>
        <w:rPr>
          <w:rStyle w:val="Emphasis"/>
          <w:rFonts w:ascii="Times New Roman;Times;serif" w:hAnsi="Times New Roman;Times;serif"/>
          <w:sz w:val="20"/>
        </w:rPr>
        <w:t>not</w:t>
      </w:r>
      <w:r>
        <w:rPr>
          <w:rFonts w:ascii="Times New Roman;Times;serif" w:hAnsi="Times New Roman;Times;serif"/>
          <w:sz w:val="20"/>
        </w:rPr>
        <w:t xml:space="preserve"> have a controlling interest are accounted for under the equity method of accounting. The going concern basis of presentation assumes that the Company will continue operations and will be able to realize its assets and discharge its liabilities and commitments in the normal course of business. Certain information and footnote disclosures normally included in the condensed consolidated financial statements prepared in accordance with GAAP have been omitted pursuant to those instructions. The year-end balance sheet data was derived from audited financial statements but does </w:t>
      </w:r>
      <w:r>
        <w:rPr>
          <w:rStyle w:val="Emphasis"/>
          <w:rFonts w:ascii="Times New Roman;Times;serif" w:hAnsi="Times New Roman;Times;serif"/>
          <w:sz w:val="20"/>
        </w:rPr>
        <w:t>not</w:t>
      </w:r>
      <w:r>
        <w:rPr>
          <w:rFonts w:ascii="Times New Roman;Times;serif" w:hAnsi="Times New Roman;Times;serif"/>
          <w:sz w:val="20"/>
        </w:rPr>
        <w:t xml:space="preserve"> include all disclosures required by GAAP. The unaudited condensed consolidated financial statements, in the opinion of management, reflect all adjustments (consisting of normal recurring adjustments) necessary for a fair statement of the results for the interim periods ended </w:t>
      </w:r>
      <w:r>
        <w:rPr>
          <w:rStyle w:val="Emphasis"/>
          <w:rFonts w:ascii="Times New Roman;Times;serif" w:hAnsi="Times New Roman;Times;serif"/>
          <w:sz w:val="20"/>
        </w:rPr>
        <w:t xml:space="preserve"> December 31,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xml:space="preserve">, and the financial position at </w:t>
      </w:r>
      <w:r>
        <w:rPr>
          <w:rStyle w:val="Emphasis"/>
          <w:rFonts w:ascii="Times New Roman;Times;serif" w:hAnsi="Times New Roman;Times;serif"/>
          <w:sz w:val="20"/>
        </w:rPr>
        <w:t>December 31, 2025</w:t>
      </w:r>
      <w:r>
        <w:rPr>
          <w:rFonts w:ascii="Times New Roman;Times;serif" w:hAnsi="Times New Roman;Times;serif"/>
          <w:sz w:val="20"/>
        </w:rPr>
        <w:t xml:space="preserve">; however, these results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results which </w:t>
      </w:r>
      <w:r>
        <w:rPr>
          <w:rStyle w:val="Emphasis"/>
          <w:rFonts w:ascii="Times New Roman;Times;serif" w:hAnsi="Times New Roman;Times;serif"/>
          <w:sz w:val="20"/>
        </w:rPr>
        <w:t xml:space="preserve">may </w:t>
      </w:r>
      <w:r>
        <w:rPr>
          <w:rFonts w:ascii="Times New Roman;Times;serif" w:hAnsi="Times New Roman;Times;serif"/>
          <w:sz w:val="20"/>
        </w:rPr>
        <w:t>be expected for the full year. The interim condensed consolidated financial statements, and notes thereto, should be read in conjunction with the audited condensed consolidated financial statements for the year ended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filed with the SEC on </w:t>
      </w:r>
      <w:r>
        <w:rPr>
          <w:rStyle w:val="Emphasis"/>
          <w:rFonts w:ascii="Times New Roman;Times;serif" w:hAnsi="Times New Roman;Times;serif"/>
          <w:sz w:val="20"/>
        </w:rPr>
        <w:t>May 21, 2025</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2.</w:t>
      </w:r>
      <w:r>
        <w:rPr>
          <w:rFonts w:ascii="Times New Roman;Times;serif" w:hAnsi="Times New Roman;Times;serif"/>
          <w:b/>
          <w:sz w:val="20"/>
        </w:rPr>
        <w:t xml:space="preserve"> Acquisition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Acquisition of Comtrafo</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December 5, 2025 (</w:t>
      </w:r>
      <w:r>
        <w:rPr>
          <w:rFonts w:ascii="Times New Roman;Times;serif" w:hAnsi="Times New Roman;Times;serif"/>
          <w:sz w:val="20"/>
        </w:rPr>
        <w:t>the "Comtrafo Acquisition Date"), the Company entered into a Stock Exchange Agreement (the “Stock Exchange Agreement”) with the selling stockholders named therein. Pursuant to the terms of the Stock Exchange Agreement and concurrently with entering into such agreement, the Company acquired all of the issued and outstanding shares of capital stock of Comtrafo Indústria de Transformadores Elétricos S.A. ("Comtrafo") (the "Comtrafo Acquisition"). Comtrafo is a Brazil-based manufacturer of large power and distribution transformers primarily for utility customers and also for industrial customers.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Comtrafo Acquisition has been accounted for under the purchase method of accounting in accordance with ASC </w:t>
      </w:r>
      <w:r>
        <w:rPr>
          <w:rStyle w:val="Emphasis"/>
          <w:rFonts w:ascii="Times New Roman;Times;serif" w:hAnsi="Times New Roman;Times;serif"/>
          <w:sz w:val="20"/>
        </w:rPr>
        <w:t>805,</w:t>
      </w:r>
      <w:r>
        <w:rPr>
          <w:rFonts w:ascii="Times New Roman;Times;serif" w:hAnsi="Times New Roman;Times;serif"/>
          <w:sz w:val="20"/>
        </w:rPr>
        <w:t xml:space="preserve"> </w:t>
      </w:r>
      <w:r>
        <w:rPr>
          <w:rFonts w:ascii="Times New Roman;Times;serif" w:hAnsi="Times New Roman;Times;serif"/>
          <w:i/>
          <w:sz w:val="20"/>
        </w:rPr>
        <w:t>Business Combinations</w:t>
      </w:r>
      <w:r>
        <w:rPr>
          <w:rFonts w:ascii="Times New Roman;Times;serif" w:hAnsi="Times New Roman;Times;serif"/>
          <w:sz w:val="20"/>
        </w:rPr>
        <w:t xml:space="preserve">. The Company allocated the purchase price on a preliminary basis using the information available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to the assets acquired and liabilities assumed at their estimated fair values as of the date of acquisition. Due to the timing of the completion of the acquisition, the purchase price and related allocation are preliminary and could be revised as a result of adjustments made to the purchase price, and additional information obtained regarding assets acquired and liabilities assumed and revisions of provisional estimates of fair values, including, but </w:t>
      </w:r>
      <w:r>
        <w:rPr>
          <w:rStyle w:val="Emphasis"/>
          <w:rFonts w:ascii="Times New Roman;Times;serif" w:hAnsi="Times New Roman;Times;serif"/>
          <w:sz w:val="20"/>
        </w:rPr>
        <w:t>not</w:t>
      </w:r>
      <w:r>
        <w:rPr>
          <w:rFonts w:ascii="Times New Roman;Times;serif" w:hAnsi="Times New Roman;Times;serif"/>
          <w:sz w:val="20"/>
        </w:rPr>
        <w:t xml:space="preserve"> limited to the completion of independent appraisals of inventory, customer relationships, backlog, deferred taxes, tangible assets and intangible assets. Changes to the purchase price allocation could be significant. The purchase price allocation will be finalized within the measurement period of up to </w:t>
      </w:r>
      <w:r>
        <w:rPr>
          <w:rStyle w:val="Emphasis"/>
          <w:rFonts w:ascii="Times New Roman;Times;serif" w:hAnsi="Times New Roman;Times;serif"/>
          <w:sz w:val="20"/>
        </w:rPr>
        <w:t>one</w:t>
      </w:r>
      <w:r>
        <w:rPr>
          <w:rFonts w:ascii="Times New Roman;Times;serif" w:hAnsi="Times New Roman;Times;serif"/>
          <w:sz w:val="20"/>
        </w:rPr>
        <w:t xml:space="preserve"> year from the acquisition. The excess of the purchase price paid by the Company over the estimated fair value of net assets acquired has been recorded as goodwill.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total purchase price of approximately $202.7 million includes the fair value of the Company's common stock issued at closing, contingent consideration and cash paid, as follows (in millions):</w:t>
      </w:r>
    </w:p>
    <w:p>
      <w:pPr>
        <w:pStyle w:val="TextBody"/>
        <w:bidi w:val="0"/>
        <w:spacing w:before="0" w:after="0"/>
        <w:ind w:left="0" w:right="0" w:firstLine="720"/>
        <w:jc w:val="both"/>
        <w:rPr/>
      </w:pPr>
      <w:r>
        <w:rPr/>
        <w:t> </w:t>
      </w:r>
    </w:p>
    <w:tbl>
      <w:tblPr>
        <w:tblW w:w="5335" w:type="dxa"/>
        <w:jc w:val="left"/>
        <w:tblInd w:w="0" w:type="dxa"/>
        <w:tblLayout w:type="fixed"/>
        <w:tblCellMar>
          <w:top w:w="0" w:type="dxa"/>
          <w:left w:w="0" w:type="dxa"/>
          <w:bottom w:w="0" w:type="dxa"/>
          <w:right w:w="0" w:type="dxa"/>
        </w:tblCellMar>
      </w:tblPr>
      <w:tblGrid>
        <w:gridCol w:w="4745"/>
        <w:gridCol w:w="590"/>
      </w:tblGrid>
      <w:tr>
        <w:trP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$88.3</w:t>
            </w:r>
          </w:p>
        </w:tc>
      </w:tr>
      <w:tr>
        <w:trPr/>
        <w:tc>
          <w:tcPr>
            <w:tcW w:w="4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2,417,142 shares of Company’s common stock</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78.5</w:t>
            </w:r>
          </w:p>
        </w:tc>
      </w:tr>
      <w:tr>
        <w:trPr/>
        <w:tc>
          <w:tcPr>
            <w:tcW w:w="4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w:t>
            </w:r>
          </w:p>
        </w:tc>
      </w:tr>
      <w:tr>
        <w:trPr/>
        <w:tc>
          <w:tcPr>
            <w:tcW w:w="47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590"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$202.7</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At the Comtrafo Acquisition Date, in addition to the $88.3 million cash, the Company valued the Company's common stock at $32.47 per share, which was the closing price on that date. Comtrafo Acquisition costs of $1.2 million were included in SG&amp;A and $0.1 million were included in cost of revenues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allocation of the purchase price based on the estimated fair values of the assets acquired and liabilities assumed and related deferred income taxes in connection with the Comtrafo Acquisition as of the Comtrafo Acquisition Date (in millions):</w:t>
      </w:r>
    </w:p>
    <w:p>
      <w:pPr>
        <w:pStyle w:val="TextBody"/>
        <w:bidi w:val="0"/>
        <w:spacing w:before="0" w:after="0"/>
        <w:ind w:left="0" w:right="0" w:hanging="0"/>
        <w:jc w:val="left"/>
        <w:rPr/>
      </w:pPr>
      <w:r>
        <w:rPr/>
        <w:t> </w:t>
      </w:r>
    </w:p>
    <w:tbl>
      <w:tblPr>
        <w:tblW w:w="4400" w:type="dxa"/>
        <w:jc w:val="left"/>
        <w:tblInd w:w="0" w:type="dxa"/>
        <w:tblLayout w:type="fixed"/>
        <w:tblCellMar>
          <w:top w:w="0" w:type="dxa"/>
          <w:left w:w="0" w:type="dxa"/>
          <w:bottom w:w="0" w:type="dxa"/>
          <w:right w:w="0" w:type="dxa"/>
        </w:tblCellMar>
      </w:tblPr>
      <w:tblGrid>
        <w:gridCol w:w="3650"/>
        <w:gridCol w:w="60"/>
        <w:gridCol w:w="125"/>
        <w:gridCol w:w="485"/>
        <w:gridCol w:w="80"/>
      </w:tblGrid>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current and long-term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tangible assets/(liabilities)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identifiable intangible assets/(liabilities)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w:t>
            </w:r>
          </w:p>
        </w:tc>
        <w:tc>
          <w:tcPr>
            <w:tcW w:w="8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 of the financial assets acquired includes receivables with a fair value of $4.1 million. The gross amount due is $8.5 million, of which $4.4 million is expected to be uncollectible in order to align with existing AMSC reserve policy.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Inventory includes a $1.5 million adjustment to step-up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step-up adjustment increased cost of revenue $</w:t>
      </w:r>
      <w:r>
        <w:rPr>
          <w:rFonts w:ascii="Times New Roman;Times;serif" w:hAnsi="Times New Roman;Times;serif"/>
          <w:sz w:val="20"/>
          <w:shd w:fill="FFFFFF" w:val="clear"/>
        </w:rPr>
        <w:t>0.4 </w:t>
      </w:r>
      <w:r>
        <w:rPr>
          <w:rFonts w:ascii="Times New Roman;Times;serif" w:hAnsi="Times New Roman;Times;serif"/>
          <w:sz w:val="20"/>
        </w:rPr>
        <w:t xml:space="preserve">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December 31, 2025, </w:t>
      </w:r>
      <w:r>
        <w:rPr>
          <w:rFonts w:ascii="Times New Roman;Times;serif" w:hAnsi="Times New Roman;Times;serif"/>
          <w:sz w:val="20"/>
        </w:rPr>
        <w:t>as the inventory was sold.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Backlog of $1.8 million was evaluated using the multi period excess earnings method under the income approach. The contracts do </w:t>
      </w:r>
      <w:r>
        <w:rPr>
          <w:rStyle w:val="Emphasis"/>
          <w:rFonts w:ascii="Times New Roman;Times;serif" w:hAnsi="Times New Roman;Times;serif"/>
          <w:sz w:val="20"/>
        </w:rPr>
        <w:t>not</w:t>
      </w:r>
      <w:r>
        <w:rPr>
          <w:rFonts w:ascii="Times New Roman;Times;serif" w:hAnsi="Times New Roman;Times;serif"/>
          <w:sz w:val="20"/>
        </w:rPr>
        <w:t xml:space="preserve"> provide for any guarantees to source all future requirements from the Company. The amortization method being utilized is economic consumption estimated over a sixteen-month period with the expense being allocated to cost of revenues.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Customer relationships of $7.7 million relate to customers currently under contract and was based on a multi period excess earnings method under the income approach. The method of amortization being utilized is the economic consumption over 5 years with the expense being allocated to SG&amp;A.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Goodwill represents the value associated with the acquired workforce and expected synergies related to the business combination of the </w:t>
      </w:r>
      <w:r>
        <w:rPr>
          <w:rStyle w:val="Emphasis"/>
          <w:rFonts w:ascii="Times New Roman;Times;serif" w:hAnsi="Times New Roman;Times;serif"/>
          <w:sz w:val="20"/>
        </w:rPr>
        <w:t>two</w:t>
      </w:r>
      <w:r>
        <w:rPr>
          <w:rFonts w:ascii="Times New Roman;Times;serif" w:hAnsi="Times New Roman;Times;serif"/>
          <w:sz w:val="20"/>
        </w:rPr>
        <w:t xml:space="preserve"> companies. Goodwill resulting from the Comtrafo Acquisition was assigned to the Company's Grid segment. Goodwill recognized in the Comtrafo Acquisition is </w:t>
      </w:r>
      <w:r>
        <w:rPr>
          <w:rStyle w:val="Emphasis"/>
          <w:rFonts w:ascii="Times New Roman;Times;serif" w:hAnsi="Times New Roman;Times;serif"/>
          <w:sz w:val="20"/>
        </w:rPr>
        <w:t>not</w:t>
      </w:r>
      <w:r>
        <w:rPr>
          <w:rFonts w:ascii="Times New Roman;Times;serif" w:hAnsi="Times New Roman;Times;serif"/>
          <w:sz w:val="20"/>
        </w:rPr>
        <w:t xml:space="preserve"> deductible for tax purposes. The $4.1 million of deferred tax asset is primarily related to basis difference of intangibles, inventory and property, plant, and equipment.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Acquisition of NWL</w:t>
      </w:r>
      <w:r>
        <w:rPr>
          <w:rFonts w:ascii="Times New Roman;Times;serif" w:hAnsi="Times New Roman;Times;serif"/>
          <w:sz w:val="20"/>
        </w:rPr>
        <w:t> </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August 1,</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(the "NWL Acquisition Date"),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shares of capital stock of Megatran Industries, Inc. ("Megatran") (the "NWL Acquisition"). Megatran's wholly-owned subsidiary, NWL, Inc. (together with Megatran, "NWL"), is a U.S.-based global provider of engineered power conversion solutions for demanding industrial and military applications.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NWL Acquisition has been accounted for under the purchase method of accounting in accordance with ASC </w:t>
      </w:r>
      <w:r>
        <w:rPr>
          <w:rStyle w:val="Emphasis"/>
          <w:rFonts w:ascii="Times New Roman;Times;serif" w:hAnsi="Times New Roman;Times;serif"/>
          <w:sz w:val="20"/>
        </w:rPr>
        <w:t>805,</w:t>
      </w:r>
      <w:r>
        <w:rPr>
          <w:rFonts w:ascii="Times New Roman;Times;serif" w:hAnsi="Times New Roman;Times;serif"/>
          <w:sz w:val="20"/>
        </w:rPr>
        <w:t> </w:t>
      </w:r>
      <w:r>
        <w:rPr>
          <w:rFonts w:ascii="Times New Roman;Times;serif" w:hAnsi="Times New Roman;Times;serif"/>
          <w:i/>
          <w:sz w:val="20"/>
        </w:rPr>
        <w:t>Business Combinations</w:t>
      </w:r>
      <w:r>
        <w:rPr>
          <w:rFonts w:ascii="Times New Roman;Times;serif" w:hAnsi="Times New Roman;Times;serif"/>
          <w:sz w:val="20"/>
        </w:rPr>
        <w:t>. The Company allocated the purchase price to the assets acquired and liabilities assumed at their estimated fair values as of the Acquisition Date. The excess of the purchase price paid by the Company over the estimated fair value of net assets acquired has been recorded as goodwill.</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total purchase price of approximately $61.4 million includes the fair value of shares of the Company’s common stock issued at closing, and cash paid, as follows (in millions):</w:t>
      </w:r>
    </w:p>
    <w:p>
      <w:pPr>
        <w:pStyle w:val="TextBody"/>
        <w:bidi w:val="0"/>
        <w:spacing w:before="0" w:after="0"/>
        <w:ind w:left="0" w:right="0" w:firstLine="720"/>
        <w:jc w:val="both"/>
        <w:rPr/>
      </w:pPr>
      <w:r>
        <w:rPr/>
        <w:t> </w:t>
      </w:r>
    </w:p>
    <w:tbl>
      <w:tblPr>
        <w:tblW w:w="6160" w:type="dxa"/>
        <w:jc w:val="left"/>
        <w:tblInd w:w="0" w:type="dxa"/>
        <w:tblLayout w:type="fixed"/>
        <w:tblCellMar>
          <w:top w:w="0" w:type="dxa"/>
          <w:left w:w="0" w:type="dxa"/>
          <w:bottom w:w="0" w:type="dxa"/>
          <w:right w:w="0" w:type="dxa"/>
        </w:tblCellMar>
      </w:tblPr>
      <w:tblGrid>
        <w:gridCol w:w="5600"/>
        <w:gridCol w:w="560"/>
      </w:tblGrid>
      <w:tr>
        <w:trPr/>
        <w:tc>
          <w:tcPr>
            <w:tcW w:w="5600" w:type="dxa"/>
            <w:tcBorders/>
            <w:shd w:fill="CCEEFF" w:val="clear"/>
            <w:vAlign w:val="center"/>
          </w:tcPr>
          <w:p>
            <w:pPr>
              <w:pStyle w:val="TableContents"/>
              <w:bidi w:val="0"/>
              <w:spacing w:before="0" w:after="283"/>
              <w:jc w:val="left"/>
              <w:rPr/>
            </w:pPr>
            <w:r>
              <w:rPr/>
              <w:t>Cash payments</w:t>
            </w:r>
          </w:p>
        </w:tc>
        <w:tc>
          <w:tcPr>
            <w:tcW w:w="560" w:type="dxa"/>
            <w:tcBorders/>
            <w:shd w:fill="CCEEFF" w:val="clear"/>
            <w:vAlign w:val="center"/>
          </w:tcPr>
          <w:p>
            <w:pPr>
              <w:pStyle w:val="TableContents"/>
              <w:bidi w:val="0"/>
              <w:spacing w:before="0" w:after="283"/>
              <w:jc w:val="right"/>
              <w:rPr/>
            </w:pPr>
            <w:r>
              <w:rPr/>
              <w:t>$30.0</w:t>
            </w:r>
          </w:p>
        </w:tc>
      </w:tr>
      <w:tr>
        <w:trPr/>
        <w:tc>
          <w:tcPr>
            <w:tcW w:w="5600" w:type="dxa"/>
            <w:tcBorders/>
            <w:shd w:fill="FFFFFF" w:val="clear"/>
            <w:vAlign w:val="center"/>
          </w:tcPr>
          <w:p>
            <w:pPr>
              <w:pStyle w:val="TableContents"/>
              <w:bidi w:val="0"/>
              <w:spacing w:before="0" w:after="283"/>
              <w:jc w:val="left"/>
              <w:rPr/>
            </w:pPr>
            <w:r>
              <w:rPr/>
              <w:t>Issuance of 1,297,600 shares of Company’s common stock</w:t>
            </w:r>
          </w:p>
        </w:tc>
        <w:tc>
          <w:tcPr>
            <w:tcW w:w="560" w:type="dxa"/>
            <w:tcBorders>
              <w:bottom w:val="single" w:sz="2" w:space="0" w:color="000000"/>
            </w:tcBorders>
            <w:shd w:fill="FFFFFF" w:val="clear"/>
            <w:tcMar>
              <w:bottom w:w="28" w:type="dxa"/>
            </w:tcMar>
            <w:vAlign w:val="center"/>
          </w:tcPr>
          <w:p>
            <w:pPr>
              <w:pStyle w:val="TableContents"/>
              <w:bidi w:val="0"/>
              <w:spacing w:before="0" w:after="283"/>
              <w:jc w:val="right"/>
              <w:rPr/>
            </w:pPr>
            <w:r>
              <w:rPr/>
              <w:t>31.4</w:t>
            </w:r>
          </w:p>
        </w:tc>
      </w:tr>
      <w:tr>
        <w:trPr/>
        <w:tc>
          <w:tcPr>
            <w:tcW w:w="5600" w:type="dxa"/>
            <w:tcBorders/>
            <w:shd w:fill="CCEEFF" w:val="clear"/>
            <w:vAlign w:val="center"/>
          </w:tcPr>
          <w:p>
            <w:pPr>
              <w:pStyle w:val="TableContents"/>
              <w:bidi w:val="0"/>
              <w:spacing w:before="0" w:after="283"/>
              <w:jc w:val="left"/>
              <w:rPr/>
            </w:pPr>
            <w:r>
              <w:rPr/>
              <w:t>Total consideration</w:t>
            </w:r>
          </w:p>
        </w:tc>
        <w:tc>
          <w:tcPr>
            <w:tcW w:w="560" w:type="dxa"/>
            <w:tcBorders/>
            <w:shd w:fill="CCEEFF" w:val="clear"/>
            <w:vAlign w:val="center"/>
          </w:tcPr>
          <w:p>
            <w:pPr>
              <w:pStyle w:val="TableContents"/>
              <w:bidi w:val="0"/>
              <w:spacing w:before="0" w:after="283"/>
              <w:jc w:val="right"/>
              <w:rPr/>
            </w:pPr>
            <w:r>
              <w:rPr/>
              <w:t>$61.4</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At the NWL Acquisition Date, in addition to the $30.0 million cash, the Company valued the Company’s common stock, at $24.16 per share, which was the closing price on the day prior to the day that the Company completed the NWL Acquisition. NWL Acquisition costs of $1.1 million were included in selling, general and administrative ("SG&amp;A") for the fiscal year ended </w:t>
      </w:r>
      <w:r>
        <w:rPr>
          <w:rStyle w:val="Emphasis"/>
          <w:rFonts w:ascii="Times New Roman;Times;serif" w:hAnsi="Times New Roman;Times;serif"/>
          <w:sz w:val="20"/>
        </w:rPr>
        <w:t xml:space="preserve"> March 31, 2025.</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allocation of the purchase price based on the estimated fair values of the assets acquired and liabilities assumed and related deferred income taxes in connection with the NWL Acquisition as of the NWL Acquisition Date and reflective of measurement period adjustments (in millions):</w:t>
      </w:r>
    </w:p>
    <w:p>
      <w:pPr>
        <w:pStyle w:val="TextBody"/>
        <w:bidi w:val="0"/>
        <w:spacing w:before="0" w:after="0"/>
        <w:ind w:left="0" w:right="0" w:firstLine="720"/>
        <w:jc w:val="both"/>
        <w:rPr/>
      </w:pPr>
      <w:r>
        <w:rPr/>
        <w:t> </w:t>
      </w:r>
    </w:p>
    <w:tbl>
      <w:tblPr>
        <w:tblW w:w="3995" w:type="dxa"/>
        <w:jc w:val="left"/>
        <w:tblInd w:w="0" w:type="dxa"/>
        <w:tblLayout w:type="fixed"/>
        <w:tblCellMar>
          <w:top w:w="0" w:type="dxa"/>
          <w:left w:w="0" w:type="dxa"/>
          <w:bottom w:w="0" w:type="dxa"/>
          <w:right w:w="0" w:type="dxa"/>
        </w:tblCellMar>
      </w:tblPr>
      <w:tblGrid>
        <w:gridCol w:w="3350"/>
        <w:gridCol w:w="60"/>
        <w:gridCol w:w="125"/>
        <w:gridCol w:w="380"/>
        <w:gridCol w:w="80"/>
      </w:tblGrid>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Equity-method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tangible assets/(liabilities)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identifiable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purchase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 of the financial assets acquired includes receivables with a fair value of $16.1 million. The gross amount due is $16.9 million, of which $0.8 million is expected to be uncollectible.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Inventory includes a $0.7 million adjustment to step-up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step-up adjustment increased cost of revenue $0.7 million for the fiscal year ended </w:t>
      </w:r>
      <w:r>
        <w:rPr>
          <w:rStyle w:val="Emphasis"/>
          <w:rFonts w:ascii="Times New Roman;Times;serif" w:hAnsi="Times New Roman;Times;serif"/>
          <w:sz w:val="20"/>
        </w:rPr>
        <w:t xml:space="preserve"> March 31, 2025 </w:t>
      </w:r>
      <w:r>
        <w:rPr>
          <w:rFonts w:ascii="Times New Roman;Times;serif" w:hAnsi="Times New Roman;Times;serif"/>
          <w:sz w:val="20"/>
        </w:rPr>
        <w:t>as the inventory was sold.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Backlog of $0.7 million was evaluated using the multi period excess earnings method under the income approach. The contracts with customers do </w:t>
      </w:r>
      <w:r>
        <w:rPr>
          <w:rStyle w:val="Emphasis"/>
          <w:rFonts w:ascii="Times New Roman;Times;serif" w:hAnsi="Times New Roman;Times;serif"/>
          <w:sz w:val="20"/>
        </w:rPr>
        <w:t>not</w:t>
      </w:r>
      <w:r>
        <w:rPr>
          <w:rFonts w:ascii="Times New Roman;Times;serif" w:hAnsi="Times New Roman;Times;serif"/>
          <w:sz w:val="20"/>
        </w:rPr>
        <w:t xml:space="preserve"> provide for any guarantees to source all future requirements from the Company. The amortization method being utilized is economic consumption estimated over an eight-month period with the expense being allocated to cost of revenues.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Customer relationships of $1.3 million relates to customers currently under contract and was determined based on a multi period excess earnings method under the income approach. The method of amortization being utilized is straight line over 10 years, as the results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different from the economic consumption method, with the expense being allocated to SG&amp;A.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represents the value associated with the acquired workforce and expected synergies related to the business combination of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companies. Goodwill resulting from the NWL Acquisition was assigned to the Company’s Grid business segment. Goodwill recognized in the NWL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160" w:right="0" w:hanging="180"/>
        <w:jc w:val="left"/>
        <w:rPr>
          <w:rFonts w:ascii="Times New Roman" w:hAnsi="Times New Roman"/>
          <w:i/>
          <w:caps w:val="false"/>
          <w:smallCaps w:val="false"/>
          <w:sz w:val="20"/>
        </w:rPr>
      </w:pPr>
      <w:r>
        <w:rPr>
          <w:rFonts w:ascii="Times New Roman" w:hAnsi="Times New Roman"/>
          <w:i/>
          <w:caps w:val="false"/>
          <w:smallCaps w:val="false"/>
          <w:sz w:val="20"/>
        </w:rPr>
        <w:t>Unaudited Pro Forma Operating Results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unaudited pro forma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presented as if the NWL and Comtrafo Acquisitions had occurred on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is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3"/>
        <w:gridCol w:w="60"/>
        <w:gridCol w:w="310"/>
        <w:gridCol w:w="1740"/>
        <w:gridCol w:w="60"/>
        <w:gridCol w:w="60"/>
        <w:gridCol w:w="304"/>
        <w:gridCol w:w="1704"/>
        <w:gridCol w:w="60"/>
        <w:gridCol w:w="60"/>
        <w:gridCol w:w="356"/>
        <w:gridCol w:w="1694"/>
        <w:gridCol w:w="60"/>
        <w:gridCol w:w="60"/>
        <w:gridCol w:w="304"/>
        <w:gridCol w:w="1704"/>
        <w:gridCol w:w="66"/>
      </w:tblGrid>
      <w:tr>
        <w:trPr/>
        <w:tc>
          <w:tcPr>
            <w:tcW w:w="16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 2024</w:t>
            </w:r>
          </w:p>
        </w:tc>
        <w:tc>
          <w:tcPr>
            <w:tcW w:w="66" w:type="dxa"/>
            <w:tcBorders/>
            <w:shd w:fill="FFFFFF" w:val="cle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222,273</w:t>
            </w:r>
          </w:p>
        </w:tc>
        <w:tc>
          <w:tcPr>
            <w:tcW w:w="66" w:type="dxa"/>
            <w:tcBorders/>
            <w:shd w:fill="CCEEFF" w:val="clear"/>
            <w:vAlign w:val="center"/>
          </w:tcPr>
          <w:p>
            <w:pPr>
              <w:pStyle w:val="TableContents"/>
              <w:bidi w:val="0"/>
              <w:spacing w:before="0" w:after="283"/>
              <w:jc w:val="left"/>
              <w:rPr/>
            </w:pPr>
            <w:r>
              <w:rPr/>
              <w:t> </w:t>
            </w:r>
          </w:p>
        </w:tc>
      </w:tr>
      <w:tr>
        <w:trPr/>
        <w:tc>
          <w:tcPr>
            <w:tcW w:w="16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4,543</w:t>
            </w:r>
          </w:p>
        </w:tc>
        <w:tc>
          <w:tcPr>
            <w:tcW w:w="66" w:type="dxa"/>
            <w:tcBorders/>
            <w:shd w:fill="FFFFFF" w:val="cle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12,956</w:t>
            </w:r>
          </w:p>
        </w:tc>
        <w:tc>
          <w:tcPr>
            <w:tcW w:w="66" w:type="dxa"/>
            <w:tcBorders/>
            <w:shd w:fill="CCEEFF" w:val="clear"/>
            <w:vAlign w:val="center"/>
          </w:tcPr>
          <w:p>
            <w:pPr>
              <w:pStyle w:val="TableContents"/>
              <w:bidi w:val="0"/>
              <w:spacing w:before="0" w:after="283"/>
              <w:jc w:val="left"/>
              <w:rPr/>
            </w:pPr>
            <w:r>
              <w:rPr/>
              <w:t> </w:t>
            </w:r>
          </w:p>
        </w:tc>
      </w:tr>
      <w:tr>
        <w:trPr/>
        <w:tc>
          <w:tcPr>
            <w:tcW w:w="16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70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70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r>
      <w:tr>
        <w:trPr/>
        <w:tc>
          <w:tcPr>
            <w:tcW w:w="16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p>
        </w:tc>
        <w:tc>
          <w:tcPr>
            <w:tcW w:w="66" w:type="dxa"/>
            <w:tcBorders/>
            <w:shd w:fill="FFFFFF" w:val="cle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66" w:type="dxa"/>
            <w:tcBorders/>
            <w:shd w:fill="CCEEFF" w:val="clear"/>
            <w:vAlign w:val="center"/>
          </w:tcPr>
          <w:p>
            <w:pPr>
              <w:pStyle w:val="TableContents"/>
              <w:bidi w:val="0"/>
              <w:spacing w:before="0" w:after="283"/>
              <w:jc w:val="left"/>
              <w:rPr/>
            </w:pPr>
            <w:r>
              <w:rPr/>
              <w:t> </w:t>
            </w:r>
          </w:p>
        </w:tc>
      </w:tr>
      <w:tr>
        <w:trPr/>
        <w:tc>
          <w:tcPr>
            <w:tcW w:w="160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basic</w:t>
            </w:r>
          </w:p>
        </w:tc>
        <w:tc>
          <w:tcPr>
            <w:tcW w:w="60"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39,764</w:t>
            </w:r>
          </w:p>
        </w:tc>
        <w:tc>
          <w:tcPr>
            <w:tcW w:w="66" w:type="dxa"/>
            <w:tcBorders/>
            <w:shd w:fill="FFFFFF" w:val="clear"/>
            <w:vAlign w:val="center"/>
          </w:tcPr>
          <w:p>
            <w:pPr>
              <w:pStyle w:val="TableContents"/>
              <w:bidi w:val="0"/>
              <w:spacing w:before="0" w:after="283"/>
              <w:jc w:val="left"/>
              <w:rPr/>
            </w:pPr>
            <w:r>
              <w:rPr/>
              <w:t> </w:t>
            </w:r>
          </w:p>
        </w:tc>
      </w:tr>
      <w:tr>
        <w:trPr/>
        <w:tc>
          <w:tcPr>
            <w:tcW w:w="16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 diluted</w:t>
            </w:r>
          </w:p>
        </w:tc>
        <w:tc>
          <w:tcPr>
            <w:tcW w:w="60" w:type="dxa"/>
            <w:tcBorders/>
            <w:shd w:fill="CCEEFF" w:val="clear"/>
            <w:vAlign w:val="center"/>
          </w:tcPr>
          <w:p>
            <w:pPr>
              <w:pStyle w:val="TableContents"/>
              <w:bidi w:val="0"/>
              <w:spacing w:before="0" w:after="283"/>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40,454</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pro forma amounts include the historical operating results of the Company, NWL, and Comtrafo with appropriate adjustments that give effect to acquisition related costs, income taxes, intangible amortization resulting from the NWL and Comtrafo Acquisitions and certain conforming accounting policies of the Company.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that would have occurred if the NWL and Comtrafo Acquisitions and related transactions had been completed at the beginning of the applicable periods presented. In addition, the pro forma amounts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operating results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NWL contrib</w:t>
      </w:r>
      <w:r>
        <w:rPr>
          <w:rFonts w:ascii="Times New Roman" w:hAnsi="Times New Roman"/>
          <w:caps w:val="false"/>
          <w:smallCaps w:val="false"/>
          <w:sz w:val="20"/>
          <w:shd w:fill="FFFFFF" w:val="clear"/>
        </w:rPr>
        <w:t>uted $</w:t>
      </w:r>
      <w:r>
        <w:rPr>
          <w:rFonts w:ascii="Times New Roman" w:hAnsi="Times New Roman"/>
          <w:caps w:val="false"/>
          <w:smallCaps w:val="false"/>
          <w:sz w:val="20"/>
        </w:rPr>
        <w:t>14.1</w:t>
      </w:r>
      <w:r>
        <w:rPr>
          <w:rFonts w:ascii="Times New Roman" w:hAnsi="Times New Roman"/>
          <w:caps w:val="false"/>
          <w:smallCaps w:val="false"/>
          <w:sz w:val="20"/>
          <w:shd w:fill="FFFFFF" w:val="clear"/>
        </w:rPr>
        <w:t xml:space="preserve"> million of revenue and $</w:t>
      </w:r>
      <w:r>
        <w:rPr>
          <w:rFonts w:ascii="Times New Roman" w:hAnsi="Times New Roman"/>
          <w:caps w:val="false"/>
          <w:smallCaps w:val="false"/>
          <w:sz w:val="20"/>
        </w:rPr>
        <w:t>0.6</w:t>
      </w:r>
      <w:r>
        <w:rPr>
          <w:rFonts w:ascii="Times New Roman" w:hAnsi="Times New Roman"/>
          <w:caps w:val="false"/>
          <w:smallCaps w:val="false"/>
          <w:sz w:val="20"/>
          <w:shd w:fill="FFFFFF" w:val="clear"/>
        </w:rPr>
        <w:t xml:space="preserve"> million of net loss for the Company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shd w:fill="FFFFFF" w:val="clear"/>
        </w:rPr>
        <w:t>. NWL contributed $</w:t>
      </w:r>
      <w:r>
        <w:rPr>
          <w:rFonts w:ascii="Times New Roman" w:hAnsi="Times New Roman"/>
          <w:caps w:val="false"/>
          <w:smallCaps w:val="false"/>
          <w:sz w:val="20"/>
        </w:rPr>
        <w:t>48.3</w:t>
      </w:r>
      <w:r>
        <w:rPr>
          <w:rFonts w:ascii="Times New Roman" w:hAnsi="Times New Roman"/>
          <w:caps w:val="false"/>
          <w:smallCaps w:val="false"/>
          <w:sz w:val="20"/>
          <w:shd w:fill="FFFFFF" w:val="clear"/>
        </w:rPr>
        <w:t xml:space="preserve"> million of revenue and $</w:t>
      </w:r>
      <w:r>
        <w:rPr>
          <w:rFonts w:ascii="Times New Roman" w:hAnsi="Times New Roman"/>
          <w:caps w:val="false"/>
          <w:smallCaps w:val="false"/>
          <w:sz w:val="20"/>
        </w:rPr>
        <w:t>3.9</w:t>
      </w:r>
      <w:r>
        <w:rPr>
          <w:rFonts w:ascii="Times New Roman" w:hAnsi="Times New Roman"/>
          <w:caps w:val="false"/>
          <w:smallCaps w:val="false"/>
          <w:sz w:val="20"/>
          <w:shd w:fill="FFFFFF" w:val="clear"/>
        </w:rPr>
        <w:t xml:space="preserve"> million in n</w:t>
      </w:r>
      <w:r>
        <w:rPr>
          <w:rFonts w:ascii="Times New Roman" w:hAnsi="Times New Roman"/>
          <w:caps w:val="false"/>
          <w:smallCaps w:val="false"/>
          <w:sz w:val="20"/>
        </w:rPr>
        <w:t xml:space="preserve">et income for the Company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Amortization expense of less than $0.1 million and $0.1 million is included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 as a result of the acquired intangible assets from the NWL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Comtrafo contributed $4.6 million of revenue and $0.9 million in net income for the Company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Amortization expense of $</w:t>
      </w:r>
      <w:r>
        <w:rPr>
          <w:rFonts w:ascii="Times New Roman" w:hAnsi="Times New Roman"/>
          <w:caps w:val="false"/>
          <w:smallCaps w:val="false"/>
          <w:sz w:val="20"/>
          <w:shd w:fill="FFFFFF" w:val="clear"/>
        </w:rPr>
        <w:t>0.2</w:t>
      </w:r>
      <w:r>
        <w:rPr>
          <w:rFonts w:ascii="Times New Roman" w:hAnsi="Times New Roman"/>
          <w:caps w:val="false"/>
          <w:smallCaps w:val="false"/>
          <w:sz w:val="20"/>
        </w:rPr>
        <w:t xml:space="preserve"> million is included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as a result of the acquired intangible assets from the Comtrafo Acquisition. In addition, $0.4 million for the step-up basis assigned to acquired inventory was charged to cost of revenues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Revenue Recognition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revenues in its Grid segment are derived primarily through enabling the transmission and distribution of power, providing planning services that allow it to identify power grid needs and risks, and developing ship protection systems for the U.S. Navy. The Company’s revenues in its Wind segment are derived primarily through supplying advanced power electronics and control systems, licensing its highly engineered wind turbine designs, and providing extensive customer support services to wind turbine manufacturers. The Company records revenue based on a </w:t>
      </w:r>
      <w:r>
        <w:rPr>
          <w:rStyle w:val="Emphasis"/>
          <w:rFonts w:ascii="Times New Roman;Times;serif" w:hAnsi="Times New Roman;Times;serif"/>
          <w:sz w:val="20"/>
        </w:rPr>
        <w:t>five</w:t>
      </w:r>
      <w:r>
        <w:rPr>
          <w:rFonts w:ascii="Times New Roman;Times;serif" w:hAnsi="Times New Roman;Times;serif"/>
          <w:sz w:val="20"/>
        </w:rPr>
        <w:t xml:space="preserve">-step model in accordance with Accounting Standards Codification ("ASC") </w:t>
      </w:r>
      <w:r>
        <w:rPr>
          <w:rStyle w:val="Emphasis"/>
          <w:rFonts w:ascii="Times New Roman;Times;serif" w:hAnsi="Times New Roman;Times;serif"/>
          <w:sz w:val="20"/>
        </w:rPr>
        <w:t>606.</w:t>
      </w:r>
      <w:r>
        <w:rPr>
          <w:rFonts w:ascii="Times New Roman;Times;serif" w:hAnsi="Times New Roman;Times;serif"/>
          <w:sz w:val="20"/>
        </w:rPr>
        <w:t xml:space="preserve">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86% and 89%, respectively, of revenue was recognized at the point in time when control transferred to the customer, with the remainder being recognized over time.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2024</w:t>
      </w:r>
      <w:r>
        <w:rPr>
          <w:rFonts w:ascii="Times New Roman;Times;serif" w:hAnsi="Times New Roman;Times;serif"/>
          <w:sz w:val="20"/>
        </w:rPr>
        <w:t>, 87% and 88%, respectively, of revenue was recognized at the point in time when control transferred to the customer, with the remainder being recognized over time.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w:t>
      </w:r>
      <w:r>
        <w:rPr>
          <w:rStyle w:val="Emphasis"/>
          <w:rFonts w:ascii="Times New Roman;Times;serif" w:hAnsi="Times New Roman;Times;serif"/>
          <w:sz w:val="20"/>
        </w:rPr>
        <w:t>no</w:t>
      </w:r>
      <w:r>
        <w:rPr>
          <w:rFonts w:ascii="Times New Roman;Times;serif" w:hAnsi="Times New Roman;Times;serif"/>
          <w:sz w:val="20"/>
        </w:rPr>
        <w:t>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w:t>
      </w:r>
      <w:r>
        <w:rPr>
          <w:rStyle w:val="Emphasis"/>
          <w:rFonts w:ascii="Times New Roman;Times;serif" w:hAnsi="Times New Roman;Times;serif"/>
          <w:sz w:val="20"/>
        </w:rPr>
        <w:t>not</w:t>
      </w:r>
      <w:r>
        <w:rPr>
          <w:rFonts w:ascii="Times New Roman;Times;serif" w:hAnsi="Times New Roman;Times;serif"/>
          <w:sz w:val="20"/>
        </w:rPr>
        <w: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w:t>
      </w:r>
      <w:r>
        <w:rPr>
          <w:rStyle w:val="Emphasis"/>
          <w:rFonts w:ascii="Times New Roman;Times;serif" w:hAnsi="Times New Roman;Times;serif"/>
          <w:sz w:val="20"/>
        </w:rPr>
        <w:t>not</w:t>
      </w:r>
      <w:r>
        <w:rPr>
          <w:rFonts w:ascii="Times New Roman;Times;serif" w:hAnsi="Times New Roman;Times;serif"/>
          <w:sz w:val="20"/>
        </w:rPr>
        <w:t> assured and a contract does </w:t>
      </w:r>
      <w:r>
        <w:rPr>
          <w:rStyle w:val="Emphasis"/>
          <w:rFonts w:ascii="Times New Roman;Times;serif" w:hAnsi="Times New Roman;Times;serif"/>
          <w:sz w:val="20"/>
        </w:rPr>
        <w:t>not</w:t>
      </w:r>
      <w:r>
        <w:rPr>
          <w:rFonts w:ascii="Times New Roman;Times;serif" w:hAnsi="Times New Roman;Times;serif"/>
          <w:sz w:val="20"/>
        </w:rPr>
        <w:t> exist under ASC </w:t>
      </w:r>
      <w:r>
        <w:rPr>
          <w:rStyle w:val="Emphasis"/>
          <w:rFonts w:ascii="Times New Roman;Times;serif" w:hAnsi="Times New Roman;Times;serif"/>
          <w:sz w:val="20"/>
        </w:rPr>
        <w:t>606,</w:t>
      </w:r>
      <w:r>
        <w:rPr>
          <w:rFonts w:ascii="Times New Roman;Times;serif" w:hAnsi="Times New Roman;Times;serif"/>
          <w:sz w:val="20"/>
        </w:rPr>
        <w:t> revenue is deferred until a non-refundable payment has been received for substantially all the amount that is due and there are </w:t>
      </w:r>
      <w:r>
        <w:rPr>
          <w:rStyle w:val="Emphasis"/>
          <w:rFonts w:ascii="Times New Roman;Times;serif" w:hAnsi="Times New Roman;Times;serif"/>
          <w:sz w:val="20"/>
        </w:rPr>
        <w:t>no</w:t>
      </w:r>
      <w:r>
        <w:rPr>
          <w:rFonts w:ascii="Times New Roman;Times;serif" w:hAnsi="Times New Roman;Times;serif"/>
          <w:sz w:val="20"/>
        </w:rPr>
        <w:t> further remaining performance obligations.</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policy is </w:t>
      </w:r>
      <w:r>
        <w:rPr>
          <w:rStyle w:val="Emphasis"/>
          <w:rFonts w:ascii="Times New Roman;Times;serif" w:hAnsi="Times New Roman;Times;serif"/>
          <w:sz w:val="20"/>
        </w:rPr>
        <w:t>not</w:t>
      </w:r>
      <w:r>
        <w:rPr>
          <w:rFonts w:ascii="Times New Roman;Times;serif" w:hAnsi="Times New Roman;Times;serif"/>
          <w:sz w:val="20"/>
        </w:rPr>
        <w:t xml:space="preserve">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pStyle w:val="TextBody"/>
        <w:bidi w:val="0"/>
        <w:spacing w:before="0" w:after="0"/>
        <w:ind w:left="0" w:right="0" w:firstLine="54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Infrequently, the Company receives requests from customers to hold product being purchased from us for a valid business purpose. The Company recognizes revenues for such arrangements provided the transaction meets, at a minimum, the following criteria: the reason for the bill-and-hold arrangement must be substantive; the product must be identified separately as belonging to the customer; the product currently must be ready for physical transfer to the customer; the entity cannot have the ability to use the product or to direct it to another customer. Revenue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included $7.9 million from such held transactions. There were no such transactions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and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 December 31, 2024</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w:t>
      </w:r>
      <w:r>
        <w:rPr>
          <w:rStyle w:val="Emphasis"/>
          <w:rFonts w:ascii="Times New Roman;Times;serif" w:hAnsi="Times New Roman;Times;serif"/>
          <w:sz w:val="20"/>
        </w:rPr>
        <w:t>twelve</w:t>
      </w:r>
      <w:r>
        <w:rPr>
          <w:rFonts w:ascii="Times New Roman;Times;serif" w:hAnsi="Times New Roman;Times;serif"/>
          <w:sz w:val="20"/>
        </w:rPr>
        <w:t xml:space="preserve"> months. As of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March 31, 2025</w:t>
      </w:r>
      <w:r>
        <w:rPr>
          <w:rFonts w:ascii="Times New Roman;Times;serif" w:hAnsi="Times New Roman;Times;serif"/>
          <w:sz w:val="20"/>
        </w:rPr>
        <w:t xml:space="preserve">, the Company's capitalized incremental contract costs were </w:t>
      </w:r>
      <w:r>
        <w:rPr>
          <w:rStyle w:val="Emphasis"/>
          <w:rFonts w:ascii="Times New Roman;Times;serif" w:hAnsi="Times New Roman;Times;serif"/>
          <w:sz w:val="20"/>
        </w:rPr>
        <w:t>not</w:t>
      </w:r>
      <w:r>
        <w:rPr>
          <w:rFonts w:ascii="Times New Roman;Times;serif" w:hAnsi="Times New Roman;Times;serif"/>
          <w:sz w:val="20"/>
        </w:rPr>
        <w:t xml:space="preserve"> material. The Company has elected </w:t>
      </w:r>
      <w:r>
        <w:rPr>
          <w:rStyle w:val="Emphasis"/>
          <w:rFonts w:ascii="Times New Roman;Times;serif" w:hAnsi="Times New Roman;Times;serif"/>
          <w:sz w:val="20"/>
        </w:rPr>
        <w:t>not</w:t>
      </w:r>
      <w:r>
        <w:rPr>
          <w:rFonts w:ascii="Times New Roman;Times;serif" w:hAnsi="Times New Roman;Times;serif"/>
          <w:sz w:val="20"/>
        </w:rPr>
        <w:t xml:space="preserve"> to adjust the promised amount of consideration for the effects of a significant financing component if the period of financing is </w:t>
      </w:r>
      <w:r>
        <w:rPr>
          <w:rStyle w:val="Emphasis"/>
          <w:rFonts w:ascii="Times New Roman;Times;serif" w:hAnsi="Times New Roman;Times;serif"/>
          <w:sz w:val="20"/>
        </w:rPr>
        <w:t>twelve</w:t>
      </w:r>
      <w:r>
        <w:rPr>
          <w:rFonts w:ascii="Times New Roman;Times;serif" w:hAnsi="Times New Roman;Times;serif"/>
          <w:sz w:val="20"/>
        </w:rPr>
        <w:t xml:space="preserve"> months or less. The Company has elected to recognize revenue based on the as invoiced practical expedient if there is a right to consideration from a customer in an amount that corresponds directly with the value of the Company's performance.</w:t>
      </w:r>
    </w:p>
    <w:p>
      <w:pPr>
        <w:pStyle w:val="TextBody"/>
        <w:bidi w:val="0"/>
        <w:spacing w:before="0" w:after="0"/>
        <w:ind w:left="0" w:right="0" w:firstLine="54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Company’s contracts with customers do </w:t>
      </w:r>
      <w:r>
        <w:rPr>
          <w:rStyle w:val="Emphasis"/>
          <w:rFonts w:ascii="Times New Roman;Times;serif" w:hAnsi="Times New Roman;Times;serif"/>
          <w:sz w:val="20"/>
        </w:rPr>
        <w:t>not</w:t>
      </w:r>
      <w:r>
        <w:rPr>
          <w:rFonts w:ascii="Times New Roman;Times;serif" w:hAnsi="Times New Roman;Times;serif"/>
          <w:sz w:val="20"/>
        </w:rPr>
        <w:t xml:space="preserve"> typically include extended payment terms and </w:t>
      </w:r>
      <w:r>
        <w:rPr>
          <w:rStyle w:val="Emphasis"/>
          <w:rFonts w:ascii="Times New Roman;Times;serif" w:hAnsi="Times New Roman;Times;serif"/>
          <w:sz w:val="20"/>
        </w:rPr>
        <w:t xml:space="preserve">may </w:t>
      </w:r>
      <w:r>
        <w:rPr>
          <w:rFonts w:ascii="Times New Roman;Times;serif" w:hAnsi="Times New Roman;Times;serif"/>
          <w:sz w:val="20"/>
        </w:rPr>
        <w:t>include milestone billing over the life of the contract. Payment terms vary by contract type and type of customer and generally range from 30 to 60 days from delivery.  </w:t>
      </w:r>
    </w:p>
    <w:p>
      <w:pPr>
        <w:pStyle w:val="TextBody"/>
        <w:bidi w:val="0"/>
        <w:spacing w:before="0" w:after="0"/>
        <w:ind w:left="0" w:right="0" w:firstLine="54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product line and by shipment destination (in thousands):</w:t>
      </w:r>
    </w:p>
    <w:p>
      <w:pPr>
        <w:pStyle w:val="TextBody"/>
        <w:bidi w:val="0"/>
        <w:spacing w:before="0" w:after="0"/>
        <w:ind w:left="0" w:right="0" w:firstLine="720"/>
        <w:jc w:val="both"/>
        <w:rPr/>
      </w:pPr>
      <w:r>
        <w:rPr/>
        <w:t> </w:t>
      </w:r>
    </w:p>
    <w:tbl>
      <w:tblPr>
        <w:tblW w:w="10058" w:type="dxa"/>
        <w:jc w:val="left"/>
        <w:tblInd w:w="0" w:type="dxa"/>
        <w:tblLayout w:type="fixed"/>
        <w:tblCellMar>
          <w:top w:w="0" w:type="dxa"/>
          <w:left w:w="0" w:type="dxa"/>
          <w:bottom w:w="0" w:type="dxa"/>
          <w:right w:w="0" w:type="dxa"/>
        </w:tblCellMar>
      </w:tblPr>
      <w:tblGrid>
        <w:gridCol w:w="3125"/>
        <w:gridCol w:w="60"/>
        <w:gridCol w:w="273"/>
        <w:gridCol w:w="1292"/>
        <w:gridCol w:w="131"/>
        <w:gridCol w:w="131"/>
        <w:gridCol w:w="273"/>
        <w:gridCol w:w="1292"/>
        <w:gridCol w:w="60"/>
        <w:gridCol w:w="60"/>
        <w:gridCol w:w="249"/>
        <w:gridCol w:w="1387"/>
        <w:gridCol w:w="119"/>
        <w:gridCol w:w="119"/>
        <w:gridCol w:w="249"/>
        <w:gridCol w:w="1178"/>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 2025</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5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5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4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systems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56,004</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156,300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and technology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7,183</w:t>
            </w:r>
          </w:p>
        </w:tc>
        <w:tc>
          <w:tcPr>
            <w:tcW w:w="131"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21,316</w:t>
            </w:r>
          </w:p>
        </w:tc>
        <w:tc>
          <w:tcPr>
            <w:tcW w:w="119"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34,688</w:t>
            </w:r>
          </w:p>
        </w:tc>
        <w:tc>
          <w:tcPr>
            <w:tcW w:w="60" w:type="dxa"/>
            <w:tcBorders/>
            <w:shd w:fill="FFFFFF" w:val="clear"/>
            <w:vAlign w:val="center"/>
          </w:tcPr>
          <w:p>
            <w:pPr>
              <w:pStyle w:val="TableContents"/>
              <w:bidi w:val="0"/>
              <w:spacing w:before="0" w:after="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63,187</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177,616</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35,133</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51,974</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137,394</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7,253</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29,583</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35,022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60" w:type="dxa"/>
            <w:tcBorders/>
            <w:shd w:fill="FFFF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3,960</w:t>
            </w:r>
          </w:p>
        </w:tc>
        <w:tc>
          <w:tcPr>
            <w:tcW w:w="131"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10,639</w:t>
            </w:r>
          </w:p>
        </w:tc>
        <w:tc>
          <w:tcPr>
            <w:tcW w:w="119"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60" w:type="dxa"/>
            <w:tcBorders/>
            <w:shd w:fill="FFFFFF" w:val="clear"/>
            <w:vAlign w:val="center"/>
          </w:tcPr>
          <w:p>
            <w:pPr>
              <w:pStyle w:val="TableContents"/>
              <w:bidi w:val="0"/>
              <w:spacing w:before="0" w:after="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63,187</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177,616</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057" w:type="dxa"/>
        <w:jc w:val="left"/>
        <w:tblInd w:w="0" w:type="dxa"/>
        <w:tblLayout w:type="fixed"/>
        <w:tblCellMar>
          <w:top w:w="0" w:type="dxa"/>
          <w:left w:w="0" w:type="dxa"/>
          <w:bottom w:w="0" w:type="dxa"/>
          <w:right w:w="0" w:type="dxa"/>
        </w:tblCellMar>
      </w:tblPr>
      <w:tblGrid>
        <w:gridCol w:w="3125"/>
        <w:gridCol w:w="60"/>
        <w:gridCol w:w="293"/>
        <w:gridCol w:w="1386"/>
        <w:gridCol w:w="140"/>
        <w:gridCol w:w="140"/>
        <w:gridCol w:w="293"/>
        <w:gridCol w:w="1139"/>
        <w:gridCol w:w="60"/>
        <w:gridCol w:w="60"/>
        <w:gridCol w:w="249"/>
        <w:gridCol w:w="1387"/>
        <w:gridCol w:w="119"/>
        <w:gridCol w:w="119"/>
        <w:gridCol w:w="249"/>
        <w:gridCol w:w="1178"/>
        <w:gridCol w:w="60"/>
      </w:tblGrid>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 2024</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 Line:</w:t>
            </w:r>
          </w:p>
        </w:tc>
        <w:tc>
          <w:tcPr>
            <w:tcW w:w="60" w:type="dxa"/>
            <w:tcBorders/>
            <w:shd w:fill="FFFFFF" w:val="clear"/>
            <w:vAlign w:val="center"/>
          </w:tcPr>
          <w:p>
            <w:pPr>
              <w:pStyle w:val="TableContents"/>
              <w:bidi w:val="0"/>
              <w:spacing w:before="0" w:after="283"/>
              <w:ind w:left="0" w:right="0" w:hanging="0"/>
              <w:jc w:val="left"/>
              <w:rPr/>
            </w:pPr>
            <w:r>
              <w:rPr/>
              <w:t> </w:t>
            </w:r>
          </w:p>
        </w:tc>
        <w:tc>
          <w:tcPr>
            <w:tcW w:w="16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14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4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and systems</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48,979</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123,431</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23,357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Services and technology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3,327</w:t>
            </w:r>
          </w:p>
        </w:tc>
        <w:tc>
          <w:tcPr>
            <w:tcW w:w="14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8,147</w:t>
            </w:r>
          </w:p>
        </w:tc>
        <w:tc>
          <w:tcPr>
            <w:tcW w:w="119"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60" w:type="dxa"/>
            <w:tcBorders/>
            <w:shd w:fill="FFFFFF" w:val="clear"/>
            <w:vAlign w:val="center"/>
          </w:tcPr>
          <w:p>
            <w:pPr>
              <w:pStyle w:val="TableContents"/>
              <w:bidi w:val="0"/>
              <w:spacing w:before="0" w:after="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52,306</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131,578</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24,585</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Region:</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86"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47,737</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121,696</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Pacific</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8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2,293</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1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4,280</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24,562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60" w:type="dxa"/>
            <w:tcBorders/>
            <w:shd w:fill="FFFF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w:t>
            </w:r>
          </w:p>
        </w:tc>
        <w:tc>
          <w:tcPr>
            <w:tcW w:w="140"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5,602</w:t>
            </w:r>
          </w:p>
        </w:tc>
        <w:tc>
          <w:tcPr>
            <w:tcW w:w="119"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0"/>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52,306</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131,578</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w:t>
      </w:r>
      <w:r>
        <w:rPr>
          <w:rStyle w:val="Emphasis"/>
          <w:rFonts w:ascii="Times New Roman;Times;serif" w:hAnsi="Times New Roman;Times;serif"/>
          <w:sz w:val="20"/>
        </w:rPr>
        <w:t>8,</w:t>
      </w:r>
      <w:r>
        <w:rPr>
          <w:rFonts w:ascii="Times New Roman;Times;serif" w:hAnsi="Times New Roman;Times;serif"/>
          <w:sz w:val="20"/>
        </w:rPr>
        <w:t xml:space="preserve"> “Accounts Receivable” and Note </w:t>
      </w:r>
      <w:r>
        <w:rPr>
          <w:rStyle w:val="Emphasis"/>
          <w:rFonts w:ascii="Times New Roman;Times;serif" w:hAnsi="Times New Roman;Times;serif"/>
          <w:sz w:val="20"/>
        </w:rPr>
        <w:t>9,</w:t>
      </w:r>
      <w:r>
        <w:rPr>
          <w:rFonts w:ascii="Times New Roman;Times;serif" w:hAnsi="Times New Roman;Times;serif"/>
          <w:sz w:val="20"/>
        </w:rPr>
        <w:t xml:space="preserve">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83"/>
        <w:gridCol w:w="60"/>
        <w:gridCol w:w="290"/>
        <w:gridCol w:w="1521"/>
        <w:gridCol w:w="80"/>
        <w:gridCol w:w="60"/>
        <w:gridCol w:w="236"/>
        <w:gridCol w:w="1229"/>
        <w:gridCol w:w="80"/>
        <w:gridCol w:w="60"/>
        <w:gridCol w:w="210"/>
        <w:gridCol w:w="1098"/>
        <w:gridCol w:w="98"/>
      </w:tblGrid>
      <w:tr>
        <w:trPr/>
        <w:tc>
          <w:tcPr>
            <w:tcW w:w="51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8" w:type="dxa"/>
            <w:tcBorders/>
            <w:shd w:fill="FFFFFF" w:val="clear"/>
            <w:vAlign w:val="center"/>
          </w:tcPr>
          <w:p>
            <w:pPr>
              <w:pStyle w:val="TableContents"/>
              <w:bidi w:val="0"/>
              <w:spacing w:before="0" w:after="283"/>
              <w:jc w:val="left"/>
              <w:rPr/>
            </w:pPr>
            <w:r>
              <w:rPr/>
              <w:t> </w:t>
            </w:r>
          </w:p>
        </w:tc>
      </w:tr>
      <w:tr>
        <w:trP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as of March 31, 2025</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76,133</w:t>
            </w:r>
          </w:p>
        </w:tc>
        <w:tc>
          <w:tcPr>
            <w:tcW w:w="98" w:type="dxa"/>
            <w:tcBorders/>
            <w:shd w:fill="CCEEFF" w:val="clear"/>
            <w:vAlign w:val="center"/>
          </w:tcPr>
          <w:p>
            <w:pPr>
              <w:pStyle w:val="TableContents"/>
              <w:bidi w:val="0"/>
              <w:spacing w:before="0" w:after="283"/>
              <w:jc w:val="left"/>
              <w:rPr/>
            </w:pPr>
            <w:r>
              <w:rPr/>
              <w:t> </w:t>
            </w:r>
          </w:p>
        </w:tc>
      </w:tr>
      <w:tr>
        <w:trP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for balance acquired</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19,783</w:t>
            </w:r>
          </w:p>
        </w:tc>
        <w:tc>
          <w:tcPr>
            <w:tcW w:w="98" w:type="dxa"/>
            <w:tcBorders/>
            <w:shd w:fill="FFFFFF" w:val="clear"/>
            <w:vAlign w:val="center"/>
          </w:tcPr>
          <w:p>
            <w:pPr>
              <w:pStyle w:val="TableContents"/>
              <w:bidi w:val="0"/>
              <w:spacing w:before="0" w:after="283"/>
              <w:jc w:val="left"/>
              <w:rPr/>
            </w:pPr>
            <w:r>
              <w:rPr/>
              <w:t> </w:t>
            </w:r>
          </w:p>
        </w:tc>
      </w:tr>
      <w:tr>
        <w:trP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rStyle w:val="Emphasis"/>
              </w:rPr>
              <w:t>—</w:t>
            </w:r>
          </w:p>
        </w:tc>
        <w:tc>
          <w:tcPr>
            <w:tcW w:w="98" w:type="dxa"/>
            <w:tcBorders/>
            <w:shd w:fill="CCEEFF" w:val="clear"/>
            <w:vAlign w:val="center"/>
          </w:tcPr>
          <w:p>
            <w:pPr>
              <w:pStyle w:val="TableContents"/>
              <w:bidi w:val="0"/>
              <w:spacing w:before="0" w:after="283"/>
              <w:jc w:val="left"/>
              <w:rPr/>
            </w:pPr>
            <w:r>
              <w:rPr/>
              <w:t> </w:t>
            </w:r>
          </w:p>
        </w:tc>
      </w:tr>
      <w:tr>
        <w:trP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81,667</w:t>
            </w:r>
          </w:p>
        </w:tc>
        <w:tc>
          <w:tcPr>
            <w:tcW w:w="98" w:type="dxa"/>
            <w:tcBorders/>
            <w:shd w:fill="FFFFFF" w:val="clear"/>
            <w:vAlign w:val="center"/>
          </w:tcPr>
          <w:p>
            <w:pPr>
              <w:pStyle w:val="TableContents"/>
              <w:bidi w:val="0"/>
              <w:spacing w:before="0" w:after="283"/>
              <w:jc w:val="left"/>
              <w:rPr/>
            </w:pPr>
            <w:r>
              <w:rPr/>
              <w:t> </w:t>
            </w:r>
          </w:p>
        </w:tc>
      </w:tr>
      <w:tr>
        <w:trP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2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rStyle w:val="Emphasis"/>
              </w:rPr>
              <w:t>—</w:t>
            </w:r>
          </w:p>
        </w:tc>
        <w:tc>
          <w:tcPr>
            <w:tcW w:w="98" w:type="dxa"/>
            <w:tcBorders/>
            <w:shd w:fill="CCEEFF" w:val="clear"/>
            <w:vAlign w:val="center"/>
          </w:tcPr>
          <w:p>
            <w:pPr>
              <w:pStyle w:val="TableContents"/>
              <w:bidi w:val="0"/>
              <w:spacing w:before="0" w:after="283"/>
              <w:jc w:val="left"/>
              <w:rPr/>
            </w:pPr>
            <w:r>
              <w:rPr/>
              <w:t> </w:t>
            </w:r>
          </w:p>
        </w:tc>
      </w:tr>
      <w:tr>
        <w:trP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5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229"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(88,591</w:t>
            </w:r>
          </w:p>
        </w:tc>
        <w:tc>
          <w:tcPr>
            <w:tcW w:w="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CCEEFF" w:val="clear"/>
            <w:vAlign w:val="center"/>
          </w:tcPr>
          <w:p>
            <w:pPr>
              <w:pStyle w:val="TableContents"/>
              <w:bidi w:val="0"/>
              <w:spacing w:before="0" w:after="0"/>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98" w:type="dxa"/>
            <w:tcBorders/>
            <w:shd w:fill="CCEEFF" w:val="clear"/>
            <w:vAlign w:val="center"/>
          </w:tcPr>
          <w:p>
            <w:pPr>
              <w:pStyle w:val="TableContents"/>
              <w:bidi w:val="0"/>
              <w:spacing w:before="0" w:after="0"/>
              <w:jc w:val="left"/>
              <w:rPr/>
            </w:pPr>
            <w:r>
              <w:rPr/>
              <w:t> </w:t>
            </w:r>
          </w:p>
        </w:tc>
      </w:tr>
      <w:tr>
        <w:trPr/>
        <w:tc>
          <w:tcPr>
            <w:tcW w:w="51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89,363</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190"/>
        <w:gridCol w:w="60"/>
        <w:gridCol w:w="337"/>
        <w:gridCol w:w="1475"/>
        <w:gridCol w:w="80"/>
        <w:gridCol w:w="60"/>
        <w:gridCol w:w="252"/>
        <w:gridCol w:w="1204"/>
        <w:gridCol w:w="80"/>
        <w:gridCol w:w="60"/>
        <w:gridCol w:w="210"/>
        <w:gridCol w:w="1098"/>
        <w:gridCol w:w="99"/>
      </w:tblGrid>
      <w:tr>
        <w:trPr/>
        <w:tc>
          <w:tcPr>
            <w:tcW w:w="5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Unbilled Accounts Receivable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Deferred Program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Contract Liabilities</w:t>
            </w:r>
          </w:p>
        </w:tc>
        <w:tc>
          <w:tcPr>
            <w:tcW w:w="99" w:type="dxa"/>
            <w:tcBorders/>
            <w:shd w:fill="FFFFFF" w:val="clear"/>
            <w:vAlign w:val="center"/>
          </w:tcPr>
          <w:p>
            <w:pPr>
              <w:pStyle w:val="TableContents"/>
              <w:bidi w:val="0"/>
              <w:spacing w:before="0" w:after="283"/>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March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3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57,829</w:t>
            </w:r>
          </w:p>
        </w:tc>
        <w:tc>
          <w:tcPr>
            <w:tcW w:w="99" w:type="dxa"/>
            <w:tcBorders/>
            <w:shd w:fill="CCEEFF" w:val="clear"/>
            <w:vAlign w:val="center"/>
          </w:tcPr>
          <w:p>
            <w:pPr>
              <w:pStyle w:val="TableContents"/>
              <w:bidi w:val="0"/>
              <w:spacing w:before="0" w:after="283"/>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for balances acquired</w:t>
            </w:r>
          </w:p>
        </w:tc>
        <w:tc>
          <w:tcPr>
            <w:tcW w:w="60"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5,049</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Increases for costs incurred to fulfill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 </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rStyle w:val="Emphasis"/>
              </w:rPr>
              <w:t>—</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customer billings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pPr>
            <w:r>
              <w:rPr/>
              <w:t> </w:t>
            </w:r>
          </w:p>
        </w:tc>
        <w:tc>
          <w:tcPr>
            <w:tcW w:w="1204"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96,400</w:t>
            </w:r>
          </w:p>
        </w:tc>
        <w:tc>
          <w:tcPr>
            <w:tcW w:w="99" w:type="dxa"/>
            <w:tcBorders/>
            <w:shd w:fill="FFFFFF" w:val="clear"/>
            <w:vAlign w:val="center"/>
          </w:tcPr>
          <w:p>
            <w:pPr>
              <w:pStyle w:val="TableContents"/>
              <w:bidi w:val="0"/>
              <w:spacing w:before="0" w:after="0"/>
              <w:ind w:left="0" w:right="0" w:hanging="0"/>
              <w:jc w:val="left"/>
              <w:rPr/>
            </w:pPr>
            <w:r>
              <w:rPr/>
              <w:t> </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due to cost recognition on completed performance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 </w:t>
            </w:r>
          </w:p>
        </w:tc>
        <w:tc>
          <w:tcPr>
            <w:tcW w:w="12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1098" w:type="dxa"/>
            <w:tcBorders/>
            <w:shd w:fill="CCEEFF" w:val="clear"/>
            <w:vAlign w:val="center"/>
          </w:tcPr>
          <w:p>
            <w:pPr>
              <w:pStyle w:val="TableContents"/>
              <w:bidi w:val="0"/>
              <w:spacing w:before="0" w:after="0"/>
              <w:ind w:left="0" w:right="0" w:hanging="0"/>
              <w:jc w:val="right"/>
              <w:rPr/>
            </w:pPr>
            <w:r>
              <w:rPr>
                <w:rStyle w:val="Emphasis"/>
              </w:rPr>
              <w:t>—</w:t>
            </w:r>
          </w:p>
        </w:tc>
        <w:tc>
          <w:tcPr>
            <w:tcW w:w="99" w:type="dxa"/>
            <w:tcBorders/>
            <w:shd w:fill="CCEEFF" w:val="clear"/>
            <w:vAlign w:val="center"/>
          </w:tcPr>
          <w:p>
            <w:pPr>
              <w:pStyle w:val="TableContents"/>
              <w:bidi w:val="0"/>
              <w:spacing w:before="0" w:after="0"/>
              <w:ind w:left="0" w:right="0" w:hanging="0"/>
              <w:jc w:val="left"/>
              <w:rPr/>
            </w:pPr>
            <w:r>
              <w:rPr/>
              <w:t> </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due to recognition of revenue based on transfer of control of performance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337"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2" w:type="dxa"/>
            <w:tcBorders/>
            <w:shd w:fill="FFFFFF" w:val="clear"/>
            <w:vAlign w:val="center"/>
          </w:tcPr>
          <w:p>
            <w:pPr>
              <w:pStyle w:val="TableContents"/>
              <w:bidi w:val="0"/>
              <w:spacing w:before="0" w:after="0"/>
              <w:ind w:left="0" w:right="0" w:hanging="0"/>
              <w:jc w:val="left"/>
              <w:rPr/>
            </w:pPr>
            <w:r>
              <w:rPr/>
              <w:t> </w:t>
            </w:r>
          </w:p>
        </w:tc>
        <w:tc>
          <w:tcPr>
            <w:tcW w:w="1204"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 w:type="dxa"/>
            <w:tcBorders/>
            <w:shd w:fill="FFFFFF" w:val="clear"/>
            <w:vAlign w:val="center"/>
          </w:tcPr>
          <w:p>
            <w:pPr>
              <w:pStyle w:val="TableContents"/>
              <w:bidi w:val="0"/>
              <w:spacing w:before="0" w:after="0"/>
              <w:ind w:left="0" w:right="0" w:hanging="0"/>
              <w:jc w:val="left"/>
              <w:rPr/>
            </w:pPr>
            <w:r>
              <w:rPr/>
              <w:t> </w:t>
            </w:r>
          </w:p>
        </w:tc>
        <w:tc>
          <w:tcPr>
            <w:tcW w:w="1098"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(75,410</w:t>
            </w:r>
          </w:p>
        </w:tc>
        <w:tc>
          <w:tcPr>
            <w:tcW w:w="9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changes and FX impact</w:t>
            </w:r>
          </w:p>
        </w:tc>
        <w:tc>
          <w:tcPr>
            <w:tcW w:w="60" w:type="dxa"/>
            <w:tcBorders/>
            <w:shd w:fill="CCEEFF" w:val="clear"/>
            <w:vAlign w:val="center"/>
          </w:tcPr>
          <w:p>
            <w:pPr>
              <w:pStyle w:val="TableContents"/>
              <w:bidi w:val="0"/>
              <w:spacing w:before="0" w:after="0"/>
              <w:ind w:left="0" w:right="0" w:hanging="0"/>
              <w:jc w:val="left"/>
              <w:rPr/>
            </w:pPr>
            <w:r>
              <w:rPr/>
              <w:t> </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99"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December 31, 2024</w:t>
            </w:r>
          </w:p>
        </w:tc>
        <w:tc>
          <w:tcPr>
            <w:tcW w:w="60" w:type="dxa"/>
            <w:tcBorders/>
            <w:shd w:fill="FFFFFF" w:val="clear"/>
            <w:vAlign w:val="center"/>
          </w:tcPr>
          <w:p>
            <w:pPr>
              <w:pStyle w:val="TableContents"/>
              <w:bidi w:val="0"/>
              <w:spacing w:before="0" w:after="283"/>
              <w:ind w:left="0" w:right="0" w:hanging="0"/>
              <w:jc w:val="left"/>
              <w:rPr/>
            </w:pPr>
            <w:r>
              <w:rPr/>
              <w:t> </w:t>
            </w:r>
          </w:p>
        </w:tc>
        <w:tc>
          <w:tcPr>
            <w:tcW w:w="3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83,328</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 xml:space="preserve">The Company’s remaining performance obligations represent the unrecognized revenue value of the Company’s contractual commitments. The Company’s performance obligations </w:t>
      </w:r>
      <w:r>
        <w:rPr>
          <w:rStyle w:val="Emphasis"/>
          <w:rFonts w:ascii="Times New Roman;Times;serif" w:hAnsi="Times New Roman;Times;serif"/>
          <w:sz w:val="20"/>
        </w:rPr>
        <w:t xml:space="preserve">may </w:t>
      </w:r>
      <w:r>
        <w:rPr>
          <w:rFonts w:ascii="Times New Roman;Times;serif" w:hAnsi="Times New Roman;Times;serif"/>
          <w:sz w:val="20"/>
        </w:rPr>
        <w:t xml:space="preserve">vary significantly each reporting period based on the timing of major new contractual commitments. As of </w:t>
      </w:r>
      <w:r>
        <w:rPr>
          <w:rStyle w:val="Emphasis"/>
          <w:rFonts w:ascii="Times New Roman;Times;serif" w:hAnsi="Times New Roman;Times;serif"/>
          <w:sz w:val="20"/>
        </w:rPr>
        <w:t>December 31, 2025</w:t>
      </w:r>
      <w:r>
        <w:rPr>
          <w:rFonts w:ascii="Times New Roman;Times;serif" w:hAnsi="Times New Roman;Times;serif"/>
          <w:sz w:val="20"/>
        </w:rPr>
        <w:t xml:space="preserve">, the Company had outstanding performance obligations on existing contracts under ASC </w:t>
      </w:r>
      <w:r>
        <w:rPr>
          <w:rStyle w:val="Emphasis"/>
          <w:rFonts w:ascii="Times New Roman;Times;serif" w:hAnsi="Times New Roman;Times;serif"/>
          <w:sz w:val="20"/>
        </w:rPr>
        <w:t>606</w:t>
      </w:r>
      <w:r>
        <w:rPr>
          <w:rFonts w:ascii="Times New Roman;Times;serif" w:hAnsi="Times New Roman;Times;serif"/>
          <w:sz w:val="20"/>
        </w:rPr>
        <w:t xml:space="preserve"> to be recognized in the next twelve months of approximately $253.5 </w:t>
      </w:r>
      <w:r>
        <w:rPr>
          <w:rFonts w:ascii="Times New Roman;Times;serif" w:hAnsi="Times New Roman;Times;serif"/>
          <w:sz w:val="20"/>
          <w:shd w:fill="FFFFFF" w:val="clear"/>
        </w:rPr>
        <w:t>million</w:t>
      </w:r>
      <w:r>
        <w:rPr>
          <w:rFonts w:ascii="Times New Roman;Times;serif" w:hAnsi="Times New Roman;Times;serif"/>
          <w:sz w:val="20"/>
        </w:rPr>
        <w:t>. There are also approximately $99.7 m</w:t>
      </w:r>
      <w:r>
        <w:rPr>
          <w:rFonts w:ascii="Times New Roman;Times;serif" w:hAnsi="Times New Roman;Times;serif"/>
          <w:sz w:val="20"/>
          <w:shd w:fill="FFFFFF" w:val="clear"/>
        </w:rPr>
        <w:t>illion o</w:t>
      </w:r>
      <w:r>
        <w:rPr>
          <w:rFonts w:ascii="Times New Roman;Times;serif" w:hAnsi="Times New Roman;Times;serif"/>
          <w:sz w:val="20"/>
        </w:rPr>
        <w:t>f outstanding performance obligations to be recognized over a period of thirteen to sixty months. The remaining performance obligations are subject to customer actions and therefore the timing of revenue recognition cannot be reasonably estimated. </w:t>
      </w:r>
    </w:p>
    <w:p>
      <w:pPr>
        <w:pStyle w:val="TextBody"/>
        <w:bidi w:val="0"/>
        <w:spacing w:before="0" w:after="0"/>
        <w:ind w:left="0" w:right="0" w:firstLine="555"/>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following table sets forth customers who represented </w:t>
      </w:r>
      <w:r>
        <w:rPr>
          <w:rStyle w:val="Emphasis"/>
          <w:rFonts w:ascii="Times New Roman;Times;serif" w:hAnsi="Times New Roman;Times;serif"/>
          <w:sz w:val="20"/>
        </w:rPr>
        <w:t>10%</w:t>
      </w:r>
      <w:r>
        <w:rPr>
          <w:rFonts w:ascii="Times New Roman;Times;serif" w:hAnsi="Times New Roman;Times;serif"/>
          <w:sz w:val="20"/>
        </w:rPr>
        <w:t xml:space="preserve"> or more of the Company’s total revenues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2024:</w:t>
      </w:r>
    </w:p>
    <w:p>
      <w:pPr>
        <w:pStyle w:val="TextBody"/>
        <w:bidi w:val="0"/>
        <w:spacing w:before="0" w:after="0"/>
        <w:ind w:left="0" w:right="0" w:hanging="0"/>
        <w:jc w:val="left"/>
        <w:rPr/>
      </w:pPr>
      <w:r>
        <w:rPr/>
        <w:t> </w:t>
      </w:r>
    </w:p>
    <w:tbl>
      <w:tblPr>
        <w:tblW w:w="6444" w:type="dxa"/>
        <w:jc w:val="left"/>
        <w:tblInd w:w="0" w:type="dxa"/>
        <w:tblLayout w:type="fixed"/>
        <w:tblCellMar>
          <w:top w:w="0" w:type="dxa"/>
          <w:left w:w="0" w:type="dxa"/>
          <w:bottom w:w="0" w:type="dxa"/>
          <w:right w:w="0" w:type="dxa"/>
        </w:tblCellMar>
      </w:tblPr>
      <w:tblGrid>
        <w:gridCol w:w="1580"/>
        <w:gridCol w:w="950"/>
        <w:gridCol w:w="60"/>
        <w:gridCol w:w="77"/>
        <w:gridCol w:w="644"/>
        <w:gridCol w:w="238"/>
        <w:gridCol w:w="77"/>
        <w:gridCol w:w="77"/>
        <w:gridCol w:w="644"/>
        <w:gridCol w:w="185"/>
        <w:gridCol w:w="60"/>
        <w:gridCol w:w="73"/>
        <w:gridCol w:w="611"/>
        <w:gridCol w:w="226"/>
        <w:gridCol w:w="73"/>
        <w:gridCol w:w="73"/>
        <w:gridCol w:w="611"/>
        <w:gridCol w:w="185"/>
      </w:tblGrid>
      <w:tr>
        <w:trPr/>
        <w:tc>
          <w:tcPr>
            <w:tcW w:w="158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Reportable</w:t>
            </w:r>
          </w:p>
        </w:tc>
        <w:tc>
          <w:tcPr>
            <w:tcW w:w="60" w:type="dxa"/>
            <w:tcBorders/>
            <w:shd w:fill="FFFFFF" w:val="clear"/>
            <w:vAlign w:val="center"/>
          </w:tcPr>
          <w:p>
            <w:pPr>
              <w:pStyle w:val="TableContents"/>
              <w:bidi w:val="0"/>
              <w:spacing w:before="0" w:after="283"/>
              <w:ind w:left="0" w:right="0" w:hanging="0"/>
              <w:jc w:val="left"/>
              <w:rPr/>
            </w:pPr>
            <w:r>
              <w:rPr/>
              <w:t> </w:t>
            </w:r>
          </w:p>
        </w:tc>
        <w:tc>
          <w:tcPr>
            <w:tcW w:w="17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Segment</w:t>
            </w:r>
          </w:p>
        </w:tc>
        <w:tc>
          <w:tcPr>
            <w:tcW w:w="60" w:type="dxa"/>
            <w:tcBorders/>
            <w:shd w:fill="FFFFFF" w:val="clear"/>
            <w:vAlign w:val="center"/>
          </w:tcPr>
          <w:p>
            <w:pPr>
              <w:pStyle w:val="TableContents"/>
              <w:bidi w:val="0"/>
              <w:spacing w:before="0" w:after="283"/>
              <w:ind w:left="0" w:right="0" w:hanging="0"/>
              <w:jc w:val="left"/>
              <w:rPr/>
            </w:pPr>
            <w:r>
              <w:rPr/>
              <w:t> </w:t>
            </w:r>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3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Inox Wind Limited</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Wind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Innomotics LLC</w:t>
            </w:r>
          </w:p>
        </w:tc>
        <w:tc>
          <w:tcPr>
            <w:tcW w:w="950"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&lt;10%</w:t>
            </w:r>
          </w:p>
        </w:tc>
        <w:tc>
          <w:tcPr>
            <w:tcW w:w="238"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&lt;10%</w:t>
            </w:r>
          </w:p>
        </w:tc>
        <w:tc>
          <w:tcPr>
            <w:tcW w:w="22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6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&lt;10%</w:t>
            </w:r>
          </w:p>
        </w:tc>
        <w:tc>
          <w:tcPr>
            <w:tcW w:w="185"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Fuji Bridex Pte Ltd</w:t>
            </w:r>
          </w:p>
        </w:tc>
        <w:tc>
          <w:tcPr>
            <w:tcW w:w="950"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&lt;10%</w:t>
            </w:r>
          </w:p>
        </w:tc>
        <w:tc>
          <w:tcPr>
            <w:tcW w:w="23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&lt;10%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2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&lt;10%</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4.</w:t>
      </w:r>
      <w:r>
        <w:rPr>
          <w:rFonts w:ascii="Times New Roman;Times;serif" w:hAnsi="Times New Roman;Times;serif"/>
          <w:b/>
          <w:sz w:val="20"/>
        </w:rPr>
        <w:t xml:space="preserve"> Stock-Based Compensation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accounts for its stock-based compensation at fair value. The following table summarizes stock-based compensation expense by financial statement line item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(in thousands):</w:t>
      </w:r>
    </w:p>
    <w:p>
      <w:pPr>
        <w:pStyle w:val="TextBody"/>
        <w:bidi w:val="0"/>
        <w:spacing w:before="0" w:after="0"/>
        <w:ind w:left="0" w:right="0" w:hanging="0"/>
        <w:jc w:val="both"/>
        <w:rPr/>
      </w:pPr>
      <w:r>
        <w:rPr/>
        <w:t> </w:t>
      </w:r>
    </w:p>
    <w:tbl>
      <w:tblPr>
        <w:tblW w:w="8859" w:type="dxa"/>
        <w:jc w:val="left"/>
        <w:tblInd w:w="0" w:type="dxa"/>
        <w:tblLayout w:type="fixed"/>
        <w:tblCellMar>
          <w:top w:w="0" w:type="dxa"/>
          <w:left w:w="0" w:type="dxa"/>
          <w:bottom w:w="0" w:type="dxa"/>
          <w:right w:w="0" w:type="dxa"/>
        </w:tblCellMar>
      </w:tblPr>
      <w:tblGrid>
        <w:gridCol w:w="2855"/>
        <w:gridCol w:w="60"/>
        <w:gridCol w:w="273"/>
        <w:gridCol w:w="1060"/>
        <w:gridCol w:w="131"/>
        <w:gridCol w:w="131"/>
        <w:gridCol w:w="273"/>
        <w:gridCol w:w="1060"/>
        <w:gridCol w:w="60"/>
        <w:gridCol w:w="60"/>
        <w:gridCol w:w="245"/>
        <w:gridCol w:w="1159"/>
        <w:gridCol w:w="117"/>
        <w:gridCol w:w="117"/>
        <w:gridCol w:w="245"/>
        <w:gridCol w:w="953"/>
        <w:gridCol w:w="6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1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1,703</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w:t>
            </w:r>
          </w:p>
        </w:tc>
        <w:tc>
          <w:tcPr>
            <w:tcW w:w="131"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9,536</w:t>
            </w:r>
          </w:p>
        </w:tc>
        <w:tc>
          <w:tcPr>
            <w:tcW w:w="117" w:type="dxa"/>
            <w:tcBorders/>
            <w:shd w:fill="CCEEFF" w:val="clear"/>
            <w:vAlign w:val="center"/>
          </w:tcPr>
          <w:p>
            <w:pPr>
              <w:pStyle w:val="TableContents"/>
              <w:bidi w:val="0"/>
              <w:spacing w:before="0" w:after="0"/>
              <w:ind w:left="0" w:right="0" w:hanging="0"/>
              <w:jc w:val="left"/>
              <w:rPr/>
            </w:pPr>
            <w:r>
              <w:rPr/>
              <w:t> </w:t>
            </w:r>
          </w:p>
        </w:tc>
        <w:tc>
          <w:tcPr>
            <w:tcW w:w="117" w:type="dxa"/>
            <w:tcBorders/>
            <w:shd w:fill="CCEEFF" w:val="clear"/>
            <w:vAlign w:val="center"/>
          </w:tcPr>
          <w:p>
            <w:pPr>
              <w:pStyle w:val="TableContents"/>
              <w:bidi w:val="0"/>
              <w:spacing w:before="0" w:after="0"/>
              <w:ind w:left="0" w:right="0" w:hanging="0"/>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3,927</w:t>
            </w:r>
          </w:p>
        </w:tc>
        <w:tc>
          <w:tcPr>
            <w:tcW w:w="60" w:type="dxa"/>
            <w:tcBorders/>
            <w:shd w:fill="CCEEFF" w:val="clear"/>
            <w:vAlign w:val="center"/>
          </w:tcPr>
          <w:p>
            <w:pPr>
              <w:pStyle w:val="TableContents"/>
              <w:bidi w:val="0"/>
              <w:spacing w:before="0" w:after="0"/>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12,114</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issued no shares and 887,000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respectively. The Company issued no shares and 39,445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respectively. The Company issued 30,000 shares and 872,500 shares of restricted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2024</w:t>
      </w:r>
      <w:r>
        <w:rPr>
          <w:rFonts w:ascii="Times New Roman;Times;serif" w:hAnsi="Times New Roman;Times;serif"/>
          <w:sz w:val="20"/>
        </w:rPr>
        <w:t xml:space="preserve">, respectively. The Company issued no shares and 19,200 shares of immediately vested common stock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2024</w:t>
      </w:r>
      <w:r>
        <w:rPr>
          <w:rFonts w:ascii="Times New Roman;Times;serif" w:hAnsi="Times New Roman;Times;serif"/>
          <w:sz w:val="20"/>
        </w:rPr>
        <w:t>, respectively.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granted no stock options and 2,112 stock options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respectively. The Company granted no stock options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2024</w:t>
      </w:r>
      <w:r>
        <w:rPr>
          <w:rFonts w:ascii="Times New Roman;Times;serif" w:hAnsi="Times New Roman;Times;serif"/>
          <w:sz w:val="20"/>
        </w:rPr>
        <w:t>. The stock options granted during the </w:t>
      </w:r>
      <w:r>
        <w:rPr>
          <w:rStyle w:val="Emphasis"/>
          <w:rFonts w:ascii="Times New Roman;Times;serif" w:hAnsi="Times New Roman;Times;serif"/>
          <w:sz w:val="20"/>
        </w:rPr>
        <w:t>nine</w:t>
      </w:r>
      <w:r>
        <w:rPr>
          <w:rFonts w:ascii="Times New Roman;Times;serif" w:hAnsi="Times New Roman;Times;serif"/>
          <w:sz w:val="20"/>
        </w:rPr>
        <w:t> months ended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will vest over 2 years. The estimated fair value of the Company’s stock-based awards, less expected annual forfeitures, is amortized over the </w:t>
      </w:r>
      <w:r>
        <w:rPr>
          <w:rFonts w:ascii="Times New Roman;Times;serif" w:hAnsi="Times New Roman;Times;serif"/>
          <w:sz w:val="20"/>
          <w:shd w:fill="FFFFFF" w:val="clear"/>
        </w:rPr>
        <w:t xml:space="preserve">awards’ service period. There were less than $0.1 million of unrecognized compensation costs for unvested stock options </w:t>
      </w:r>
      <w:r>
        <w:rPr>
          <w:rFonts w:ascii="Times New Roman;Times;serif" w:hAnsi="Times New Roman;Times;serif"/>
          <w:sz w:val="20"/>
        </w:rPr>
        <w:t>as</w:t>
      </w:r>
      <w:r>
        <w:rPr>
          <w:rFonts w:ascii="Times New Roman;Times;serif" w:hAnsi="Times New Roman;Times;serif"/>
          <w:sz w:val="20"/>
          <w:shd w:fill="FFFFFF" w:val="clear"/>
        </w:rPr>
        <w:t xml:space="preserve"> of </w:t>
      </w:r>
      <w:r>
        <w:rPr>
          <w:rStyle w:val="Emphasis"/>
          <w:rFonts w:ascii="Times New Roman;Times;serif" w:hAnsi="Times New Roman;Times;serif"/>
          <w:sz w:val="20"/>
          <w:shd w:fill="FFFFFF" w:val="clear"/>
        </w:rPr>
        <w:t>December 31, 2025</w:t>
      </w:r>
      <w:r>
        <w:rPr>
          <w:rFonts w:ascii="Times New Roman;Times;serif" w:hAnsi="Times New Roman;Times;serif"/>
          <w:sz w:val="20"/>
          <w:shd w:fill="FFFFFF" w:val="clear"/>
        </w:rPr>
        <w:t xml:space="preserve">. </w:t>
      </w:r>
      <w:r>
        <w:rPr>
          <w:rFonts w:ascii="Times New Roman;Times;serif" w:hAnsi="Times New Roman;Times;serif"/>
          <w:sz w:val="20"/>
        </w:rPr>
        <w:t xml:space="preserve">This expense will be recognized over a weighted average period of approximately 1.4 years. </w:t>
      </w:r>
      <w:r>
        <w:rPr>
          <w:rFonts w:ascii="Times New Roman;Times;serif" w:hAnsi="Times New Roman;Times;serif"/>
          <w:sz w:val="20"/>
          <w:shd w:fill="FFFFFF" w:val="clear"/>
        </w:rPr>
        <w:t xml:space="preserve">The total unrecognized compensation cost for unvested outstanding restricted stock was </w:t>
      </w:r>
      <w:r>
        <w:rPr>
          <w:rFonts w:ascii="Times New Roman;Times;serif" w:hAnsi="Times New Roman;Times;serif"/>
          <w:sz w:val="20"/>
        </w:rPr>
        <w:t>$24.9 mi</w:t>
      </w:r>
      <w:r>
        <w:rPr>
          <w:rFonts w:ascii="Times New Roman;Times;serif" w:hAnsi="Times New Roman;Times;serif"/>
          <w:sz w:val="20"/>
          <w:shd w:fill="FFFFFF" w:val="clear"/>
        </w:rPr>
        <w:t>llion as of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shd w:fill="FFFFFF" w:val="clear"/>
        </w:rPr>
        <w:t>. This expense will be recognized over a weighted-average expense period of approximately 1.7 years.</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weighted average assumptions used in the Black Scholes valuation model for stock options granted during the </w:t>
      </w:r>
      <w:r>
        <w:rPr>
          <w:rStyle w:val="Emphasis"/>
          <w:rFonts w:ascii="Times New Roman;Times;serif" w:hAnsi="Times New Roman;Times;serif"/>
          <w:sz w:val="20"/>
        </w:rPr>
        <w:t>nine</w:t>
      </w:r>
      <w:r>
        <w:rPr>
          <w:rFonts w:ascii="Times New Roman;Times;serif" w:hAnsi="Times New Roman;Times;serif"/>
          <w:sz w:val="20"/>
        </w:rPr>
        <w:t> months ended </w:t>
      </w:r>
      <w:r>
        <w:rPr>
          <w:rStyle w:val="Emphasis"/>
          <w:rFonts w:ascii="Times New Roman;Times;serif" w:hAnsi="Times New Roman;Times;serif"/>
          <w:sz w:val="20"/>
        </w:rPr>
        <w:t xml:space="preserve"> December 31, 2025</w:t>
      </w:r>
      <w:r>
        <w:rPr>
          <w:rFonts w:ascii="Times New Roman;Times;serif" w:hAnsi="Times New Roman;Times;serif"/>
          <w:sz w:val="20"/>
        </w:rPr>
        <w:t> are as follows:</w:t>
      </w:r>
    </w:p>
    <w:p>
      <w:pPr>
        <w:pStyle w:val="TextBody"/>
        <w:bidi w:val="0"/>
        <w:spacing w:before="0" w:after="0"/>
        <w:ind w:left="0" w:right="0" w:hanging="0"/>
        <w:jc w:val="both"/>
        <w:rPr/>
      </w:pPr>
      <w:r>
        <w:rPr/>
        <w:t> </w:t>
      </w:r>
    </w:p>
    <w:tbl>
      <w:tblPr>
        <w:tblW w:w="4829" w:type="dxa"/>
        <w:jc w:val="left"/>
        <w:tblInd w:w="0" w:type="dxa"/>
        <w:tblLayout w:type="fixed"/>
        <w:tblCellMar>
          <w:top w:w="0" w:type="dxa"/>
          <w:left w:w="0" w:type="dxa"/>
          <w:bottom w:w="0" w:type="dxa"/>
          <w:right w:w="0" w:type="dxa"/>
        </w:tblCellMar>
      </w:tblPr>
      <w:tblGrid>
        <w:gridCol w:w="1745"/>
        <w:gridCol w:w="60"/>
        <w:gridCol w:w="312"/>
        <w:gridCol w:w="2527"/>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ind w:left="0" w:right="0" w:hanging="0"/>
              <w:jc w:val="left"/>
              <w:rPr/>
            </w:pPr>
            <w:r>
              <w:rPr/>
              <w:t> </w:t>
            </w:r>
          </w:p>
        </w:tc>
        <w:tc>
          <w:tcPr>
            <w:tcW w:w="2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ind w:left="0" w:right="0" w:hanging="0"/>
              <w:jc w:val="left"/>
              <w:rPr/>
            </w:pPr>
            <w:r>
              <w:rPr/>
              <w:t> </w:t>
            </w:r>
          </w:p>
        </w:tc>
        <w:tc>
          <w:tcPr>
            <w:tcW w:w="2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(years)</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ind w:left="0" w:right="0" w:hanging="0"/>
              <w:jc w:val="left"/>
              <w:rPr/>
            </w:pPr>
            <w:r>
              <w:rPr/>
              <w:t> </w:t>
            </w:r>
          </w:p>
        </w:tc>
        <w:tc>
          <w:tcPr>
            <w:tcW w:w="2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60" w:type="dxa"/>
            <w:tcBorders/>
            <w:shd w:fill="FFFFFF" w:val="clear"/>
            <w:vAlign w:val="center"/>
          </w:tcPr>
          <w:p>
            <w:pPr>
              <w:pStyle w:val="TableContents"/>
              <w:bidi w:val="0"/>
              <w:spacing w:before="0" w:after="283"/>
              <w:ind w:left="0" w:right="0" w:hanging="0"/>
              <w:jc w:val="left"/>
              <w:rPr/>
            </w:pPr>
            <w:r>
              <w:rPr/>
              <w:t> </w:t>
            </w:r>
          </w:p>
        </w:tc>
        <w:tc>
          <w:tcPr>
            <w:tcW w:w="2839"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None</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18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5.</w:t>
      </w:r>
      <w:r>
        <w:rPr>
          <w:rFonts w:ascii="Times New Roman;Times;serif" w:hAnsi="Times New Roman;Times;serif"/>
          <w:b/>
          <w:sz w:val="20"/>
        </w:rPr>
        <w:t xml:space="preserve"> Computation of Net Income per Share of Common Stock</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Basic net income per share (“EPS”) is computed by dividing net income by the weighted-average number of common shares outstanding for the period. Where applicable, diluted EPS is computed by dividing the net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are excluded from the computation of diluted EPS as the effect of their inclusion would be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496,105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495,834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271 shares relate to outstanding stock options that were considered anti-dilutive.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508,391 shares were </w:t>
      </w:r>
      <w:r>
        <w:rPr>
          <w:rStyle w:val="Emphasis"/>
          <w:rFonts w:ascii="Times New Roman;Times;serif" w:hAnsi="Times New Roman;Times;serif"/>
          <w:sz w:val="20"/>
        </w:rPr>
        <w:t>not</w:t>
      </w:r>
      <w:r>
        <w:rPr>
          <w:rFonts w:ascii="Times New Roman;Times;serif" w:hAnsi="Times New Roman;Times;serif"/>
          <w:sz w:val="20"/>
        </w:rPr>
        <w:t xml:space="preserve"> included in the calculation of diluted EPS. Of these, 507,895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xml:space="preserve"> met and 496 shares relate to outstanding stock options that were considered anti-dilutive.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December 31, 2024</w:t>
      </w:r>
      <w:r>
        <w:rPr>
          <w:rFonts w:ascii="Times New Roman;Times;serif" w:hAnsi="Times New Roman;Times;serif"/>
          <w:sz w:val="20"/>
        </w:rPr>
        <w:t>, 475,971 shares were </w:t>
      </w:r>
      <w:r>
        <w:rPr>
          <w:rStyle w:val="Emphasis"/>
          <w:rFonts w:ascii="Times New Roman;Times;serif" w:hAnsi="Times New Roman;Times;serif"/>
          <w:sz w:val="20"/>
        </w:rPr>
        <w:t>not</w:t>
      </w:r>
      <w:r>
        <w:rPr>
          <w:rFonts w:ascii="Times New Roman;Times;serif" w:hAnsi="Times New Roman;Times;serif"/>
          <w:sz w:val="20"/>
        </w:rPr>
        <w:t> included in the calculation of diluted EPS. Of these, 475,971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met.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 December 31, 2024</w:t>
      </w:r>
      <w:r>
        <w:rPr>
          <w:rFonts w:ascii="Times New Roman;Times;serif" w:hAnsi="Times New Roman;Times;serif"/>
          <w:sz w:val="20"/>
        </w:rPr>
        <w:t>, 471,985 shares were </w:t>
      </w:r>
      <w:r>
        <w:rPr>
          <w:rStyle w:val="Emphasis"/>
          <w:rFonts w:ascii="Times New Roman;Times;serif" w:hAnsi="Times New Roman;Times;serif"/>
          <w:sz w:val="20"/>
        </w:rPr>
        <w:t>not</w:t>
      </w:r>
      <w:r>
        <w:rPr>
          <w:rFonts w:ascii="Times New Roman;Times;serif" w:hAnsi="Times New Roman;Times;serif"/>
          <w:sz w:val="20"/>
        </w:rPr>
        <w:t> included in the calculation of diluted EPS. Of these, 471,768 were shares of performance-based restricted stock where the contingency was </w:t>
      </w:r>
      <w:r>
        <w:rPr>
          <w:rStyle w:val="Emphasis"/>
          <w:rFonts w:ascii="Times New Roman;Times;serif" w:hAnsi="Times New Roman;Times;serif"/>
          <w:sz w:val="20"/>
        </w:rPr>
        <w:t>not</w:t>
      </w:r>
      <w:r>
        <w:rPr>
          <w:rFonts w:ascii="Times New Roman;Times;serif" w:hAnsi="Times New Roman;Times;serif"/>
          <w:sz w:val="20"/>
        </w:rPr>
        <w:t> met. Of the remaining shares, 217 shares relate to outstanding stock awards that were considered anti-dilutive.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The following table reconciles the numerators and denominators of the earnings per share calculation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xml:space="preserve"> (in thousands, except per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15"/>
        <w:gridCol w:w="60"/>
        <w:gridCol w:w="212"/>
        <w:gridCol w:w="1182"/>
        <w:gridCol w:w="135"/>
        <w:gridCol w:w="101"/>
        <w:gridCol w:w="212"/>
        <w:gridCol w:w="1004"/>
        <w:gridCol w:w="80"/>
        <w:gridCol w:w="60"/>
        <w:gridCol w:w="205"/>
        <w:gridCol w:w="1147"/>
        <w:gridCol w:w="131"/>
        <w:gridCol w:w="98"/>
        <w:gridCol w:w="205"/>
        <w:gridCol w:w="974"/>
        <w:gridCol w:w="84"/>
      </w:tblGrid>
      <w:tr>
        <w:trPr/>
        <w:tc>
          <w:tcPr>
            <w:tcW w:w="4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w:t>
            </w:r>
          </w:p>
        </w:tc>
        <w:tc>
          <w:tcPr>
            <w:tcW w:w="84" w:type="dxa"/>
            <w:tcBorders/>
            <w:shd w:fill="FFFF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2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4" w:type="dxa"/>
            <w:tcBorders/>
            <w:shd w:fill="FFFFFF" w:val="clear"/>
            <w:vAlign w:val="center"/>
          </w:tcPr>
          <w:p>
            <w:pPr>
              <w:pStyle w:val="TableContents"/>
              <w:bidi w:val="0"/>
              <w:spacing w:before="0" w:after="283"/>
              <w:jc w:val="left"/>
              <w:rPr/>
            </w:pPr>
            <w:r>
              <w:rPr/>
              <w:t> </w:t>
            </w:r>
          </w:p>
        </w:tc>
      </w:tr>
      <w:tr>
        <w:trPr/>
        <w:tc>
          <w:tcPr>
            <w:tcW w:w="4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117,806</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129,280</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4,828</w:t>
            </w:r>
          </w:p>
        </w:tc>
        <w:tc>
          <w:tcPr>
            <w:tcW w:w="84" w:type="dxa"/>
            <w:tcBorders/>
            <w:shd w:fill="FFFFFF" w:val="clear"/>
            <w:vAlign w:val="center"/>
          </w:tcPr>
          <w:p>
            <w:pPr>
              <w:pStyle w:val="TableContents"/>
              <w:bidi w:val="0"/>
              <w:spacing w:before="0" w:after="283"/>
              <w:jc w:val="left"/>
              <w:rPr/>
            </w:pPr>
            <w:r>
              <w:rPr/>
              <w:t> </w:t>
            </w:r>
          </w:p>
        </w:tc>
      </w:tr>
      <w:tr>
        <w:trPr/>
        <w:tc>
          <w:tcPr>
            <w:tcW w:w="4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4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45,872</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43,980</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38,127</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4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subject to repurchase</w:t>
            </w:r>
          </w:p>
        </w:tc>
        <w:tc>
          <w:tcPr>
            <w:tcW w:w="60" w:type="dxa"/>
            <w:tcBorders/>
            <w:shd w:fill="CCEE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w:t>
            </w:r>
          </w:p>
        </w:tc>
        <w:tc>
          <w:tcPr>
            <w:tcW w:w="1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(1,943</w:t>
            </w:r>
          </w:p>
        </w:tc>
        <w:tc>
          <w:tcPr>
            <w:tcW w:w="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c>
          <w:tcPr>
            <w:tcW w:w="84"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per-share calculation ― basic</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43,957</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42,036</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36,766</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4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per-share calculation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44,939</w:t>
            </w:r>
          </w:p>
        </w:tc>
        <w:tc>
          <w:tcPr>
            <w:tcW w:w="135"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38,463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42,975</w:t>
            </w:r>
          </w:p>
        </w:tc>
        <w:tc>
          <w:tcPr>
            <w:tcW w:w="131"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37,457</w:t>
            </w:r>
          </w:p>
        </w:tc>
        <w:tc>
          <w:tcPr>
            <w:tcW w:w="84" w:type="dxa"/>
            <w:tcBorders/>
            <w:shd w:fill="CCEEFF" w:val="clear"/>
            <w:vAlign w:val="center"/>
          </w:tcPr>
          <w:p>
            <w:pPr>
              <w:pStyle w:val="TableContents"/>
              <w:bidi w:val="0"/>
              <w:spacing w:before="0" w:after="0"/>
              <w:jc w:val="left"/>
              <w:rPr/>
            </w:pPr>
            <w:r>
              <w:rPr/>
              <w:t> </w:t>
            </w:r>
          </w:p>
        </w:tc>
      </w:tr>
      <w:tr>
        <w:trPr/>
        <w:tc>
          <w:tcPr>
            <w:tcW w:w="4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 basic</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w:t>
            </w:r>
          </w:p>
        </w:tc>
        <w:tc>
          <w:tcPr>
            <w:tcW w:w="131"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0.13</w:t>
            </w:r>
          </w:p>
        </w:tc>
        <w:tc>
          <w:tcPr>
            <w:tcW w:w="84" w:type="dxa"/>
            <w:tcBorders/>
            <w:shd w:fill="FFFFFF" w:val="clear"/>
            <w:vAlign w:val="center"/>
          </w:tcPr>
          <w:p>
            <w:pPr>
              <w:pStyle w:val="TableContents"/>
              <w:bidi w:val="0"/>
              <w:spacing w:before="0" w:after="283"/>
              <w:jc w:val="left"/>
              <w:rPr/>
            </w:pPr>
            <w:r>
              <w:rPr/>
              <w:t> </w:t>
            </w:r>
          </w:p>
        </w:tc>
      </w:tr>
      <w:tr>
        <w:trPr/>
        <w:tc>
          <w:tcPr>
            <w:tcW w:w="4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 diluted</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w:t>
            </w:r>
          </w:p>
        </w:tc>
        <w:tc>
          <w:tcPr>
            <w:tcW w:w="131"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0.13</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6.</w:t>
      </w:r>
      <w:r>
        <w:rPr>
          <w:rFonts w:ascii="Times New Roman;Times;serif" w:hAnsi="Times New Roman;Times;serif"/>
          <w:b/>
          <w:sz w:val="20"/>
        </w:rPr>
        <w:t xml:space="preserve"> Goodwill and Other Intangibles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Goodwill</w:t>
      </w:r>
    </w:p>
    <w:p>
      <w:pPr>
        <w:pStyle w:val="TextBody"/>
        <w:bidi w:val="0"/>
        <w:spacing w:before="0" w:after="0"/>
        <w:ind w:left="0" w:right="0" w:hanging="0"/>
        <w:jc w:val="both"/>
        <w:rPr/>
      </w:pPr>
      <w:r>
        <w:rPr/>
        <w:t> </w:t>
      </w:r>
    </w:p>
    <w:p>
      <w:pPr>
        <w:pStyle w:val="TextBody"/>
        <w:bidi w:val="0"/>
        <w:spacing w:before="0" w:after="0"/>
        <w:ind w:left="0" w:right="144" w:firstLine="720"/>
        <w:jc w:val="both"/>
        <w:rPr/>
      </w:pPr>
      <w:r>
        <w:rPr>
          <w:rFonts w:ascii="Times New Roman;Times;serif" w:hAnsi="Times New Roman;Times;serif"/>
          <w:sz w:val="20"/>
        </w:rPr>
        <w:t xml:space="preserve">Goodwill represents the difference between the purchase price and the fair value of the identifiable tangible and intangible net assets when accounted for using the purchase method of accounting. Goodwill is </w:t>
      </w:r>
      <w:r>
        <w:rPr>
          <w:rStyle w:val="Emphasis"/>
          <w:rFonts w:ascii="Times New Roman;Times;serif" w:hAnsi="Times New Roman;Times;serif"/>
          <w:sz w:val="20"/>
        </w:rPr>
        <w:t>not</w:t>
      </w:r>
      <w:r>
        <w:rPr>
          <w:rFonts w:ascii="Times New Roman;Times;serif" w:hAnsi="Times New Roman;Times;serif"/>
          <w:sz w:val="20"/>
        </w:rPr>
        <w:t xml:space="preserve"> amortized but reviewed for impairment. The Company's goodwill balance relates to the Comtrafo Acquisition in fiscal </w:t>
      </w:r>
      <w:r>
        <w:rPr>
          <w:rStyle w:val="Emphasis"/>
          <w:rFonts w:ascii="Times New Roman;Times;serif" w:hAnsi="Times New Roman;Times;serif"/>
          <w:sz w:val="20"/>
        </w:rPr>
        <w:t>2025,</w:t>
      </w:r>
      <w:r>
        <w:rPr>
          <w:rFonts w:ascii="Times New Roman;Times;serif" w:hAnsi="Times New Roman;Times;serif"/>
          <w:sz w:val="20"/>
        </w:rPr>
        <w:t xml:space="preserve"> the NWL Acquisition in fiscal </w:t>
      </w:r>
      <w:r>
        <w:rPr>
          <w:rStyle w:val="Emphasis"/>
          <w:rFonts w:ascii="Times New Roman;Times;serif" w:hAnsi="Times New Roman;Times;serif"/>
          <w:sz w:val="20"/>
        </w:rPr>
        <w:t>2024,</w:t>
      </w:r>
      <w:r>
        <w:rPr>
          <w:rFonts w:ascii="Times New Roman;Times;serif" w:hAnsi="Times New Roman;Times;serif"/>
          <w:sz w:val="20"/>
        </w:rPr>
        <w:t xml:space="preserve"> the acquisition of Neeltran, Inc. in fiscal </w:t>
      </w:r>
      <w:r>
        <w:rPr>
          <w:rStyle w:val="Emphasis"/>
          <w:rFonts w:ascii="Times New Roman;Times;serif" w:hAnsi="Times New Roman;Times;serif"/>
          <w:sz w:val="20"/>
        </w:rPr>
        <w:t>2021</w:t>
      </w:r>
      <w:r>
        <w:rPr>
          <w:rFonts w:ascii="Times New Roman;Times;serif" w:hAnsi="Times New Roman;Times;serif"/>
          <w:i/>
          <w:sz w:val="20"/>
        </w:rPr>
        <w:t>,</w:t>
      </w:r>
      <w:r>
        <w:rPr>
          <w:rFonts w:ascii="Times New Roman;Times;serif" w:hAnsi="Times New Roman;Times;serif"/>
          <w:sz w:val="20"/>
        </w:rPr>
        <w:t> the Northeast Power Systems, Inc. ("NEPSI") acquisition in fiscal </w:t>
      </w:r>
      <w:r>
        <w:rPr>
          <w:rStyle w:val="Emphasis"/>
          <w:rFonts w:ascii="Times New Roman;Times;serif" w:hAnsi="Times New Roman;Times;serif"/>
          <w:sz w:val="20"/>
        </w:rPr>
        <w:t>2020</w:t>
      </w:r>
      <w:r>
        <w:rPr>
          <w:rFonts w:ascii="Times New Roman;Times;serif" w:hAnsi="Times New Roman;Times;serif"/>
          <w:i/>
          <w:sz w:val="20"/>
        </w:rPr>
        <w:t>,</w:t>
      </w:r>
      <w:r>
        <w:rPr>
          <w:rFonts w:ascii="Times New Roman;Times;serif" w:hAnsi="Times New Roman;Times;serif"/>
          <w:sz w:val="20"/>
        </w:rPr>
        <w:t> and the acquisition of Infinia Technology Corporation in fiscal </w:t>
      </w:r>
      <w:r>
        <w:rPr>
          <w:rStyle w:val="Emphasis"/>
          <w:rFonts w:ascii="Times New Roman;Times;serif" w:hAnsi="Times New Roman;Times;serif"/>
          <w:sz w:val="20"/>
        </w:rPr>
        <w:t>2017</w:t>
      </w:r>
      <w:r>
        <w:rPr>
          <w:rFonts w:ascii="Times New Roman;Times;serif" w:hAnsi="Times New Roman;Times;serif"/>
          <w:sz w:val="20"/>
        </w:rPr>
        <w:t xml:space="preserve"> and is reported in the Grid business segment. Goodwill is reviewed annually on </w:t>
      </w:r>
      <w:r>
        <w:rPr>
          <w:rStyle w:val="Emphasis"/>
          <w:rFonts w:ascii="Times New Roman;Times;serif" w:hAnsi="Times New Roman;Times;serif"/>
          <w:sz w:val="20"/>
        </w:rPr>
        <w:t>February 28th</w:t>
      </w:r>
      <w:r>
        <w:rPr>
          <w:rFonts w:ascii="Times New Roman;Times;serif" w:hAnsi="Times New Roman;Times;serif"/>
          <w:sz w:val="20"/>
        </w:rPr>
        <w:t xml:space="preserve"> and whenever events or changes in circumstances indicate that the carrying value of the goodwill might </w:t>
      </w:r>
      <w:r>
        <w:rPr>
          <w:rStyle w:val="Emphasis"/>
          <w:rFonts w:ascii="Times New Roman;Times;serif" w:hAnsi="Times New Roman;Times;serif"/>
          <w:sz w:val="20"/>
        </w:rPr>
        <w:t>not</w:t>
      </w:r>
      <w:r>
        <w:rPr>
          <w:rFonts w:ascii="Times New Roman;Times;serif" w:hAnsi="Times New Roman;Times;serif"/>
          <w:sz w:val="20"/>
        </w:rPr>
        <w:t xml:space="preserve"> be recoverable. Goodwill increased by $122.2 million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related to the Comtrafo Acquisition. Changes in the Company’s goodwill are as follows (in thousands):</w:t>
      </w:r>
    </w:p>
    <w:p>
      <w:pPr>
        <w:pStyle w:val="TextBody"/>
        <w:bidi w:val="0"/>
        <w:spacing w:before="0" w:after="0"/>
        <w:ind w:left="0" w:right="144" w:firstLine="720"/>
        <w:jc w:val="both"/>
        <w:rPr/>
      </w:pPr>
      <w:r>
        <w:rPr/>
        <w:t> </w:t>
      </w:r>
    </w:p>
    <w:tbl>
      <w:tblPr>
        <w:tblW w:w="3590" w:type="dxa"/>
        <w:jc w:val="left"/>
        <w:tblInd w:w="0" w:type="dxa"/>
        <w:tblLayout w:type="fixed"/>
        <w:tblCellMar>
          <w:top w:w="0" w:type="dxa"/>
          <w:left w:w="0" w:type="dxa"/>
          <w:bottom w:w="0" w:type="dxa"/>
          <w:right w:w="0" w:type="dxa"/>
        </w:tblCellMar>
      </w:tblPr>
      <w:tblGrid>
        <w:gridCol w:w="2630"/>
        <w:gridCol w:w="60"/>
        <w:gridCol w:w="125"/>
        <w:gridCol w:w="695"/>
        <w:gridCol w:w="80"/>
      </w:tblGrid>
      <w:tr>
        <w:trPr/>
        <w:tc>
          <w:tcPr>
            <w:tcW w:w="2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Goodwill</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48,164</w:t>
            </w:r>
          </w:p>
        </w:tc>
        <w:tc>
          <w:tcPr>
            <w:tcW w:w="80"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acquired - Comtrafo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122,175</w:t>
            </w:r>
          </w:p>
        </w:tc>
        <w:tc>
          <w:tcPr>
            <w:tcW w:w="80"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166,373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Company did not identify any triggers to assess impairment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or </w:t>
      </w:r>
      <w:r>
        <w:rPr>
          <w:rStyle w:val="Emphasis"/>
          <w:rFonts w:ascii="Times New Roman;Times;serif" w:hAnsi="Times New Roman;Times;serif"/>
          <w:sz w:val="20"/>
        </w:rPr>
        <w:t>2024.</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Intangibles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Intangible assets at </w:t>
      </w:r>
      <w:r>
        <w:rPr>
          <w:rStyle w:val="Emphasis"/>
          <w:rFonts w:ascii="Times New Roman;Times;serif" w:hAnsi="Times New Roman;Times;serif"/>
          <w:sz w:val="20"/>
        </w:rPr>
        <w:t xml:space="preserve"> December 31,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consisted of the following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1600"/>
        <w:gridCol w:w="60"/>
        <w:gridCol w:w="153"/>
        <w:gridCol w:w="723"/>
        <w:gridCol w:w="60"/>
        <w:gridCol w:w="60"/>
        <w:gridCol w:w="241"/>
        <w:gridCol w:w="1261"/>
        <w:gridCol w:w="80"/>
        <w:gridCol w:w="60"/>
        <w:gridCol w:w="162"/>
        <w:gridCol w:w="765"/>
        <w:gridCol w:w="60"/>
        <w:gridCol w:w="60"/>
        <w:gridCol w:w="153"/>
        <w:gridCol w:w="723"/>
        <w:gridCol w:w="60"/>
        <w:gridCol w:w="60"/>
        <w:gridCol w:w="241"/>
        <w:gridCol w:w="1261"/>
        <w:gridCol w:w="80"/>
        <w:gridCol w:w="60"/>
        <w:gridCol w:w="175"/>
        <w:gridCol w:w="682"/>
        <w:gridCol w:w="60"/>
        <w:gridCol w:w="60"/>
        <w:gridCol w:w="243"/>
        <w:gridCol w:w="938"/>
        <w:gridCol w:w="64"/>
      </w:tblGrid>
      <w:tr>
        <w:trPr/>
        <w:tc>
          <w:tcPr>
            <w:tcW w:w="1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6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1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Net Book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Estimated Useful Life</w:t>
            </w:r>
          </w:p>
        </w:tc>
        <w:tc>
          <w:tcPr>
            <w:tcW w:w="64" w:type="dxa"/>
            <w:tcBorders/>
            <w:shd w:fill="FFFFFF" w:val="clear"/>
            <w:vAlign w:val="center"/>
          </w:tcPr>
          <w:p>
            <w:pPr>
              <w:pStyle w:val="TableContents"/>
              <w:bidi w:val="0"/>
              <w:spacing w:before="0" w:after="283"/>
              <w:jc w:val="left"/>
              <w:rPr/>
            </w:pPr>
            <w:r>
              <w:rPr/>
              <w:t> </w:t>
            </w:r>
          </w:p>
        </w:tc>
      </w:tr>
      <w:tr>
        <w:trPr/>
        <w:tc>
          <w:tcPr>
            <w:tcW w:w="1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Backlog</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4" w:type="dxa"/>
            <w:tcBorders/>
            <w:shd w:fill="CCEEFF" w:val="clear"/>
            <w:vAlign w:val="center"/>
          </w:tcPr>
          <w:p>
            <w:pPr>
              <w:pStyle w:val="TableContents"/>
              <w:bidi w:val="0"/>
              <w:spacing w:before="0" w:after="283"/>
              <w:jc w:val="left"/>
              <w:rPr/>
            </w:pPr>
            <w:r>
              <w:rPr/>
              <w:t> </w:t>
            </w:r>
          </w:p>
        </w:tc>
      </w:tr>
      <w:tr>
        <w:trPr/>
        <w:tc>
          <w:tcPr>
            <w:tcW w:w="1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and trademarks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6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Indefinite</w:t>
            </w:r>
          </w:p>
        </w:tc>
        <w:tc>
          <w:tcPr>
            <w:tcW w:w="64" w:type="dxa"/>
            <w:tcBorders/>
            <w:shd w:fill="FFFFFF" w:val="clear"/>
            <w:vAlign w:val="center"/>
          </w:tcPr>
          <w:p>
            <w:pPr>
              <w:pStyle w:val="TableContents"/>
              <w:bidi w:val="0"/>
              <w:spacing w:before="0" w:after="283"/>
              <w:jc w:val="left"/>
              <w:rPr/>
            </w:pPr>
            <w:r>
              <w:rPr/>
              <w:t> </w:t>
            </w:r>
          </w:p>
        </w:tc>
      </w:tr>
      <w:tr>
        <w:trPr/>
        <w:tc>
          <w:tcPr>
            <w:tcW w:w="1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6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w:t>
            </w:r>
          </w:p>
        </w:tc>
        <w:tc>
          <w:tcPr>
            <w:tcW w:w="64" w:type="dxa"/>
            <w:tcBorders/>
            <w:shd w:fill="CCEEFF" w:val="clear"/>
            <w:vAlign w:val="center"/>
          </w:tcPr>
          <w:p>
            <w:pPr>
              <w:pStyle w:val="TableContents"/>
              <w:bidi w:val="0"/>
              <w:spacing w:before="0" w:after="283"/>
              <w:jc w:val="left"/>
              <w:rPr/>
            </w:pPr>
            <w:r>
              <w:rPr/>
              <w:t> </w:t>
            </w:r>
          </w:p>
        </w:tc>
      </w:tr>
      <w:tr>
        <w:trPr/>
        <w:tc>
          <w:tcPr>
            <w:tcW w:w="1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Core technology and know-how</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4" w:type="dxa"/>
            <w:tcBorders/>
            <w:shd w:fill="FFFFFF" w:val="clear"/>
            <w:vAlign w:val="center"/>
          </w:tcPr>
          <w:p>
            <w:pPr>
              <w:pStyle w:val="TableContents"/>
              <w:bidi w:val="0"/>
              <w:spacing w:before="0" w:after="283"/>
              <w:jc w:val="left"/>
              <w:rPr/>
            </w:pPr>
            <w:r>
              <w:rPr/>
              <w:t> </w:t>
            </w:r>
          </w:p>
        </w:tc>
      </w:tr>
      <w:tr>
        <w:trPr/>
        <w:tc>
          <w:tcPr>
            <w:tcW w:w="1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intangible amortization expense related to customer relationship and core technology and know-how of $0.5 million and $1.2 million in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nine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shd w:fill="FFFFFF" w:val="clear"/>
        </w:rPr>
        <w:t>, respectively. </w:t>
      </w:r>
      <w:r>
        <w:rPr>
          <w:rFonts w:ascii="Times New Roman;Times;serif" w:hAnsi="Times New Roman;Times;serif"/>
          <w:sz w:val="20"/>
        </w:rPr>
        <w:t xml:space="preserve">The Company recorded intangible amortization expense related to customer relationship and core technology and know-how of </w:t>
      </w:r>
      <w:r>
        <w:rPr>
          <w:rFonts w:ascii="Times New Roman;Times;serif" w:hAnsi="Times New Roman;Times;serif"/>
          <w:sz w:val="20"/>
          <w:shd w:fill="FFFFFF" w:val="clear"/>
        </w:rPr>
        <w:t>$0.4 million and $1.3 million</w:t>
      </w:r>
      <w:r>
        <w:rPr>
          <w:rFonts w:ascii="Times New Roman;Times;serif" w:hAnsi="Times New Roman;Times;serif"/>
          <w:sz w:val="20"/>
        </w:rPr>
        <w:t xml:space="preserve"> in </w:t>
      </w:r>
      <w:r>
        <w:rPr>
          <w:rFonts w:ascii="Times New Roman;Times;serif" w:hAnsi="Times New Roman;Times;serif"/>
          <w:sz w:val="20"/>
          <w:shd w:fill="FFFFFF" w:val="clear"/>
        </w:rPr>
        <w:t>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nine</w:t>
      </w:r>
      <w:r>
        <w:rPr>
          <w:rFonts w:ascii="Times New Roman;Times;serif" w:hAnsi="Times New Roman;Times;serif"/>
          <w:sz w:val="20"/>
          <w:shd w:fill="FFFFFF" w:val="clear"/>
        </w:rPr>
        <w:t xml:space="preserve"> months</w:t>
      </w:r>
      <w:r>
        <w:rPr>
          <w:rFonts w:ascii="Times New Roman;Times;serif" w:hAnsi="Times New Roman;Times;serif"/>
          <w:sz w:val="20"/>
        </w:rPr>
        <w:t xml:space="preserve"> ended </w:t>
      </w:r>
      <w:r>
        <w:rPr>
          <w:rStyle w:val="Emphasis"/>
          <w:rFonts w:ascii="Times New Roman;Times;serif" w:hAnsi="Times New Roman;Times;serif"/>
          <w:sz w:val="20"/>
        </w:rPr>
        <w:t xml:space="preserve"> December 31, 2024</w:t>
      </w:r>
      <w:r>
        <w:rPr>
          <w:rFonts w:ascii="Times New Roman;Times;serif" w:hAnsi="Times New Roman;Times;serif"/>
          <w:sz w:val="20"/>
        </w:rPr>
        <w:t xml:space="preserve">. The Company recorded intangible amortization expense related to backlog of $0.1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The Company recorded intangible amortization expense related to backlog of $0.3 million and 0.4 million in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2024</w:t>
      </w:r>
      <w:r>
        <w:rPr>
          <w:rFonts w:ascii="Times New Roman;Times;serif" w:hAnsi="Times New Roman;Times;serif"/>
          <w:sz w:val="20"/>
        </w:rPr>
        <w:t>, 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Expected future amortization expense related to intangible assets is as follows (in thousands):</w:t>
      </w:r>
    </w:p>
    <w:p>
      <w:pPr>
        <w:pStyle w:val="TextBody"/>
        <w:bidi w:val="0"/>
        <w:spacing w:before="0" w:after="0"/>
        <w:ind w:left="0" w:right="0" w:firstLine="720"/>
        <w:jc w:val="both"/>
        <w:rPr/>
      </w:pPr>
      <w:r>
        <w:rPr/>
        <w:t> </w:t>
      </w:r>
    </w:p>
    <w:tbl>
      <w:tblPr>
        <w:tblW w:w="2880" w:type="dxa"/>
        <w:jc w:val="left"/>
        <w:tblInd w:w="0" w:type="dxa"/>
        <w:tblLayout w:type="fixed"/>
        <w:tblCellMar>
          <w:top w:w="0" w:type="dxa"/>
          <w:left w:w="0" w:type="dxa"/>
          <w:bottom w:w="0" w:type="dxa"/>
          <w:right w:w="0" w:type="dxa"/>
        </w:tblCellMar>
      </w:tblPr>
      <w:tblGrid>
        <w:gridCol w:w="2045"/>
        <w:gridCol w:w="60"/>
        <w:gridCol w:w="125"/>
        <w:gridCol w:w="590"/>
        <w:gridCol w:w="60"/>
      </w:tblGrid>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Years ending March 31,</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2,735</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3,217</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2,255</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1,372</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1,298</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intangible assets relate entirely to the Grid business segment operations in the United States and Brazil. The following tables summarizes the Company’s intangibles by geography (in thousands):</w:t>
      </w:r>
    </w:p>
    <w:p>
      <w:pPr>
        <w:pStyle w:val="TextBody"/>
        <w:bidi w:val="0"/>
        <w:spacing w:before="0" w:after="0"/>
        <w:ind w:left="0" w:right="0" w:firstLine="720"/>
        <w:jc w:val="both"/>
        <w:rPr/>
      </w:pPr>
      <w:r>
        <w:rPr/>
        <w:t> </w:t>
      </w:r>
    </w:p>
    <w:tbl>
      <w:tblPr>
        <w:tblW w:w="3703" w:type="dxa"/>
        <w:jc w:val="left"/>
        <w:tblInd w:w="0" w:type="dxa"/>
        <w:tblLayout w:type="fixed"/>
        <w:tblCellMar>
          <w:top w:w="0" w:type="dxa"/>
          <w:left w:w="0" w:type="dxa"/>
          <w:bottom w:w="0" w:type="dxa"/>
          <w:right w:w="0" w:type="dxa"/>
        </w:tblCellMar>
      </w:tblPr>
      <w:tblGrid>
        <w:gridCol w:w="515"/>
        <w:gridCol w:w="60"/>
        <w:gridCol w:w="280"/>
        <w:gridCol w:w="1329"/>
        <w:gridCol w:w="60"/>
        <w:gridCol w:w="60"/>
        <w:gridCol w:w="274"/>
        <w:gridCol w:w="1065"/>
        <w:gridCol w:w="60"/>
      </w:tblGrid>
      <w:tr>
        <w:trPr/>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60" w:type="dxa"/>
            <w:tcBorders/>
            <w:shd w:fill="CCEEFF" w:val="clear"/>
            <w:vAlign w:val="center"/>
          </w:tcPr>
          <w:p>
            <w:pPr>
              <w:pStyle w:val="TableContents"/>
              <w:bidi w:val="0"/>
              <w:spacing w:before="0" w:after="283"/>
              <w:jc w:val="left"/>
              <w:rPr/>
            </w:pPr>
            <w:r>
              <w:rPr/>
              <w:t> </w:t>
            </w:r>
          </w:p>
        </w:tc>
      </w:tr>
      <w:tr>
        <w:trPr/>
        <w:tc>
          <w:tcPr>
            <w:tcW w:w="5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Brazil</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Fair Value Measurements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 valuation hierarchy for disclosure of the inputs to valuation used to measure fair value has been established. This hierarchy prioritizes the inputs into </w:t>
      </w:r>
      <w:r>
        <w:rPr>
          <w:rStyle w:val="Emphasis"/>
          <w:rFonts w:ascii="Times New Roman;Times;serif" w:hAnsi="Times New Roman;Times;serif"/>
          <w:sz w:val="20"/>
        </w:rPr>
        <w:t>three</w:t>
      </w:r>
      <w:r>
        <w:rPr>
          <w:rFonts w:ascii="Times New Roman;Times;serif" w:hAnsi="Times New Roman;Times;serif"/>
          <w:sz w:val="20"/>
        </w:rPr>
        <w:t xml:space="preserve"> broad levels as follows: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710"/>
        <w:gridCol w:w="80"/>
        <w:gridCol w:w="9415"/>
      </w:tblGrid>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1</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Inputs are unadjusted quoted prices in active markets for identical assets or liabilities that the Company has the ability to access at the measurement date.</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2</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Inputs include quoted prices for similar assets and liabilities in active markets, quoted prices for identical or similar assets or liabilities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inputs other than quoted prices that are observable for the asset or liability, and inputs that are derived principally from or corroborated by observable market data by correlation or other means (market corroborated inputs).</w:t>
            </w:r>
          </w:p>
        </w:tc>
      </w:tr>
      <w:tr>
        <w:trPr/>
        <w:tc>
          <w:tcPr>
            <w:tcW w:w="710" w:type="dxa"/>
            <w:tcBorders/>
            <w:vAlign w:val="center"/>
          </w:tcPr>
          <w:p>
            <w:pPr>
              <w:pStyle w:val="TableContents"/>
              <w:bidi w:val="0"/>
              <w:spacing w:before="0" w:after="0"/>
              <w:ind w:left="0" w:right="0" w:hanging="0"/>
              <w:jc w:val="left"/>
              <w:rPr/>
            </w:pPr>
            <w:r>
              <w:rPr/>
              <w:t> </w:t>
            </w:r>
          </w:p>
        </w:tc>
        <w:tc>
          <w:tcPr>
            <w:tcW w:w="80" w:type="dxa"/>
            <w:tcBorders/>
            <w:vAlign w:val="center"/>
          </w:tcPr>
          <w:p>
            <w:pPr>
              <w:pStyle w:val="TableContents"/>
              <w:bidi w:val="0"/>
              <w:spacing w:before="0" w:after="0"/>
              <w:ind w:left="0" w:right="0" w:hanging="0"/>
              <w:jc w:val="left"/>
              <w:rPr/>
            </w:pPr>
            <w:r>
              <w:rPr/>
              <w:t> </w:t>
            </w:r>
          </w:p>
        </w:tc>
        <w:tc>
          <w:tcPr>
            <w:tcW w:w="9415" w:type="dxa"/>
            <w:tcBorders/>
            <w:vAlign w:val="center"/>
          </w:tcPr>
          <w:p>
            <w:pPr>
              <w:pStyle w:val="TableContents"/>
              <w:bidi w:val="0"/>
              <w:spacing w:before="0" w:after="0"/>
              <w:ind w:left="0" w:right="0" w:hanging="0"/>
              <w:jc w:val="left"/>
              <w:rPr/>
            </w:pPr>
            <w:r>
              <w:rPr/>
              <w:t> </w:t>
            </w:r>
          </w:p>
        </w:tc>
      </w:tr>
      <w:tr>
        <w:trPr/>
        <w:tc>
          <w:tcPr>
            <w:tcW w:w="710" w:type="dxa"/>
            <w:tcBorders/>
            <w:vAlign w:val="center"/>
          </w:tcPr>
          <w:p>
            <w:pPr>
              <w:pStyle w:val="TableContents"/>
              <w:bidi w:val="0"/>
              <w:spacing w:before="0" w:after="0"/>
              <w:ind w:left="0" w:right="0" w:hanging="0"/>
              <w:jc w:val="both"/>
              <w:rPr/>
            </w:pPr>
            <w:r>
              <w:rPr>
                <w:rFonts w:ascii="Times New Roman;Times;serif" w:hAnsi="Times New Roman;Times;serif"/>
                <w:b/>
                <w:sz w:val="20"/>
              </w:rPr>
              <w:t>Level </w:t>
            </w:r>
            <w:r>
              <w:rPr>
                <w:rStyle w:val="Emphasis"/>
                <w:rFonts w:ascii="Times New Roman;Times;serif" w:hAnsi="Times New Roman;Times;serif"/>
                <w:b/>
                <w:sz w:val="20"/>
              </w:rPr>
              <w:t>3</w:t>
            </w:r>
            <w:r>
              <w:rPr>
                <w:rFonts w:ascii="Times New Roman;Times;serif" w:hAnsi="Times New Roman;Times;serif"/>
                <w:b/>
                <w:sz w:val="20"/>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Unobservable inputs that reflect the Company’s assumptions that market participants would use in pricing the asset or liability. The Company develops these inputs based on the best information available, including its own data.</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provides a gross presentation of activity within Level </w:t>
      </w:r>
      <w:r>
        <w:rPr>
          <w:rStyle w:val="Emphasis"/>
          <w:rFonts w:ascii="Times New Roman;Times;serif" w:hAnsi="Times New Roman;Times;serif"/>
          <w:sz w:val="20"/>
        </w:rPr>
        <w:t>3</w:t>
      </w:r>
      <w:r>
        <w:rPr>
          <w:rFonts w:ascii="Times New Roman;Times;serif" w:hAnsi="Times New Roman;Times;serif"/>
          <w:sz w:val="20"/>
        </w:rPr>
        <w:t xml:space="preserve"> measurement roll-forward and details of transfers in and out of Level </w:t>
      </w:r>
      <w:r>
        <w:rPr>
          <w:rStyle w:val="Emphasis"/>
          <w:rFonts w:ascii="Times New Roman;Times;serif" w:hAnsi="Times New Roman;Times;serif"/>
          <w:sz w:val="20"/>
        </w:rPr>
        <w:t>1</w:t>
      </w:r>
      <w:r>
        <w:rPr>
          <w:rFonts w:ascii="Times New Roman;Times;serif" w:hAnsi="Times New Roman;Times;serif"/>
          <w:sz w:val="20"/>
        </w:rPr>
        <w:t xml:space="preserve"> and </w:t>
      </w:r>
      <w:r>
        <w:rPr>
          <w:rStyle w:val="Emphasis"/>
          <w:rFonts w:ascii="Times New Roman;Times;serif" w:hAnsi="Times New Roman;Times;serif"/>
          <w:sz w:val="20"/>
        </w:rPr>
        <w:t>2</w:t>
      </w:r>
      <w:r>
        <w:rPr>
          <w:rFonts w:ascii="Times New Roman;Times;serif" w:hAnsi="Times New Roman;Times;serif"/>
          <w:sz w:val="20"/>
        </w:rPr>
        <w:t xml:space="preserve"> measurements. A change in the hierarchy of an investment from its current level is reflected in the period during which the pricing methodology of such investment changes. Disclosure of the transfer of securities from Level </w:t>
      </w:r>
      <w:r>
        <w:rPr>
          <w:rStyle w:val="Emphasis"/>
          <w:rFonts w:ascii="Times New Roman;Times;serif" w:hAnsi="Times New Roman;Times;serif"/>
          <w:sz w:val="20"/>
        </w:rPr>
        <w:t>1</w:t>
      </w:r>
      <w:r>
        <w:rPr>
          <w:rFonts w:ascii="Times New Roman;Times;serif" w:hAnsi="Times New Roman;Times;serif"/>
          <w:sz w:val="20"/>
        </w:rPr>
        <w:t xml:space="preserve"> to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is made in the event that the related security is significant to total cash and investments. The Company did </w:t>
      </w:r>
      <w:r>
        <w:rPr>
          <w:rStyle w:val="Emphasis"/>
          <w:rFonts w:ascii="Times New Roman;Times;serif" w:hAnsi="Times New Roman;Times;serif"/>
          <w:sz w:val="20"/>
        </w:rPr>
        <w:t>not</w:t>
      </w:r>
      <w:r>
        <w:rPr>
          <w:rFonts w:ascii="Times New Roman;Times;serif" w:hAnsi="Times New Roman;Times;serif"/>
          <w:sz w:val="20"/>
        </w:rPr>
        <w:t xml:space="preserve"> have any transfers of assets and liabilities from Level </w:t>
      </w:r>
      <w:r>
        <w:rPr>
          <w:rStyle w:val="Emphasis"/>
          <w:rFonts w:ascii="Times New Roman;Times;serif" w:hAnsi="Times New Roman;Times;serif"/>
          <w:sz w:val="20"/>
        </w:rPr>
        <w:t>1,</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of the fair value measurement hierarchy during the </w:t>
      </w:r>
      <w:r>
        <w:rPr>
          <w:rStyle w:val="Emphasis"/>
          <w:rFonts w:ascii="Times New Roman;Times;serif" w:hAnsi="Times New Roman;Times;serif"/>
          <w:sz w:val="20"/>
        </w:rPr>
        <w:t>three</w:t>
      </w:r>
      <w:r>
        <w:rPr>
          <w:rFonts w:ascii="Times New Roman;Times;serif" w:hAnsi="Times New Roman;Times;serif"/>
          <w:sz w:val="20"/>
        </w:rPr>
        <w:t xml:space="preserve"> or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December 31, 2025</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financial asset’s or liability’s classification within the hierarchy is determined based on the lowest level input that is significant to the fair value measurement.</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Valuation Techniques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Cash Equivalents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Cash equivalents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and are classified within Level </w:t>
      </w:r>
      <w:r>
        <w:rPr>
          <w:rStyle w:val="Emphasis"/>
          <w:rFonts w:ascii="Times New Roman;Times;serif" w:hAnsi="Times New Roman;Times;serif"/>
          <w:sz w:val="20"/>
        </w:rPr>
        <w:t>1</w:t>
      </w:r>
      <w:r>
        <w:rPr>
          <w:rFonts w:ascii="Times New Roman;Times;serif" w:hAnsi="Times New Roman;Times;serif"/>
          <w:sz w:val="20"/>
        </w:rPr>
        <w:t xml:space="preserve"> of the valuation hierarchy. Cash equivalents consist principally of money market accounts.</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Short-term Cash Instruments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Short-term cash instruments consist of highly liquid instruments with maturities of </w:t>
      </w:r>
      <w:r>
        <w:rPr>
          <w:rStyle w:val="Emphasis"/>
          <w:rFonts w:ascii="Times New Roman;Times;serif" w:hAnsi="Times New Roman;Times;serif"/>
          <w:sz w:val="20"/>
        </w:rPr>
        <w:t>three</w:t>
      </w:r>
      <w:r>
        <w:rPr>
          <w:rFonts w:ascii="Times New Roman;Times;serif" w:hAnsi="Times New Roman;Times;serif"/>
          <w:sz w:val="20"/>
        </w:rPr>
        <w:t xml:space="preserve"> months or less that are regarded as high quality, low risk investments and are measured using such inputs as quoted prices in markets that are </w:t>
      </w:r>
      <w:r>
        <w:rPr>
          <w:rStyle w:val="Emphasis"/>
          <w:rFonts w:ascii="Times New Roman;Times;serif" w:hAnsi="Times New Roman;Times;serif"/>
          <w:sz w:val="20"/>
        </w:rPr>
        <w:t>not</w:t>
      </w:r>
      <w:r>
        <w:rPr>
          <w:rFonts w:ascii="Times New Roman;Times;serif" w:hAnsi="Times New Roman;Times;serif"/>
          <w:sz w:val="20"/>
        </w:rPr>
        <w:t xml:space="preserve"> active, and are classified within Level </w:t>
      </w:r>
      <w:r>
        <w:rPr>
          <w:rStyle w:val="Emphasis"/>
          <w:rFonts w:ascii="Times New Roman;Times;serif" w:hAnsi="Times New Roman;Times;serif"/>
          <w:sz w:val="20"/>
        </w:rPr>
        <w:t>2</w:t>
      </w:r>
      <w:r>
        <w:rPr>
          <w:rFonts w:ascii="Times New Roman;Times;serif" w:hAnsi="Times New Roman;Times;serif"/>
          <w:sz w:val="20"/>
        </w:rPr>
        <w:t> of the valuation hierarchy. Short-term cash instruments consist principally of certificates of deposits.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Contingent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Contingent consideration relates to the earnout payment set forth in the Stock Exchange Agreement governing the acquisition of Comtrafo that provides the selling stockholders </w:t>
      </w:r>
      <w:r>
        <w:rPr>
          <w:rStyle w:val="Emphasis"/>
          <w:rFonts w:ascii="Times New Roman;Times;serif" w:hAnsi="Times New Roman;Times;serif"/>
          <w:sz w:val="20"/>
        </w:rPr>
        <w:t xml:space="preserve">may </w:t>
      </w:r>
      <w:r>
        <w:rPr>
          <w:rFonts w:ascii="Times New Roman;Times;serif" w:hAnsi="Times New Roman;Times;serif"/>
          <w:sz w:val="20"/>
        </w:rPr>
        <w:t xml:space="preserve">receive an additional sum of cash upon the achievement of certain specified earnings before interest, taxes, depreciation, and amortization ("EBITDA") objectives during the </w:t>
      </w:r>
      <w:r>
        <w:rPr>
          <w:rStyle w:val="Emphasis"/>
          <w:rFonts w:ascii="Times New Roman;Times;serif" w:hAnsi="Times New Roman;Times;serif"/>
          <w:sz w:val="20"/>
        </w:rPr>
        <w:t>three</w:t>
      </w:r>
      <w:r>
        <w:rPr>
          <w:rFonts w:ascii="Times New Roman;Times;serif" w:hAnsi="Times New Roman;Times;serif"/>
          <w:sz w:val="20"/>
        </w:rPr>
        <w:t xml:space="preserve"> years following the Comtrafo Acquisition Date. See Note </w:t>
      </w:r>
      <w:r>
        <w:rPr>
          <w:rStyle w:val="Emphasis"/>
          <w:rFonts w:ascii="Times New Roman;Times;serif" w:hAnsi="Times New Roman;Times;serif"/>
          <w:sz w:val="20"/>
        </w:rPr>
        <w:t>14,</w:t>
      </w:r>
      <w:r>
        <w:rPr>
          <w:rFonts w:ascii="Times New Roman;Times;serif" w:hAnsi="Times New Roman;Times;serif"/>
          <w:sz w:val="20"/>
        </w:rPr>
        <w:t xml:space="preserve"> "Contingent Consideration" for further discussion. The Company relied on a Monte Carlo method to determine the fair value of the contingent consideration on the closing of the acquisition of Comtrafo and continues to revalue the fair value of the contingent consideration using the same method at each subsequent balance sheet date until the contingencies are resolved and the cash to be paid is determined, with the change in fair value recorded in the current period operating loss. For the period ended </w:t>
      </w:r>
      <w:r>
        <w:rPr>
          <w:rStyle w:val="Emphasis"/>
          <w:rFonts w:ascii="Times New Roman;Times;serif" w:hAnsi="Times New Roman;Times;serif"/>
          <w:sz w:val="20"/>
        </w:rPr>
        <w:t>December 31, 2025</w:t>
      </w:r>
      <w:r>
        <w:rPr>
          <w:rFonts w:ascii="Times New Roman;Times;serif" w:hAnsi="Times New Roman;Times;serif"/>
          <w:sz w:val="20"/>
        </w:rPr>
        <w:t xml:space="preserve">, the change in fair value from </w:t>
      </w:r>
      <w:r>
        <w:rPr>
          <w:rStyle w:val="Emphasis"/>
          <w:rFonts w:ascii="Times New Roman;Times;serif" w:hAnsi="Times New Roman;Times;serif"/>
          <w:sz w:val="20"/>
        </w:rPr>
        <w:t xml:space="preserve">December 5, 2025 </w:t>
      </w:r>
      <w:r>
        <w:rPr>
          <w:rFonts w:ascii="Times New Roman;Times;serif" w:hAnsi="Times New Roman;Times;serif"/>
          <w:sz w:val="20"/>
        </w:rPr>
        <w:t xml:space="preserve">was </w:t>
      </w:r>
      <w:r>
        <w:rPr>
          <w:rStyle w:val="Emphasis"/>
          <w:rFonts w:ascii="Times New Roman;Times;serif" w:hAnsi="Times New Roman;Times;serif"/>
          <w:sz w:val="20"/>
        </w:rPr>
        <w:t>not</w:t>
      </w:r>
      <w:r>
        <w:rPr>
          <w:rFonts w:ascii="Times New Roman;Times;serif" w:hAnsi="Times New Roman;Times;serif"/>
          <w:sz w:val="20"/>
        </w:rPr>
        <w:t xml:space="preserve"> considered material and as such </w:t>
      </w:r>
      <w:r>
        <w:rPr>
          <w:rStyle w:val="Emphasis"/>
          <w:rFonts w:ascii="Times New Roman;Times;serif" w:hAnsi="Times New Roman;Times;serif"/>
          <w:sz w:val="20"/>
        </w:rPr>
        <w:t>no</w:t>
      </w:r>
      <w:r>
        <w:rPr>
          <w:rFonts w:ascii="Times New Roman;Times;serif" w:hAnsi="Times New Roman;Times;serif"/>
          <w:sz w:val="20"/>
        </w:rPr>
        <w:t xml:space="preserve"> adjustment was recorded.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following table provides the assets and liabilities carried at fair value on a recurring basis, measured as of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(in thousands):</w:t>
      </w:r>
    </w:p>
    <w:p>
      <w:pPr>
        <w:pStyle w:val="TextBody"/>
        <w:bidi w:val="0"/>
        <w:spacing w:before="0" w:after="0"/>
        <w:ind w:left="0" w:right="0" w:firstLine="555"/>
        <w:jc w:val="both"/>
        <w:rPr/>
      </w:pPr>
      <w:r>
        <w:rPr/>
        <w:t> </w:t>
      </w:r>
    </w:p>
    <w:tbl>
      <w:tblPr>
        <w:tblW w:w="10205" w:type="dxa"/>
        <w:jc w:val="left"/>
        <w:tblInd w:w="0" w:type="dxa"/>
        <w:tblLayout w:type="fixed"/>
        <w:tblCellMar>
          <w:top w:w="0" w:type="dxa"/>
          <w:left w:w="0" w:type="dxa"/>
          <w:bottom w:w="0" w:type="dxa"/>
          <w:right w:w="0" w:type="dxa"/>
        </w:tblCellMar>
      </w:tblPr>
      <w:tblGrid>
        <w:gridCol w:w="1941"/>
        <w:gridCol w:w="60"/>
        <w:gridCol w:w="218"/>
        <w:gridCol w:w="1039"/>
        <w:gridCol w:w="60"/>
        <w:gridCol w:w="60"/>
        <w:gridCol w:w="351"/>
        <w:gridCol w:w="1657"/>
        <w:gridCol w:w="60"/>
        <w:gridCol w:w="60"/>
        <w:gridCol w:w="464"/>
        <w:gridCol w:w="1809"/>
        <w:gridCol w:w="60"/>
        <w:gridCol w:w="60"/>
        <w:gridCol w:w="390"/>
        <w:gridCol w:w="1852"/>
        <w:gridCol w:w="64"/>
      </w:tblGrid>
      <w:tr>
        <w:trPr/>
        <w:tc>
          <w:tcPr>
            <w:tcW w:w="19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Unobservable Inputs (Level 3)</w:t>
            </w:r>
          </w:p>
        </w:tc>
        <w:tc>
          <w:tcPr>
            <w:tcW w:w="64" w:type="dxa"/>
            <w:tcBorders/>
            <w:shd w:fill="FFFFFF" w:val="clear"/>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December 31, 2025:</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85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941"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8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85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sz w:val="20"/>
              </w:rPr>
            </w:pPr>
            <w:r>
              <w:rPr>
                <w:sz w:val="20"/>
              </w:rPr>
              <w:t>$</w:t>
            </w:r>
          </w:p>
        </w:tc>
        <w:tc>
          <w:tcPr>
            <w:tcW w:w="1039" w:type="dxa"/>
            <w:tcBorders/>
            <w:shd w:fill="CCEEFF" w:val="clear"/>
            <w:vAlign w:val="center"/>
          </w:tcPr>
          <w:p>
            <w:pPr>
              <w:pStyle w:val="TableContents"/>
              <w:bidi w:val="0"/>
              <w:spacing w:before="0" w:after="283"/>
              <w:ind w:left="0" w:right="0" w:hanging="0"/>
              <w:jc w:val="right"/>
              <w:rPr>
                <w:sz w:val="20"/>
              </w:rPr>
            </w:pPr>
            <w:r>
              <w:rPr>
                <w:sz w:val="20"/>
              </w:rPr>
              <w:t>98,468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1" w:type="dxa"/>
            <w:tcBorders/>
            <w:shd w:fill="CCEEFF" w:val="clear"/>
            <w:vAlign w:val="center"/>
          </w:tcPr>
          <w:p>
            <w:pPr>
              <w:pStyle w:val="TableContents"/>
              <w:bidi w:val="0"/>
              <w:spacing w:before="0" w:after="283"/>
              <w:ind w:left="0" w:right="0" w:hanging="0"/>
              <w:jc w:val="left"/>
              <w:rPr>
                <w:sz w:val="20"/>
              </w:rPr>
            </w:pPr>
            <w:r>
              <w:rPr>
                <w:sz w:val="20"/>
              </w:rPr>
              <w:t>$</w:t>
            </w:r>
          </w:p>
        </w:tc>
        <w:tc>
          <w:tcPr>
            <w:tcW w:w="1657" w:type="dxa"/>
            <w:tcBorders/>
            <w:shd w:fill="CCEEFF" w:val="clear"/>
            <w:vAlign w:val="center"/>
          </w:tcPr>
          <w:p>
            <w:pPr>
              <w:pStyle w:val="TableContents"/>
              <w:bidi w:val="0"/>
              <w:spacing w:before="0" w:after="283"/>
              <w:ind w:left="0" w:right="0" w:hanging="0"/>
              <w:jc w:val="right"/>
              <w:rPr>
                <w:sz w:val="20"/>
              </w:rPr>
            </w:pPr>
            <w:r>
              <w:rPr>
                <w:sz w:val="20"/>
              </w:rPr>
              <w:t>98,468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4" w:type="dxa"/>
            <w:tcBorders/>
            <w:shd w:fill="CCEEFF" w:val="clear"/>
            <w:vAlign w:val="center"/>
          </w:tcPr>
          <w:p>
            <w:pPr>
              <w:pStyle w:val="TableContents"/>
              <w:bidi w:val="0"/>
              <w:spacing w:before="0" w:after="283"/>
              <w:ind w:left="0" w:right="0" w:hanging="0"/>
              <w:jc w:val="left"/>
              <w:rPr>
                <w:sz w:val="20"/>
              </w:rPr>
            </w:pPr>
            <w:r>
              <w:rPr>
                <w:sz w:val="20"/>
              </w:rPr>
              <w:t>$</w:t>
            </w:r>
          </w:p>
        </w:tc>
        <w:tc>
          <w:tcPr>
            <w:tcW w:w="18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0" w:type="dxa"/>
            <w:tcBorders/>
            <w:shd w:fill="CCEEFF" w:val="clear"/>
            <w:vAlign w:val="center"/>
          </w:tcPr>
          <w:p>
            <w:pPr>
              <w:pStyle w:val="TableContents"/>
              <w:bidi w:val="0"/>
              <w:spacing w:before="0" w:after="283"/>
              <w:ind w:left="0" w:right="0" w:hanging="0"/>
              <w:jc w:val="left"/>
              <w:rPr>
                <w:sz w:val="20"/>
              </w:rPr>
            </w:pPr>
            <w:r>
              <w:rPr>
                <w:sz w:val="20"/>
              </w:rPr>
              <w:t>$</w:t>
            </w:r>
          </w:p>
        </w:tc>
        <w:tc>
          <w:tcPr>
            <w:tcW w:w="1852"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1941" w:type="dxa"/>
            <w:tcBorders/>
            <w:shd w:fill="FFFFFF" w:val="clear"/>
            <w:vAlign w:val="center"/>
          </w:tcPr>
          <w:p>
            <w:pPr>
              <w:pStyle w:val="TableContents"/>
              <w:bidi w:val="0"/>
              <w:spacing w:before="0" w:after="0"/>
              <w:ind w:left="0" w:right="0" w:firstLine="360"/>
              <w:jc w:val="left"/>
              <w:rPr>
                <w:rFonts w:ascii="Times New Roman;Times;serif" w:hAnsi="Times New Roman;Times;serif"/>
                <w:b w:val="false"/>
                <w:sz w:val="20"/>
              </w:rPr>
            </w:pPr>
            <w:r>
              <w:rPr>
                <w:rFonts w:ascii="Times New Roman;Times;serif" w:hAnsi="Times New Roman;Times;serif"/>
                <w:b w:val="false"/>
                <w:sz w:val="20"/>
              </w:rPr>
              <w:t>Short-term cash instruments</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sz w:val="20"/>
              </w:rPr>
            </w:pPr>
            <w:r>
              <w:rPr>
                <w:sz w:val="20"/>
              </w:rPr>
              <w:t>$</w:t>
            </w:r>
          </w:p>
        </w:tc>
        <w:tc>
          <w:tcPr>
            <w:tcW w:w="1039" w:type="dxa"/>
            <w:tcBorders/>
            <w:shd w:fill="FFFFFF" w:val="clear"/>
            <w:vAlign w:val="center"/>
          </w:tcPr>
          <w:p>
            <w:pPr>
              <w:pStyle w:val="TableContents"/>
              <w:bidi w:val="0"/>
              <w:spacing w:before="0" w:after="283"/>
              <w:ind w:left="0" w:right="0" w:hanging="0"/>
              <w:jc w:val="right"/>
              <w:rPr>
                <w:sz w:val="20"/>
              </w:rPr>
            </w:pPr>
            <w:r>
              <w:rPr>
                <w:sz w:val="20"/>
              </w:rPr>
              <w:t>1,335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1" w:type="dxa"/>
            <w:tcBorders/>
            <w:shd w:fill="FFFFFF" w:val="clear"/>
            <w:vAlign w:val="center"/>
          </w:tcPr>
          <w:p>
            <w:pPr>
              <w:pStyle w:val="TableContents"/>
              <w:bidi w:val="0"/>
              <w:spacing w:before="0" w:after="283"/>
              <w:ind w:left="0" w:right="0" w:hanging="0"/>
              <w:jc w:val="left"/>
              <w:rPr>
                <w:sz w:val="20"/>
              </w:rPr>
            </w:pPr>
            <w:r>
              <w:rPr>
                <w:sz w:val="20"/>
              </w:rPr>
              <w:t>$</w:t>
            </w:r>
          </w:p>
        </w:tc>
        <w:tc>
          <w:tcPr>
            <w:tcW w:w="165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4" w:type="dxa"/>
            <w:tcBorders/>
            <w:shd w:fill="FFFFFF" w:val="clear"/>
            <w:vAlign w:val="center"/>
          </w:tcPr>
          <w:p>
            <w:pPr>
              <w:pStyle w:val="TableContents"/>
              <w:bidi w:val="0"/>
              <w:spacing w:before="0" w:after="283"/>
              <w:ind w:left="0" w:right="0" w:hanging="0"/>
              <w:jc w:val="left"/>
              <w:rPr>
                <w:sz w:val="20"/>
              </w:rPr>
            </w:pPr>
            <w:r>
              <w:rPr>
                <w:sz w:val="20"/>
              </w:rPr>
              <w:t>$</w:t>
            </w:r>
          </w:p>
        </w:tc>
        <w:tc>
          <w:tcPr>
            <w:tcW w:w="1809" w:type="dxa"/>
            <w:tcBorders/>
            <w:shd w:fill="FFFFFF" w:val="clear"/>
            <w:vAlign w:val="center"/>
          </w:tcPr>
          <w:p>
            <w:pPr>
              <w:pStyle w:val="TableContents"/>
              <w:bidi w:val="0"/>
              <w:spacing w:before="0" w:after="283"/>
              <w:ind w:left="0" w:right="0" w:hanging="0"/>
              <w:jc w:val="right"/>
              <w:rPr>
                <w:sz w:val="20"/>
              </w:rPr>
            </w:pPr>
            <w:r>
              <w:rPr>
                <w:sz w:val="20"/>
              </w:rPr>
              <w:t>1,335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0" w:type="dxa"/>
            <w:tcBorders/>
            <w:shd w:fill="FFFFFF" w:val="clear"/>
            <w:vAlign w:val="center"/>
          </w:tcPr>
          <w:p>
            <w:pPr>
              <w:pStyle w:val="TableContents"/>
              <w:bidi w:val="0"/>
              <w:spacing w:before="0" w:after="283"/>
              <w:ind w:left="0" w:right="0" w:hanging="0"/>
              <w:jc w:val="left"/>
              <w:rPr>
                <w:sz w:val="20"/>
              </w:rPr>
            </w:pPr>
            <w:r>
              <w:rPr>
                <w:sz w:val="20"/>
              </w:rPr>
              <w:t>$</w:t>
            </w:r>
          </w:p>
        </w:tc>
        <w:tc>
          <w:tcPr>
            <w:tcW w:w="1852"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1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185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9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sz w:val="20"/>
              </w:rPr>
            </w:pPr>
            <w:r>
              <w:rPr>
                <w:sz w:val="20"/>
              </w:rPr>
              <w:t>$</w:t>
            </w:r>
          </w:p>
        </w:tc>
        <w:tc>
          <w:tcPr>
            <w:tcW w:w="1039" w:type="dxa"/>
            <w:tcBorders/>
            <w:shd w:fill="FFFFFF" w:val="clear"/>
            <w:vAlign w:val="center"/>
          </w:tcPr>
          <w:p>
            <w:pPr>
              <w:pStyle w:val="TableContents"/>
              <w:bidi w:val="0"/>
              <w:spacing w:before="0" w:after="283"/>
              <w:jc w:val="right"/>
              <w:rPr>
                <w:sz w:val="20"/>
              </w:rPr>
            </w:pPr>
            <w:r>
              <w:rPr>
                <w:sz w:val="20"/>
              </w:rPr>
              <w:t>34,737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left"/>
              <w:rPr>
                <w:sz w:val="20"/>
              </w:rPr>
            </w:pPr>
            <w:r>
              <w:rPr>
                <w:sz w:val="20"/>
              </w:rPr>
              <w:t>$</w:t>
            </w:r>
          </w:p>
        </w:tc>
        <w:tc>
          <w:tcPr>
            <w:tcW w:w="165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sz w:val="20"/>
              </w:rPr>
            </w:pPr>
            <w:r>
              <w:rPr>
                <w:sz w:val="20"/>
              </w:rPr>
              <w:t>$</w:t>
            </w:r>
          </w:p>
        </w:tc>
        <w:tc>
          <w:tcPr>
            <w:tcW w:w="18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sz w:val="20"/>
              </w:rPr>
            </w:pPr>
            <w:r>
              <w:rPr>
                <w:sz w:val="20"/>
              </w:rPr>
              <w:t>$</w:t>
            </w:r>
          </w:p>
        </w:tc>
        <w:tc>
          <w:tcPr>
            <w:tcW w:w="1852" w:type="dxa"/>
            <w:tcBorders/>
            <w:shd w:fill="FFFFFF" w:val="clear"/>
            <w:vAlign w:val="center"/>
          </w:tcPr>
          <w:p>
            <w:pPr>
              <w:pStyle w:val="TableContents"/>
              <w:bidi w:val="0"/>
              <w:spacing w:before="0" w:after="283"/>
              <w:jc w:val="right"/>
              <w:rPr>
                <w:sz w:val="20"/>
              </w:rPr>
            </w:pPr>
            <w:r>
              <w:rPr>
                <w:sz w:val="20"/>
              </w:rPr>
              <w:t>34,737</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27"/>
        <w:gridCol w:w="60"/>
        <w:gridCol w:w="225"/>
        <w:gridCol w:w="1069"/>
        <w:gridCol w:w="60"/>
        <w:gridCol w:w="60"/>
        <w:gridCol w:w="368"/>
        <w:gridCol w:w="1737"/>
        <w:gridCol w:w="60"/>
        <w:gridCol w:w="60"/>
        <w:gridCol w:w="484"/>
        <w:gridCol w:w="1888"/>
        <w:gridCol w:w="60"/>
        <w:gridCol w:w="60"/>
        <w:gridCol w:w="753"/>
        <w:gridCol w:w="1571"/>
        <w:gridCol w:w="63"/>
      </w:tblGrid>
      <w:tr>
        <w:trPr/>
        <w:tc>
          <w:tcPr>
            <w:tcW w:w="16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Total 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2"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2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3" w:type="dxa"/>
            <w:tcBorders/>
            <w:shd w:fill="FFFFFF" w:val="clear"/>
            <w:vAlign w:val="center"/>
          </w:tcPr>
          <w:p>
            <w:pPr>
              <w:pStyle w:val="TableContents"/>
              <w:bidi w:val="0"/>
              <w:spacing w:before="0" w:after="283"/>
              <w:jc w:val="left"/>
              <w:rPr/>
            </w:pPr>
            <w:r>
              <w:rPr/>
              <w:t> </w:t>
            </w:r>
          </w:p>
        </w:tc>
      </w:tr>
      <w:tr>
        <w:trPr/>
        <w:tc>
          <w:tcPr>
            <w:tcW w:w="16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31, 2025</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7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left"/>
              <w:rPr/>
            </w:pPr>
            <w:r>
              <w:rPr/>
              <w:t> </w:t>
            </w:r>
          </w:p>
        </w:tc>
        <w:tc>
          <w:tcPr>
            <w:tcW w:w="1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left"/>
              <w:rPr/>
            </w:pPr>
            <w:r>
              <w:rPr/>
              <w:t> </w:t>
            </w:r>
          </w:p>
        </w:tc>
        <w:tc>
          <w:tcPr>
            <w:tcW w:w="157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162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pPr>
            <w:r>
              <w:rPr/>
              <w:t> </w:t>
            </w:r>
          </w:p>
        </w:tc>
        <w:tc>
          <w:tcPr>
            <w:tcW w:w="1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left"/>
              <w:rPr/>
            </w:pPr>
            <w:r>
              <w:rPr/>
              <w:t> </w:t>
            </w:r>
          </w:p>
        </w:tc>
        <w:tc>
          <w:tcPr>
            <w:tcW w:w="157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r>
      <w:tr>
        <w:trPr/>
        <w:tc>
          <w:tcPr>
            <w:tcW w:w="1627"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8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1"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r>
      <w:tr>
        <w:trPr/>
        <w:tc>
          <w:tcPr>
            <w:tcW w:w="1627"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Short-term cash instruments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71"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reflects the activity for the Company's contingent consideration derivative liability measured at fair value on a recurring basis (in thousands): </w:t>
      </w:r>
    </w:p>
    <w:p>
      <w:pPr>
        <w:pStyle w:val="TextBody"/>
        <w:bidi w:val="0"/>
        <w:spacing w:before="0" w:after="0"/>
        <w:ind w:left="0" w:right="0" w:firstLine="720"/>
        <w:jc w:val="left"/>
        <w:rPr/>
      </w:pPr>
      <w:r>
        <w:rPr/>
        <w:t> </w:t>
      </w:r>
    </w:p>
    <w:p>
      <w:pPr>
        <w:pStyle w:val="TextBody"/>
        <w:bidi w:val="0"/>
        <w:spacing w:before="0" w:after="0"/>
        <w:ind w:left="0" w:right="0" w:hanging="0"/>
        <w:jc w:val="left"/>
        <w:rPr/>
      </w:pPr>
      <w:r>
        <w:rPr/>
        <w:t> </w:t>
      </w:r>
    </w:p>
    <w:tbl>
      <w:tblPr>
        <w:tblW w:w="7169" w:type="dxa"/>
        <w:jc w:val="left"/>
        <w:tblInd w:w="0" w:type="dxa"/>
        <w:tblLayout w:type="fixed"/>
        <w:tblCellMar>
          <w:top w:w="0" w:type="dxa"/>
          <w:left w:w="0" w:type="dxa"/>
          <w:bottom w:w="0" w:type="dxa"/>
          <w:right w:w="0" w:type="dxa"/>
        </w:tblCellMar>
      </w:tblPr>
      <w:tblGrid>
        <w:gridCol w:w="3005"/>
        <w:gridCol w:w="60"/>
        <w:gridCol w:w="701"/>
        <w:gridCol w:w="3323"/>
        <w:gridCol w:w="80"/>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Comtrafo Acquisition Contingent Consideration</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2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contingent consideration</w:t>
            </w:r>
          </w:p>
        </w:tc>
        <w:tc>
          <w:tcPr>
            <w:tcW w:w="60"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ind w:left="0" w:right="0" w:hanging="0"/>
              <w:jc w:val="left"/>
              <w:rPr/>
            </w:pPr>
            <w:r>
              <w:rPr/>
              <w:t> </w:t>
            </w:r>
          </w:p>
        </w:tc>
        <w:tc>
          <w:tcPr>
            <w:tcW w:w="33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35,902</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CCEEFF" w:val="clear"/>
            <w:vAlign w:val="center"/>
          </w:tcPr>
          <w:p>
            <w:pPr>
              <w:pStyle w:val="TableContents"/>
              <w:bidi w:val="0"/>
              <w:spacing w:before="0" w:after="283"/>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left"/>
              <w:rPr/>
            </w:pPr>
            <w:r>
              <w:rPr/>
              <w:t> </w:t>
            </w:r>
          </w:p>
        </w:tc>
        <w:tc>
          <w:tcPr>
            <w:tcW w:w="3323" w:type="dxa"/>
            <w:tcBorders/>
            <w:shd w:fill="CCEEFF" w:val="cle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FX Impact</w:t>
            </w:r>
          </w:p>
        </w:tc>
        <w:tc>
          <w:tcPr>
            <w:tcW w:w="60" w:type="dxa"/>
            <w:tcBorders/>
            <w:shd w:fill="FFFFFF" w:val="clear"/>
            <w:vAlign w:val="center"/>
          </w:tcPr>
          <w:p>
            <w:pPr>
              <w:pStyle w:val="TableContents"/>
              <w:bidi w:val="0"/>
              <w:spacing w:before="0" w:after="283"/>
              <w:ind w:left="0" w:right="0" w:hanging="0"/>
              <w:jc w:val="left"/>
              <w:rPr/>
            </w:pPr>
            <w:r>
              <w:rPr/>
              <w:t> </w:t>
            </w:r>
          </w:p>
        </w:tc>
        <w:tc>
          <w:tcPr>
            <w:tcW w:w="70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34,737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Accounts Receivable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Accounts receivable at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5713" w:type="dxa"/>
        <w:jc w:val="left"/>
        <w:tblInd w:w="0" w:type="dxa"/>
        <w:tblLayout w:type="fixed"/>
        <w:tblCellMar>
          <w:top w:w="0" w:type="dxa"/>
          <w:left w:w="0" w:type="dxa"/>
          <w:bottom w:w="0" w:type="dxa"/>
          <w:right w:w="0" w:type="dxa"/>
        </w:tblCellMar>
      </w:tblPr>
      <w:tblGrid>
        <w:gridCol w:w="2525"/>
        <w:gridCol w:w="60"/>
        <w:gridCol w:w="280"/>
        <w:gridCol w:w="1329"/>
        <w:gridCol w:w="60"/>
        <w:gridCol w:w="60"/>
        <w:gridCol w:w="234"/>
        <w:gridCol w:w="1105"/>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shd w:fill="FFFFFF" w:val="clear"/>
              <w:bidi w:val="0"/>
              <w:spacing w:before="0" w:after="0"/>
              <w:ind w:left="0" w:right="0" w:hanging="0"/>
              <w:jc w:val="center"/>
              <w:rPr/>
            </w:pPr>
            <w:r>
              <w:rPr>
                <w:rStyle w:val="Emphasis"/>
                <w:rFonts w:ascii="Times New Roman;Times;serif" w:hAnsi="Times New Roman;Times;serif"/>
                <w:b/>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(billed)</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39,810</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(unbilled)</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6,376</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9.</w:t>
      </w:r>
      <w:r>
        <w:rPr>
          <w:rFonts w:ascii="Times New Roman;Times;serif" w:hAnsi="Times New Roman;Times;serif"/>
          <w:b/>
          <w:sz w:val="20"/>
        </w:rPr>
        <w:t xml:space="preserve"> Inventory</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Inventory, net of reserves, at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consisted of the following (in thousands):</w:t>
      </w:r>
    </w:p>
    <w:p>
      <w:pPr>
        <w:pStyle w:val="TextBody"/>
        <w:bidi w:val="0"/>
        <w:spacing w:before="0" w:after="0"/>
        <w:ind w:left="0" w:right="0" w:firstLine="720"/>
        <w:jc w:val="both"/>
        <w:rPr/>
      </w:pPr>
      <w:r>
        <w:rPr/>
        <w:t> </w:t>
      </w:r>
    </w:p>
    <w:tbl>
      <w:tblPr>
        <w:tblW w:w="5068" w:type="dxa"/>
        <w:jc w:val="left"/>
        <w:tblInd w:w="0" w:type="dxa"/>
        <w:tblLayout w:type="fixed"/>
        <w:tblCellMar>
          <w:top w:w="0" w:type="dxa"/>
          <w:left w:w="0" w:type="dxa"/>
          <w:bottom w:w="0" w:type="dxa"/>
          <w:right w:w="0" w:type="dxa"/>
        </w:tblCellMar>
      </w:tblPr>
      <w:tblGrid>
        <w:gridCol w:w="1880"/>
        <w:gridCol w:w="60"/>
        <w:gridCol w:w="243"/>
        <w:gridCol w:w="1366"/>
        <w:gridCol w:w="60"/>
        <w:gridCol w:w="60"/>
        <w:gridCol w:w="234"/>
        <w:gridCol w:w="1105"/>
        <w:gridCol w:w="60"/>
      </w:tblGrid>
      <w:tr>
        <w:trPr/>
        <w:tc>
          <w:tcPr>
            <w:tcW w:w="18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Raw materials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35,892</w:t>
            </w:r>
          </w:p>
        </w:tc>
        <w:tc>
          <w:tcPr>
            <w:tcW w:w="60" w:type="dxa"/>
            <w:tcBorders/>
            <w:shd w:fill="CCEEFF" w:val="clear"/>
            <w:vAlign w:val="center"/>
          </w:tcPr>
          <w:p>
            <w:pPr>
              <w:pStyle w:val="TableContents"/>
              <w:bidi w:val="0"/>
              <w:spacing w:before="0" w:after="283"/>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Work-in-process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19,633</w:t>
            </w:r>
          </w:p>
        </w:tc>
        <w:tc>
          <w:tcPr>
            <w:tcW w:w="60" w:type="dxa"/>
            <w:tcBorders/>
            <w:shd w:fill="FFFFFF" w:val="clear"/>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Finished goods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9,888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program costs</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5,756</w:t>
            </w:r>
          </w:p>
        </w:tc>
        <w:tc>
          <w:tcPr>
            <w:tcW w:w="60" w:type="dxa"/>
            <w:tcBorders/>
            <w:shd w:fill="FFFFFF" w:val="clear"/>
            <w:vAlign w:val="center"/>
          </w:tcPr>
          <w:p>
            <w:pPr>
              <w:pStyle w:val="TableContents"/>
              <w:bidi w:val="0"/>
              <w:spacing w:before="0" w:after="0"/>
              <w:jc w:val="left"/>
              <w:rPr/>
            </w:pPr>
            <w:r>
              <w:rPr/>
              <w:t> </w:t>
            </w:r>
          </w:p>
        </w:tc>
      </w:tr>
      <w:tr>
        <w:trPr/>
        <w:tc>
          <w:tcPr>
            <w:tcW w:w="18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71,169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inventory write-downs of $0.4 million </w:t>
      </w:r>
      <w:r>
        <w:rPr>
          <w:rFonts w:ascii="Times New Roman;Times;serif" w:hAnsi="Times New Roman;Times;serif"/>
          <w:sz w:val="20"/>
        </w:rPr>
        <w:t>f</w:t>
      </w:r>
      <w:r>
        <w:rPr>
          <w:rFonts w:ascii="Times New Roman;Times;serif" w:hAnsi="Times New Roman;Times;serif"/>
          <w:sz w:val="20"/>
          <w:shd w:fill="FFFFFF" w:val="clear"/>
        </w:rPr>
        <w:t xml:space="preserve">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December 31, 2025</w:t>
      </w:r>
      <w:r>
        <w:rPr>
          <w:rFonts w:ascii="Times New Roman;Times;serif" w:hAnsi="Times New Roman;Times;serif"/>
          <w:sz w:val="20"/>
          <w:shd w:fill="FFFFFF" w:val="clear"/>
        </w:rPr>
        <w:t> and </w:t>
      </w:r>
      <w:r>
        <w:rPr>
          <w:rStyle w:val="Emphasis"/>
          <w:rFonts w:ascii="Times New Roman;Times;serif" w:hAnsi="Times New Roman;Times;serif"/>
          <w:sz w:val="20"/>
        </w:rPr>
        <w:t>2024</w:t>
      </w:r>
      <w:r>
        <w:rPr>
          <w:rFonts w:ascii="Times New Roman;Times;serif" w:hAnsi="Times New Roman;Times;serif"/>
          <w:sz w:val="20"/>
          <w:shd w:fill="FFFFFF" w:val="clear"/>
        </w:rPr>
        <w:t>.</w:t>
      </w:r>
      <w:r>
        <w:rPr>
          <w:rFonts w:ascii="Times New Roman;Times;serif" w:hAnsi="Times New Roman;Times;serif"/>
          <w:sz w:val="20"/>
        </w:rPr>
        <w:t> </w:t>
      </w:r>
      <w:r>
        <w:rPr>
          <w:rFonts w:ascii="Times New Roman;Times;serif" w:hAnsi="Times New Roman;Times;serif"/>
          <w:sz w:val="20"/>
          <w:shd w:fill="FFFFFF" w:val="clear"/>
        </w:rPr>
        <w:t>The Company recorded inventory write-downs of $2.2 million and $1.2 million </w:t>
      </w:r>
      <w:r>
        <w:rPr>
          <w:rFonts w:ascii="Times New Roman;Times;serif" w:hAnsi="Times New Roman;Times;serif"/>
          <w:sz w:val="20"/>
        </w:rPr>
        <w:t>f</w:t>
      </w:r>
      <w:r>
        <w:rPr>
          <w:rFonts w:ascii="Times New Roman;Times;serif" w:hAnsi="Times New Roman;Times;serif"/>
          <w:sz w:val="20"/>
          <w:shd w:fill="FFFFFF" w:val="clear"/>
        </w:rPr>
        <w:t>or the </w:t>
      </w:r>
      <w:r>
        <w:rPr>
          <w:rStyle w:val="Emphasis"/>
          <w:rFonts w:ascii="Times New Roman;Times;serif" w:hAnsi="Times New Roman;Times;serif"/>
          <w:sz w:val="20"/>
          <w:shd w:fill="FFFFFF" w:val="clear"/>
        </w:rPr>
        <w:t>nine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December 31, 2025</w:t>
      </w:r>
      <w:r>
        <w:rPr>
          <w:rFonts w:ascii="Times New Roman;Times;serif" w:hAnsi="Times New Roman;Times;serif"/>
          <w:sz w:val="20"/>
          <w:shd w:fill="FFFFFF" w:val="clear"/>
        </w:rPr>
        <w:t> and </w:t>
      </w:r>
      <w:r>
        <w:rPr>
          <w:rStyle w:val="Emphasis"/>
          <w:rFonts w:ascii="Times New Roman;Times;serif" w:hAnsi="Times New Roman;Times;serif"/>
          <w:sz w:val="20"/>
        </w:rPr>
        <w:t>2024</w:t>
      </w:r>
      <w:r>
        <w:rPr>
          <w:rFonts w:ascii="Times New Roman;Times;serif" w:hAnsi="Times New Roman;Times;serif"/>
          <w:sz w:val="20"/>
          <w:shd w:fill="FFFFFF" w:val="clear"/>
        </w:rPr>
        <w:t>, respectively. </w:t>
      </w:r>
      <w:r>
        <w:rPr>
          <w:rFonts w:ascii="Times New Roman;Times;serif" w:hAnsi="Times New Roman;Times;serif"/>
          <w:sz w:val="20"/>
        </w:rPr>
        <w:t>These write-downs were based on the Company's evaluation of its inventory on hand for excess quantities and obsolescence.</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Deferred program costs as of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primarily represent costs incurred on programs where the Company needs to complete performance obligations before the related revenue and costs will be recognized.</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Property, Plant and Equipment</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cost and accumulated depreciation of property, plant and equipment at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are as follows (in thousands):</w:t>
      </w:r>
    </w:p>
    <w:p>
      <w:pPr>
        <w:pStyle w:val="TextBody"/>
        <w:bidi w:val="0"/>
        <w:spacing w:before="0" w:after="0"/>
        <w:ind w:left="0" w:right="0" w:hanging="0"/>
        <w:jc w:val="left"/>
        <w:rPr/>
      </w:pPr>
      <w:r>
        <w:rPr/>
        <w:t> </w:t>
      </w:r>
    </w:p>
    <w:tbl>
      <w:tblPr>
        <w:tblW w:w="6308" w:type="dxa"/>
        <w:jc w:val="left"/>
        <w:tblInd w:w="0" w:type="dxa"/>
        <w:tblLayout w:type="fixed"/>
        <w:tblCellMar>
          <w:top w:w="0" w:type="dxa"/>
          <w:left w:w="0" w:type="dxa"/>
          <w:bottom w:w="0" w:type="dxa"/>
          <w:right w:w="0" w:type="dxa"/>
        </w:tblCellMar>
      </w:tblPr>
      <w:tblGrid>
        <w:gridCol w:w="3080"/>
        <w:gridCol w:w="60"/>
        <w:gridCol w:w="243"/>
        <w:gridCol w:w="1366"/>
        <w:gridCol w:w="80"/>
        <w:gridCol w:w="60"/>
        <w:gridCol w:w="216"/>
        <w:gridCol w:w="1123"/>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Land</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22,650</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in progress – equipment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1,371</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Buildings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7,528</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and software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47,774</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7,969</w:t>
            </w:r>
          </w:p>
        </w:tc>
        <w:tc>
          <w:tcPr>
            <w:tcW w:w="80" w:type="dxa"/>
            <w:tcBorders/>
            <w:shd w:fill="FFFFFF" w:val="clear"/>
            <w:vAlign w:val="center"/>
          </w:tcPr>
          <w:p>
            <w:pPr>
              <w:pStyle w:val="TableContents"/>
              <w:bidi w:val="0"/>
              <w:spacing w:before="0" w:after="0"/>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plant and equipment, gross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136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137,494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112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88,964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(50,043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(50,392</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0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87,451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38,572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Depreciation expense was $1.0 million and $0.9 million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December 31,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respectively. Depreciation expense was $2.9 million and $2.3 million for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December 31,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respectively. The increase in land, building, and equipment and software relates to the property added as part of the Comtrafo Acquisition.</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Equity-Method Investments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in NWL Pacific Inc. Co., LTD</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a 50% ownership in NWL Pacific Inc. Co., LTD ("NWL Pacific"). The investment represents the Company's interest in NWL Pacific. The investment is a joint venture in South Korea established on </w:t>
      </w:r>
      <w:r>
        <w:rPr>
          <w:rStyle w:val="Emphasis"/>
          <w:rFonts w:ascii="Times New Roman;Times;serif" w:hAnsi="Times New Roman;Times;serif"/>
          <w:sz w:val="20"/>
        </w:rPr>
        <w:t>May 12, 1998.</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treats the equity investment in the condensed consolidated financial statements under the equity method. Equity method investments are equity securities in entities the Company does </w:t>
      </w:r>
      <w:r>
        <w:rPr>
          <w:rStyle w:val="Emphasis"/>
          <w:rFonts w:ascii="Times New Roman;Times;serif" w:hAnsi="Times New Roman;Times;serif"/>
          <w:sz w:val="20"/>
        </w:rPr>
        <w:t>not</w:t>
      </w:r>
      <w:r>
        <w:rPr>
          <w:rFonts w:ascii="Times New Roman;Times;serif" w:hAnsi="Times New Roman;Times;serif"/>
          <w:sz w:val="20"/>
        </w:rPr>
        <w:t xml:space="preserve"> control but over which it has the ability to exercise significant influence. These investments are accounted for under the equity method of accounting in accordance with ASC </w:t>
      </w:r>
      <w:r>
        <w:rPr>
          <w:rStyle w:val="Emphasis"/>
          <w:rFonts w:ascii="Times New Roman;Times;serif" w:hAnsi="Times New Roman;Times;serif"/>
          <w:sz w:val="20"/>
        </w:rPr>
        <w:t>323,</w:t>
      </w:r>
      <w:r>
        <w:rPr>
          <w:rFonts w:ascii="Times New Roman;Times;serif" w:hAnsi="Times New Roman;Times;serif"/>
          <w:sz w:val="20"/>
        </w:rPr>
        <w:t> </w:t>
      </w:r>
      <w:r>
        <w:rPr>
          <w:rFonts w:ascii="Times New Roman;Times;serif" w:hAnsi="Times New Roman;Times;serif"/>
          <w:i/>
          <w:sz w:val="20"/>
        </w:rPr>
        <w:t xml:space="preserve">Investments </w:t>
      </w:r>
      <w:r>
        <w:rPr>
          <w:rFonts w:ascii="Times New Roman;Times;serif" w:hAnsi="Times New Roman;Times;serif"/>
          <w:sz w:val="20"/>
        </w:rPr>
        <w:t xml:space="preserve">— </w:t>
      </w:r>
      <w:r>
        <w:rPr>
          <w:rFonts w:ascii="Times New Roman;Times;serif" w:hAnsi="Times New Roman;Times;serif"/>
          <w:i/>
          <w:sz w:val="20"/>
        </w:rPr>
        <w:t>Equity Method and Joint Ventures</w:t>
      </w:r>
      <w:r>
        <w:rPr>
          <w:rFonts w:ascii="Times New Roman;Times;serif" w:hAnsi="Times New Roman;Times;serif"/>
          <w:sz w:val="20"/>
        </w:rPr>
        <w:t>. Equity method investments are measured at cost minus impairment, if any, plus or minus the Company’s share of an investee’s income or loss, less distributions received. As of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the Compa</w:t>
      </w:r>
      <w:r>
        <w:rPr>
          <w:rFonts w:ascii="Times New Roman;Times;serif" w:hAnsi="Times New Roman;Times;serif"/>
          <w:sz w:val="20"/>
          <w:shd w:fill="FFFFFF" w:val="clear"/>
        </w:rPr>
        <w:t xml:space="preserve">ny did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have material accounts receivable nor accounts payable balances wi</w:t>
      </w:r>
      <w:r>
        <w:rPr>
          <w:rFonts w:ascii="Times New Roman;Times;serif" w:hAnsi="Times New Roman;Times;serif"/>
          <w:sz w:val="20"/>
        </w:rPr>
        <w:t>th NWL Pacific. The Company's investment in NWL Pacific was $1.6 million and $1.1 million as of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 xml:space="preserve">March 31, 2025, </w:t>
      </w:r>
      <w:r>
        <w:rPr>
          <w:rFonts w:ascii="Times New Roman;Times;serif" w:hAnsi="Times New Roman;Times;serif"/>
          <w:sz w:val="20"/>
        </w:rPr>
        <w:t>respectively.</w:t>
      </w:r>
    </w:p>
    <w:p>
      <w:pPr>
        <w:pStyle w:val="TextBody"/>
        <w:bidi w:val="0"/>
        <w:spacing w:before="0" w:after="0"/>
        <w:ind w:left="0" w:right="0" w:firstLine="720"/>
        <w:jc w:val="both"/>
        <w:rPr/>
      </w:pPr>
      <w:r>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The table below presents the summarized financial information for periods presented post-acquisition, as provided to the Company by the investee, for the unconsolidated company (in thousands):</w:t>
      </w:r>
    </w:p>
    <w:p>
      <w:pPr>
        <w:pStyle w:val="TextBody"/>
        <w:bidi w:val="0"/>
        <w:spacing w:before="0" w:after="0"/>
        <w:ind w:left="160" w:right="0" w:hanging="180"/>
        <w:jc w:val="left"/>
        <w:rPr>
          <w:caps w:val="false"/>
          <w:smallCaps w:val="false"/>
        </w:rPr>
      </w:pPr>
      <w:r>
        <w:rPr>
          <w:caps w:val="false"/>
          <w:smallCaps w:val="false"/>
        </w:rPr>
        <w:t> </w:t>
      </w:r>
    </w:p>
    <w:tbl>
      <w:tblPr>
        <w:tblW w:w="7873" w:type="dxa"/>
        <w:jc w:val="left"/>
        <w:tblInd w:w="0" w:type="dxa"/>
        <w:tblLayout w:type="fixed"/>
        <w:tblCellMar>
          <w:top w:w="0" w:type="dxa"/>
          <w:left w:w="0" w:type="dxa"/>
          <w:bottom w:w="0" w:type="dxa"/>
          <w:right w:w="0" w:type="dxa"/>
        </w:tblCellMar>
      </w:tblPr>
      <w:tblGrid>
        <w:gridCol w:w="1865"/>
        <w:gridCol w:w="60"/>
        <w:gridCol w:w="599"/>
        <w:gridCol w:w="2330"/>
        <w:gridCol w:w="60"/>
        <w:gridCol w:w="60"/>
        <w:gridCol w:w="581"/>
        <w:gridCol w:w="2258"/>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Three Months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Nine Months Ended December 31,</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left"/>
              <w:rPr>
                <w:sz w:val="20"/>
              </w:rPr>
            </w:pPr>
            <w:r>
              <w:rPr>
                <w:sz w:val="20"/>
              </w:rPr>
              <w:t>$</w:t>
            </w:r>
          </w:p>
        </w:tc>
        <w:tc>
          <w:tcPr>
            <w:tcW w:w="2330" w:type="dxa"/>
            <w:tcBorders/>
            <w:shd w:fill="CCEEFF" w:val="clear"/>
            <w:vAlign w:val="center"/>
          </w:tcPr>
          <w:p>
            <w:pPr>
              <w:pStyle w:val="TableContents"/>
              <w:bidi w:val="0"/>
              <w:spacing w:before="0" w:after="283"/>
              <w:ind w:left="0" w:right="0" w:hanging="0"/>
              <w:jc w:val="right"/>
              <w:rPr>
                <w:sz w:val="20"/>
              </w:rPr>
            </w:pPr>
            <w:r>
              <w:rPr>
                <w:sz w:val="20"/>
              </w:rPr>
              <w:t>2,317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1" w:type="dxa"/>
            <w:tcBorders/>
            <w:shd w:fill="CCEEFF" w:val="clear"/>
            <w:vAlign w:val="center"/>
          </w:tcPr>
          <w:p>
            <w:pPr>
              <w:pStyle w:val="TableContents"/>
              <w:bidi w:val="0"/>
              <w:spacing w:before="0" w:after="283"/>
              <w:ind w:left="0" w:right="0" w:hanging="0"/>
              <w:jc w:val="left"/>
              <w:rPr>
                <w:sz w:val="20"/>
              </w:rPr>
            </w:pPr>
            <w:r>
              <w:rPr>
                <w:sz w:val="20"/>
              </w:rPr>
              <w:t>$</w:t>
            </w:r>
          </w:p>
        </w:tc>
        <w:tc>
          <w:tcPr>
            <w:tcW w:w="2258" w:type="dxa"/>
            <w:tcBorders/>
            <w:shd w:fill="CCEEFF" w:val="clear"/>
            <w:vAlign w:val="center"/>
          </w:tcPr>
          <w:p>
            <w:pPr>
              <w:pStyle w:val="TableContents"/>
              <w:bidi w:val="0"/>
              <w:spacing w:before="0" w:after="283"/>
              <w:ind w:left="0" w:right="0" w:hanging="0"/>
              <w:jc w:val="right"/>
              <w:rPr>
                <w:sz w:val="20"/>
              </w:rPr>
            </w:pPr>
            <w:r>
              <w:rPr>
                <w:sz w:val="20"/>
              </w:rPr>
              <w:t>6,003</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ind w:left="0" w:right="0" w:hanging="0"/>
              <w:jc w:val="left"/>
              <w:rPr/>
            </w:pPr>
            <w:r>
              <w:rPr/>
              <w:t> </w:t>
            </w:r>
          </w:p>
        </w:tc>
        <w:tc>
          <w:tcPr>
            <w:tcW w:w="2330" w:type="dxa"/>
            <w:tcBorders/>
            <w:shd w:fill="FFFFFF" w:val="clear"/>
            <w:vAlign w:val="center"/>
          </w:tcPr>
          <w:p>
            <w:pPr>
              <w:pStyle w:val="TableContents"/>
              <w:bidi w:val="0"/>
              <w:spacing w:before="0" w:after="283"/>
              <w:ind w:left="0" w:right="0" w:hanging="0"/>
              <w:jc w:val="right"/>
              <w:rPr>
                <w:sz w:val="20"/>
              </w:rPr>
            </w:pPr>
            <w:r>
              <w:rPr>
                <w:sz w:val="20"/>
              </w:rPr>
              <w:t>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ind w:left="0" w:right="0" w:hanging="0"/>
              <w:jc w:val="left"/>
              <w:rPr/>
            </w:pPr>
            <w:r>
              <w:rPr/>
              <w:t> </w:t>
            </w:r>
          </w:p>
        </w:tc>
        <w:tc>
          <w:tcPr>
            <w:tcW w:w="2258" w:type="dxa"/>
            <w:tcBorders/>
            <w:shd w:fill="FFFFFF" w:val="clear"/>
            <w:vAlign w:val="center"/>
          </w:tcPr>
          <w:p>
            <w:pPr>
              <w:pStyle w:val="TableContents"/>
              <w:bidi w:val="0"/>
              <w:spacing w:before="0" w:after="283"/>
              <w:ind w:left="0" w:right="0" w:hanging="0"/>
              <w:jc w:val="right"/>
              <w:rPr>
                <w:sz w:val="20"/>
              </w:rPr>
            </w:pPr>
            <w:r>
              <w:rPr>
                <w:sz w:val="20"/>
              </w:rPr>
              <w:t>2,508</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Income from operation</w:t>
            </w:r>
          </w:p>
        </w:tc>
        <w:tc>
          <w:tcPr>
            <w:tcW w:w="60" w:type="dxa"/>
            <w:tcBorders/>
            <w:shd w:fill="CCEEFF" w:val="clear"/>
            <w:vAlign w:val="center"/>
          </w:tcPr>
          <w:p>
            <w:pPr>
              <w:pStyle w:val="TableContents"/>
              <w:bidi w:val="0"/>
              <w:spacing w:before="0" w:after="283"/>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1,089</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23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2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1,221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Accounts Payable and Accrued Expenses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Accounts payable and accrued expenses at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consisted of the following (in thousands):</w:t>
      </w:r>
    </w:p>
    <w:p>
      <w:pPr>
        <w:pStyle w:val="TextBody"/>
        <w:bidi w:val="0"/>
        <w:spacing w:before="0" w:after="0"/>
        <w:ind w:left="0" w:right="0" w:firstLine="555"/>
        <w:jc w:val="both"/>
        <w:rPr/>
      </w:pPr>
      <w:r>
        <w:rPr/>
        <w:t> </w:t>
      </w:r>
    </w:p>
    <w:tbl>
      <w:tblPr>
        <w:tblW w:w="6328" w:type="dxa"/>
        <w:jc w:val="left"/>
        <w:tblInd w:w="0" w:type="dxa"/>
        <w:tblLayout w:type="fixed"/>
        <w:tblCellMar>
          <w:top w:w="0" w:type="dxa"/>
          <w:left w:w="0" w:type="dxa"/>
          <w:bottom w:w="0" w:type="dxa"/>
          <w:right w:w="0" w:type="dxa"/>
        </w:tblCellMar>
      </w:tblPr>
      <w:tblGrid>
        <w:gridCol w:w="3140"/>
        <w:gridCol w:w="60"/>
        <w:gridCol w:w="280"/>
        <w:gridCol w:w="1329"/>
        <w:gridCol w:w="60"/>
        <w:gridCol w:w="60"/>
        <w:gridCol w:w="234"/>
        <w:gridCol w:w="1105"/>
        <w:gridCol w:w="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sz w:val="20"/>
              </w:rPr>
            </w:pPr>
            <w:r>
              <w:rPr>
                <w:sz w:val="20"/>
              </w:rPr>
              <w:t>$</w:t>
            </w:r>
          </w:p>
        </w:tc>
        <w:tc>
          <w:tcPr>
            <w:tcW w:w="1329" w:type="dxa"/>
            <w:tcBorders/>
            <w:shd w:fill="CCEEFF" w:val="clear"/>
            <w:vAlign w:val="center"/>
          </w:tcPr>
          <w:p>
            <w:pPr>
              <w:pStyle w:val="TableContents"/>
              <w:bidi w:val="0"/>
              <w:spacing w:before="0" w:after="283"/>
              <w:jc w:val="right"/>
              <w:rPr>
                <w:sz w:val="20"/>
              </w:rPr>
            </w:pPr>
            <w:r>
              <w:rPr>
                <w:sz w:val="20"/>
              </w:rPr>
              <w:t>16,186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sz w:val="20"/>
              </w:rPr>
            </w:pPr>
            <w:r>
              <w:rPr>
                <w:sz w:val="20"/>
              </w:rPr>
              <w:t>$</w:t>
            </w:r>
          </w:p>
        </w:tc>
        <w:tc>
          <w:tcPr>
            <w:tcW w:w="1105" w:type="dxa"/>
            <w:tcBorders/>
            <w:shd w:fill="CCEEFF" w:val="clear"/>
            <w:vAlign w:val="center"/>
          </w:tcPr>
          <w:p>
            <w:pPr>
              <w:pStyle w:val="TableContents"/>
              <w:bidi w:val="0"/>
              <w:spacing w:before="0" w:after="283"/>
              <w:jc w:val="right"/>
              <w:rPr>
                <w:sz w:val="20"/>
              </w:rPr>
            </w:pPr>
            <w:r>
              <w:rPr>
                <w:sz w:val="20"/>
              </w:rPr>
              <w:t>6,733</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inventories in-transit</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sz w:val="20"/>
              </w:rPr>
            </w:pPr>
            <w:r>
              <w:rPr>
                <w:sz w:val="20"/>
              </w:rPr>
              <w:t>1,855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2,111</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other miscellaneous expenses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sz w:val="20"/>
              </w:rPr>
            </w:pPr>
            <w:r>
              <w:rPr>
                <w:sz w:val="20"/>
              </w:rPr>
              <w:t>5,903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3,600</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contract loss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97</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Advanced deposits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sz w:val="20"/>
              </w:rPr>
            </w:pPr>
            <w:r>
              <w:rPr>
                <w:sz w:val="20"/>
              </w:rPr>
              <w:t>1,630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1,267</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sz w:val="20"/>
              </w:rPr>
            </w:pPr>
            <w:r>
              <w:rPr>
                <w:sz w:val="20"/>
              </w:rPr>
              <w:t>12,768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13,418</w:t>
            </w:r>
          </w:p>
        </w:tc>
        <w:tc>
          <w:tcPr>
            <w:tcW w:w="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329" w:type="dxa"/>
            <w:tcBorders/>
            <w:shd w:fill="CCEEFF" w:val="clear"/>
            <w:vAlign w:val="center"/>
          </w:tcPr>
          <w:p>
            <w:pPr>
              <w:pStyle w:val="TableContents"/>
              <w:bidi w:val="0"/>
              <w:spacing w:before="0" w:after="283"/>
              <w:jc w:val="right"/>
              <w:rPr>
                <w:sz w:val="20"/>
              </w:rPr>
            </w:pPr>
            <w:r>
              <w:rPr>
                <w:sz w:val="20"/>
              </w:rPr>
              <w:t>1,895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right"/>
              <w:rPr>
                <w:sz w:val="20"/>
              </w:rPr>
            </w:pPr>
            <w:r>
              <w:rPr>
                <w:sz w:val="20"/>
              </w:rPr>
              <w:t>305</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product warranty</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329" w:type="dxa"/>
            <w:tcBorders/>
            <w:shd w:fill="FFFFFF" w:val="clear"/>
            <w:vAlign w:val="center"/>
          </w:tcPr>
          <w:p>
            <w:pPr>
              <w:pStyle w:val="TableContents"/>
              <w:bidi w:val="0"/>
              <w:spacing w:before="0" w:after="283"/>
              <w:jc w:val="right"/>
              <w:rPr>
                <w:sz w:val="20"/>
              </w:rPr>
            </w:pPr>
            <w:r>
              <w:rPr>
                <w:sz w:val="20"/>
              </w:rPr>
              <w:t>4,066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sz w:val="20"/>
              </w:rPr>
            </w:pPr>
            <w:r>
              <w:rPr>
                <w:sz w:val="20"/>
              </w:rPr>
              <w:t>3,033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commissions</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2,299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1,718</w:t>
            </w:r>
          </w:p>
        </w:tc>
        <w:tc>
          <w:tcPr>
            <w:tcW w:w="60" w:type="dxa"/>
            <w:tcBorders/>
            <w:shd w:fill="CCEEFF" w:val="clear"/>
            <w:vAlign w:val="center"/>
          </w:tcPr>
          <w:p>
            <w:pPr>
              <w:pStyle w:val="TableContents"/>
              <w:bidi w:val="0"/>
              <w:spacing w:before="0" w:after="0"/>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46,602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sz w:val="20"/>
              </w:rPr>
            </w:pPr>
            <w:r>
              <w:rPr>
                <w:sz w:val="20"/>
              </w:rPr>
              <w:t>32,282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55"/>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Product warranty activity was as follows (in thousands):</w:t>
      </w:r>
    </w:p>
    <w:p>
      <w:pPr>
        <w:pStyle w:val="TextBody"/>
        <w:bidi w:val="0"/>
        <w:spacing w:before="0" w:after="0"/>
        <w:ind w:left="0" w:right="0" w:firstLine="720"/>
        <w:jc w:val="both"/>
        <w:rPr/>
      </w:pPr>
      <w:r>
        <w:rPr/>
        <w:t> </w:t>
      </w:r>
    </w:p>
    <w:tbl>
      <w:tblPr>
        <w:tblW w:w="9513" w:type="dxa"/>
        <w:jc w:val="left"/>
        <w:tblInd w:w="0" w:type="dxa"/>
        <w:tblLayout w:type="fixed"/>
        <w:tblCellMar>
          <w:top w:w="0" w:type="dxa"/>
          <w:left w:w="0" w:type="dxa"/>
          <w:bottom w:w="0" w:type="dxa"/>
          <w:right w:w="0" w:type="dxa"/>
        </w:tblCellMar>
      </w:tblPr>
      <w:tblGrid>
        <w:gridCol w:w="3470"/>
        <w:gridCol w:w="60"/>
        <w:gridCol w:w="269"/>
        <w:gridCol w:w="1044"/>
        <w:gridCol w:w="172"/>
        <w:gridCol w:w="129"/>
        <w:gridCol w:w="269"/>
        <w:gridCol w:w="1044"/>
        <w:gridCol w:w="80"/>
        <w:gridCol w:w="60"/>
        <w:gridCol w:w="239"/>
        <w:gridCol w:w="1045"/>
        <w:gridCol w:w="153"/>
        <w:gridCol w:w="115"/>
        <w:gridCol w:w="239"/>
        <w:gridCol w:w="1045"/>
        <w:gridCol w:w="80"/>
      </w:tblGrid>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7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3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2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3,333</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3,033</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Acquired warranty obligations</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17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104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153"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Provisions for warranties during the period</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1,619</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 during the period</w:t>
            </w:r>
          </w:p>
        </w:tc>
        <w:tc>
          <w:tcPr>
            <w:tcW w:w="60" w:type="dxa"/>
            <w:tcBorders/>
            <w:shd w:fill="FFFF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172"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 w:type="dxa"/>
            <w:tcBorders/>
            <w:shd w:fill="FFFFFF" w:val="clear"/>
            <w:vAlign w:val="center"/>
          </w:tcPr>
          <w:p>
            <w:pPr>
              <w:pStyle w:val="TableContents"/>
              <w:bidi w:val="0"/>
              <w:spacing w:before="0" w:after="0"/>
              <w:ind w:left="0" w:right="0" w:hanging="0"/>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15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0"/>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4,066</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4,066</w:t>
            </w:r>
          </w:p>
        </w:tc>
        <w:tc>
          <w:tcPr>
            <w:tcW w:w="153"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Income Taxes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The Company recorded income tax benefits of $112.4 million and $112.1 million for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nine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December 31, 2025</w:t>
      </w:r>
      <w:r>
        <w:rPr>
          <w:rFonts w:ascii="Times New Roman;Times;serif" w:hAnsi="Times New Roman;Times;serif"/>
          <w:sz w:val="20"/>
          <w:shd w:fill="FFFFFF" w:val="clear"/>
        </w:rPr>
        <w:t>, respectively, and income tax benefit of $0.1 million and $4.9 million for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nine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shd w:fill="FFFFFF" w:val="clear"/>
        </w:rPr>
        <w:t>December 31, 2024</w:t>
      </w:r>
      <w:r>
        <w:rPr>
          <w:rFonts w:ascii="Times New Roman;Times;serif" w:hAnsi="Times New Roman;Times;serif"/>
          <w:sz w:val="20"/>
          <w:shd w:fill="FFFFFF" w:val="clear"/>
        </w:rPr>
        <w:t>, respectively.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a quarterly basis, the Company reassesses the valuation allowance on deferred income tax assets, weighing positive and negative evidence to assess the recoverability of the deferred tax assets. As of </w:t>
      </w:r>
      <w:r>
        <w:rPr>
          <w:rStyle w:val="Emphasis"/>
          <w:rFonts w:ascii="Times New Roman;Times;serif" w:hAnsi="Times New Roman;Times;serif"/>
          <w:sz w:val="20"/>
          <w:shd w:fill="FFFFFF" w:val="clear"/>
        </w:rPr>
        <w:t>December 31, 2025</w:t>
      </w:r>
      <w:r>
        <w:rPr>
          <w:rFonts w:ascii="Times New Roman;Times;serif" w:hAnsi="Times New Roman;Times;serif"/>
          <w:sz w:val="20"/>
        </w:rPr>
        <w:t xml:space="preserve">, the Company recorded a $113.1 million non-cash income tax benefit related to the release of a substantial portion of its valuation allowance against deferred tax assets. This was based on the Company's evaluation of the positive evidence, including cumulative income position over the </w:t>
      </w:r>
      <w:r>
        <w:rPr>
          <w:rStyle w:val="Emphasis"/>
          <w:rFonts w:ascii="Times New Roman;Times;serif" w:hAnsi="Times New Roman;Times;serif"/>
          <w:sz w:val="20"/>
        </w:rPr>
        <w:t>three</w:t>
      </w:r>
      <w:r>
        <w:rPr>
          <w:rFonts w:ascii="Times New Roman;Times;serif" w:hAnsi="Times New Roman;Times;serif"/>
          <w:sz w:val="20"/>
        </w:rPr>
        <w:t xml:space="preserve">-year period </w:t>
      </w:r>
      <w:r>
        <w:rPr>
          <w:rStyle w:val="Emphasis"/>
          <w:rFonts w:ascii="Times New Roman;Times;serif" w:hAnsi="Times New Roman;Times;serif"/>
          <w:sz w:val="20"/>
        </w:rPr>
        <w:t>December 31, 2025</w:t>
      </w:r>
      <w:r>
        <w:rPr>
          <w:rFonts w:ascii="Times New Roman;Times;serif" w:hAnsi="Times New Roman;Times;serif"/>
          <w:sz w:val="20"/>
        </w:rPr>
        <w:t>, revenue growth, current profitability, expectations regarding future forecasted income, and negative evidence, including uncertainty in economic and political environments from industry competition and dependence on government contracts. This release of the valuation allowance resulted in the recognition of a deferred tax asset and a corresponding increase to income tax benefit in the current period, the effect of which is an increase in reported net income.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July 4, 2025, </w:t>
      </w:r>
      <w:r>
        <w:rPr>
          <w:rFonts w:ascii="Times New Roman;Times;serif" w:hAnsi="Times New Roman;Times;serif"/>
          <w:sz w:val="20"/>
        </w:rPr>
        <w:t xml:space="preserve">the reconciliation bill, commonly referred to as the One Big Beautiful Bill ("OBBB") was signed into law, which includes a broad range of tax reform provisions that </w:t>
      </w:r>
      <w:r>
        <w:rPr>
          <w:rStyle w:val="Emphasis"/>
          <w:rFonts w:ascii="Times New Roman;Times;serif" w:hAnsi="Times New Roman;Times;serif"/>
          <w:sz w:val="20"/>
        </w:rPr>
        <w:t xml:space="preserve">may </w:t>
      </w:r>
      <w:r>
        <w:rPr>
          <w:rFonts w:ascii="Times New Roman;Times;serif" w:hAnsi="Times New Roman;Times;serif"/>
          <w:sz w:val="20"/>
        </w:rPr>
        <w:t xml:space="preserve">affect the company's financial results. The OBBB allows an elective deduction for domestic Research and Development (R&amp;D), a reinstatement of elective </w:t>
      </w:r>
      <w:r>
        <w:rPr>
          <w:rStyle w:val="Emphasis"/>
          <w:rFonts w:ascii="Times New Roman;Times;serif" w:hAnsi="Times New Roman;Times;serif"/>
          <w:sz w:val="20"/>
        </w:rPr>
        <w:t>100%</w:t>
      </w:r>
      <w:r>
        <w:rPr>
          <w:rFonts w:ascii="Times New Roman;Times;serif" w:hAnsi="Times New Roman;Times;serif"/>
          <w:sz w:val="20"/>
        </w:rPr>
        <w:t xml:space="preserve"> </w:t>
      </w:r>
      <w:r>
        <w:rPr>
          <w:rStyle w:val="Emphasis"/>
          <w:rFonts w:ascii="Times New Roman;Times;serif" w:hAnsi="Times New Roman;Times;serif"/>
          <w:sz w:val="20"/>
        </w:rPr>
        <w:t>first</w:t>
      </w:r>
      <w:r>
        <w:rPr>
          <w:rFonts w:ascii="Times New Roman;Times;serif" w:hAnsi="Times New Roman;Times;serif"/>
          <w:sz w:val="20"/>
        </w:rPr>
        <w:t xml:space="preserve">-year bonus depreciation, and a more favorable tax rate on Foreign-derived Deduction Eligible Income and income from non-U.S. subsidiaries (Net CFC Tested Income), among other provisions. The Company has performed an initial evaluation of the impact of the OBBB on the Company's effective tax rate and deferred tax assets in </w:t>
      </w:r>
      <w:r>
        <w:rPr>
          <w:rStyle w:val="Emphasis"/>
          <w:rFonts w:ascii="Times New Roman;Times;serif" w:hAnsi="Times New Roman;Times;serif"/>
          <w:sz w:val="20"/>
        </w:rPr>
        <w:t>2025</w:t>
      </w:r>
      <w:r>
        <w:rPr>
          <w:rFonts w:ascii="Times New Roman;Times;serif" w:hAnsi="Times New Roman;Times;serif"/>
          <w:sz w:val="20"/>
        </w:rPr>
        <w:t xml:space="preserve"> and future periods. Based on this initial evaluation, the Company believes the tax reform provisions will </w:t>
      </w:r>
      <w:r>
        <w:rPr>
          <w:rStyle w:val="Emphasis"/>
          <w:rFonts w:ascii="Times New Roman;Times;serif" w:hAnsi="Times New Roman;Times;serif"/>
          <w:sz w:val="20"/>
        </w:rPr>
        <w:t>not</w:t>
      </w:r>
      <w:r>
        <w:rPr>
          <w:rFonts w:ascii="Times New Roman;Times;serif" w:hAnsi="Times New Roman;Times;serif"/>
          <w:sz w:val="20"/>
        </w:rPr>
        <w:t xml:space="preserve"> have a material impact on the Company’s consolidated financial statements and related disclosures.  We will continue to assess the implications of the OBBB, and our tax provision </w:t>
      </w:r>
      <w:r>
        <w:rPr>
          <w:rStyle w:val="Emphasis"/>
          <w:rFonts w:ascii="Times New Roman;Times;serif" w:hAnsi="Times New Roman;Times;serif"/>
          <w:sz w:val="20"/>
        </w:rPr>
        <w:t xml:space="preserve">may </w:t>
      </w:r>
      <w:r>
        <w:rPr>
          <w:rFonts w:ascii="Times New Roman;Times;serif" w:hAnsi="Times New Roman;Times;serif"/>
          <w:sz w:val="20"/>
        </w:rPr>
        <w:t>be further impacted as additional guidance from the U.S. Department of the Treasury is released.</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Accounting for income taxes requires a </w:t>
      </w:r>
      <w:r>
        <w:rPr>
          <w:rStyle w:val="Emphasis"/>
          <w:rFonts w:ascii="Times New Roman;Times;serif" w:hAnsi="Times New Roman;Times;serif"/>
          <w:sz w:val="20"/>
        </w:rPr>
        <w:t>two</w:t>
      </w:r>
      <w:r>
        <w:rPr>
          <w:rFonts w:ascii="Times New Roman;Times;serif" w:hAnsi="Times New Roman;Times;serif"/>
          <w:sz w:val="20"/>
        </w:rPr>
        <w:t xml:space="preserve">-step approach to recognizing and measuring uncertain tax positions. The </w:t>
      </w:r>
      <w:r>
        <w:rPr>
          <w:rStyle w:val="Emphasis"/>
          <w:rFonts w:ascii="Times New Roman;Times;serif" w:hAnsi="Times New Roman;Times;serif"/>
          <w:sz w:val="20"/>
        </w:rPr>
        <w:t>first</w:t>
      </w:r>
      <w:r>
        <w:rPr>
          <w:rFonts w:ascii="Times New Roman;Times;serif" w:hAnsi="Times New Roman;Times;serif"/>
          <w:sz w:val="20"/>
        </w:rPr>
        <w:t xml:space="preserve"> step is to evaluate the tax position for recognition by determining if, based on the technical merits, it is more likely than </w:t>
      </w:r>
      <w:r>
        <w:rPr>
          <w:rStyle w:val="Emphasis"/>
          <w:rFonts w:ascii="Times New Roman;Times;serif" w:hAnsi="Times New Roman;Times;serif"/>
          <w:sz w:val="20"/>
        </w:rPr>
        <w:t>not</w:t>
      </w:r>
      <w:r>
        <w:rPr>
          <w:rFonts w:ascii="Times New Roman;Times;serif" w:hAnsi="Times New Roman;Times;serif"/>
          <w:sz w:val="20"/>
        </w:rPr>
        <w:t xml:space="preserve"> the position will be sustained upon audit, including resolution of related appeals or litigation processes, if any. The </w:t>
      </w:r>
      <w:r>
        <w:rPr>
          <w:rStyle w:val="Emphasis"/>
          <w:rFonts w:ascii="Times New Roman;Times;serif" w:hAnsi="Times New Roman;Times;serif"/>
          <w:sz w:val="20"/>
        </w:rPr>
        <w:t>second</w:t>
      </w:r>
      <w:r>
        <w:rPr>
          <w:rFonts w:ascii="Times New Roman;Times;serif" w:hAnsi="Times New Roman;Times;serif"/>
          <w:sz w:val="20"/>
        </w:rPr>
        <w:t xml:space="preserve"> step is to measure the tax benefit as the largest amount that is more than </w:t>
      </w:r>
      <w:r>
        <w:rPr>
          <w:rStyle w:val="Emphasis"/>
          <w:rFonts w:ascii="Times New Roman;Times;serif" w:hAnsi="Times New Roman;Times;serif"/>
          <w:sz w:val="20"/>
        </w:rPr>
        <w:t>50%</w:t>
      </w:r>
      <w:r>
        <w:rPr>
          <w:rFonts w:ascii="Times New Roman;Times;serif" w:hAnsi="Times New Roman;Times;serif"/>
          <w:sz w:val="20"/>
        </w:rPr>
        <w:t xml:space="preserve"> likely to be realized upon ultimate settlement. The Company re-evaluates these uncertain tax positions on a quarterly basis. The evaluation is based on factors including, but </w:t>
      </w:r>
      <w:r>
        <w:rPr>
          <w:rStyle w:val="Emphasis"/>
          <w:rFonts w:ascii="Times New Roman;Times;serif" w:hAnsi="Times New Roman;Times;serif"/>
          <w:sz w:val="20"/>
        </w:rPr>
        <w:t>not</w:t>
      </w:r>
      <w:r>
        <w:rPr>
          <w:rFonts w:ascii="Times New Roman;Times;serif" w:hAnsi="Times New Roman;Times;serif"/>
          <w:sz w:val="20"/>
        </w:rPr>
        <w:t xml:space="preserve">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xml:space="preserve"> and did not have any gross unrecognized tax benefits as of </w:t>
      </w:r>
      <w:r>
        <w:rPr>
          <w:rStyle w:val="Emphasis"/>
          <w:rFonts w:ascii="Times New Roman;Times;serif" w:hAnsi="Times New Roman;Times;serif"/>
          <w:sz w:val="20"/>
          <w:shd w:fill="FFFFFF" w:val="clear"/>
        </w:rPr>
        <w:t>December 31, 2025</w:t>
      </w:r>
      <w:r>
        <w:rPr>
          <w:rFonts w:ascii="Times New Roman;Times;serif" w:hAnsi="Times New Roman;Times;serif"/>
          <w:sz w:val="20"/>
        </w:rPr>
        <w:t>.</w:t>
      </w:r>
    </w:p>
    <w:p>
      <w:pPr>
        <w:pStyle w:val="TextBody"/>
        <w:bidi w:val="0"/>
        <w:spacing w:before="0" w:after="0"/>
        <w:ind w:left="0" w:right="0" w:firstLine="555"/>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14.</w:t>
      </w:r>
      <w:r>
        <w:rPr>
          <w:rFonts w:ascii="Times New Roman;Times;serif" w:hAnsi="Times New Roman;Times;serif"/>
          <w:b/>
          <w:sz w:val="20"/>
        </w:rPr>
        <w:t xml:space="preserve"> Contingent Consideration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NEPSI Contingent Consideration</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On </w:t>
      </w:r>
      <w:r>
        <w:rPr>
          <w:rStyle w:val="Emphasis"/>
          <w:rFonts w:ascii="Times New Roman;Times;serif" w:hAnsi="Times New Roman;Times;serif"/>
          <w:sz w:val="20"/>
        </w:rPr>
        <w:t>October 1, 2020 (</w:t>
      </w:r>
      <w:r>
        <w:rPr>
          <w:rFonts w:ascii="Times New Roman;Times;serif" w:hAnsi="Times New Roman;Times;serif"/>
          <w:sz w:val="20"/>
        </w:rPr>
        <w:t>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segment. The purchase price was $26.0 million in cash and 873,657 restricted shares of common stock of the Company. As part of the transaction, the selling stockholders were entitled to receive up to an additional 1,000,000 shares of common stock of the Company upon the achievement of certain specified revenue objectives during varying periods of up to </w:t>
      </w:r>
      <w:r>
        <w:rPr>
          <w:rStyle w:val="Emphasis"/>
          <w:rFonts w:ascii="Times New Roman;Times;serif" w:hAnsi="Times New Roman;Times;serif"/>
          <w:sz w:val="20"/>
        </w:rPr>
        <w:t>four</w:t>
      </w:r>
      <w:r>
        <w:rPr>
          <w:rFonts w:ascii="Times New Roman;Times;serif" w:hAnsi="Times New Roman;Times;serif"/>
          <w:sz w:val="20"/>
        </w:rPr>
        <w:t xml:space="preserve"> years following closing of the NEPSI Acquisition. During the year ended </w:t>
      </w:r>
      <w:r>
        <w:rPr>
          <w:rStyle w:val="Emphasis"/>
          <w:rFonts w:ascii="Times New Roman;Times;serif" w:hAnsi="Times New Roman;Times;serif"/>
          <w:sz w:val="20"/>
        </w:rPr>
        <w:t xml:space="preserve">March 31, 2024, </w:t>
      </w:r>
      <w:r>
        <w:rPr>
          <w:rFonts w:ascii="Times New Roman;Times;serif" w:hAnsi="Times New Roman;Times;serif"/>
          <w:sz w:val="20"/>
        </w:rPr>
        <w:t>the Company issued 399,999 shares of common stock and cash in lieu of a fractional share of common stock, related to the achievement of specified revenue objectives in connection with the NEPSI Acquisition. One specified revenue objective, which would have earned the selling stockholders 300,000 shares of Company common stock, was </w:t>
      </w:r>
      <w:r>
        <w:rPr>
          <w:rStyle w:val="Emphasis"/>
          <w:rFonts w:ascii="Times New Roman;Times;serif" w:hAnsi="Times New Roman;Times;serif"/>
          <w:sz w:val="20"/>
        </w:rPr>
        <w:t>not</w:t>
      </w:r>
      <w:r>
        <w:rPr>
          <w:rFonts w:ascii="Times New Roman;Times;serif" w:hAnsi="Times New Roman;Times;serif"/>
          <w:sz w:val="20"/>
        </w:rPr>
        <w:t> achieved. NEPSI recognized revenues in excess of $120.0 million during the </w:t>
      </w:r>
      <w:r>
        <w:rPr>
          <w:rStyle w:val="Emphasis"/>
          <w:rFonts w:ascii="Times New Roman;Times;serif" w:hAnsi="Times New Roman;Times;serif"/>
          <w:sz w:val="20"/>
        </w:rPr>
        <w:t>four</w:t>
      </w:r>
      <w:r>
        <w:rPr>
          <w:rFonts w:ascii="Times New Roman;Times;serif" w:hAnsi="Times New Roman;Times;serif"/>
          <w:sz w:val="20"/>
        </w:rPr>
        <w:t xml:space="preserve"> years after the NEPSI Acquisition Date. As a result, during the quarter ended </w:t>
      </w:r>
      <w:r>
        <w:rPr>
          <w:rStyle w:val="Emphasis"/>
          <w:rFonts w:ascii="Times New Roman;Times;serif" w:hAnsi="Times New Roman;Times;serif"/>
          <w:sz w:val="20"/>
        </w:rPr>
        <w:t xml:space="preserve">September 30, 2024, </w:t>
      </w:r>
      <w:r>
        <w:rPr>
          <w:rFonts w:ascii="Times New Roman;Times;serif" w:hAnsi="Times New Roman;Times;serif"/>
          <w:sz w:val="20"/>
        </w:rPr>
        <w:t xml:space="preserve">the Company issued 300,000 shares of common stock of the Company to the selling stockholders, following certification of the achievement of the specified earnout revenue objective. As of </w:t>
      </w:r>
      <w:r>
        <w:rPr>
          <w:rStyle w:val="Emphasis"/>
          <w:rFonts w:ascii="Times New Roman;Times;serif" w:hAnsi="Times New Roman;Times;serif"/>
          <w:sz w:val="20"/>
        </w:rPr>
        <w:t xml:space="preserve">September 30, 2024, </w:t>
      </w:r>
      <w:r>
        <w:rPr>
          <w:rFonts w:ascii="Times New Roman;Times;serif" w:hAnsi="Times New Roman;Times;serif"/>
          <w:sz w:val="20"/>
        </w:rPr>
        <w:t>the Company had settled all outstanding contingent consideration under the NEPSI Stock Purchase Agreement.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evaluated the NEPSI Acquisition earnout payment set forth in the NEPSI Stock Purchase Agreement, which was expected to require settlement in the Company's common stock, and determined the contingent consideration qualified for liability classification and derivative treatment under ASC </w:t>
      </w:r>
      <w:r>
        <w:rPr>
          <w:rStyle w:val="Emphasis"/>
          <w:rFonts w:ascii="Times New Roman;Times;serif" w:hAnsi="Times New Roman;Times;serif"/>
          <w:sz w:val="20"/>
        </w:rPr>
        <w:t>815,</w:t>
      </w:r>
      <w:r>
        <w:rPr>
          <w:rFonts w:ascii="Times New Roman;Times;serif" w:hAnsi="Times New Roman;Times;serif"/>
          <w:sz w:val="20"/>
        </w:rPr>
        <w:t xml:space="preserve"> </w:t>
      </w:r>
      <w:r>
        <w:rPr>
          <w:rFonts w:ascii="Times New Roman;Times;serif" w:hAnsi="Times New Roman;Times;serif"/>
          <w:i/>
          <w:sz w:val="20"/>
        </w:rPr>
        <w:t>Derivatives and Hedging</w:t>
      </w:r>
      <w:r>
        <w:rPr>
          <w:rFonts w:ascii="Times New Roman;Times;serif" w:hAnsi="Times New Roman;Times;serif"/>
          <w:sz w:val="20"/>
        </w:rPr>
        <w:t>. As a result, for the periods in which the Company had outstanding contingent consideration, the fair value of the contingent consideration was remeasured and the resulting gain or loss was recognized in operating expenses until the share amount was fixed.</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Following is a summary of the key assumptions used in a Monte Carlo simulation to calculate the fair value of contingent consideration related to the NEPSI Acquisition:</w:t>
      </w:r>
    </w:p>
    <w:p>
      <w:pPr>
        <w:pStyle w:val="TextBody"/>
        <w:bidi w:val="0"/>
        <w:spacing w:before="0" w:after="0"/>
        <w:ind w:left="0" w:right="0" w:firstLine="720"/>
        <w:jc w:val="both"/>
        <w:rPr/>
      </w:pPr>
      <w:r>
        <w:rPr/>
        <w:t> </w:t>
      </w:r>
    </w:p>
    <w:tbl>
      <w:tblPr>
        <w:tblW w:w="3938" w:type="dxa"/>
        <w:jc w:val="left"/>
        <w:tblInd w:w="0" w:type="dxa"/>
        <w:tblLayout w:type="fixed"/>
        <w:tblCellMar>
          <w:top w:w="0" w:type="dxa"/>
          <w:left w:w="0" w:type="dxa"/>
          <w:bottom w:w="0" w:type="dxa"/>
          <w:right w:w="0" w:type="dxa"/>
        </w:tblCellMar>
      </w:tblPr>
      <w:tblGrid>
        <w:gridCol w:w="1850"/>
        <w:gridCol w:w="60"/>
        <w:gridCol w:w="148"/>
        <w:gridCol w:w="576"/>
        <w:gridCol w:w="185"/>
        <w:gridCol w:w="60"/>
        <w:gridCol w:w="179"/>
        <w:gridCol w:w="695"/>
        <w:gridCol w:w="185"/>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2024</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risk premium</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volatility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13.51</w:t>
            </w:r>
          </w:p>
        </w:tc>
        <w:tc>
          <w:tcPr>
            <w:tcW w:w="18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NWL Contingent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On </w:t>
      </w:r>
      <w:r>
        <w:rPr>
          <w:rStyle w:val="Emphasis"/>
          <w:rFonts w:ascii="Times New Roman;Times;serif" w:hAnsi="Times New Roman;Times;serif"/>
          <w:sz w:val="20"/>
        </w:rPr>
        <w:t xml:space="preserve"> August 1,</w:t>
      </w:r>
      <w:r>
        <w:rPr>
          <w:rFonts w:ascii="Times New Roman;Times;serif" w:hAnsi="Times New Roman;Times;serif"/>
          <w:sz w:val="20"/>
        </w:rPr>
        <w:t> </w:t>
      </w:r>
      <w:r>
        <w:rPr>
          <w:rStyle w:val="Emphasis"/>
          <w:rFonts w:ascii="Times New Roman;Times;serif" w:hAnsi="Times New Roman;Times;serif"/>
          <w:sz w:val="20"/>
        </w:rPr>
        <w:t>2024</w:t>
      </w:r>
      <w:r>
        <w:rPr>
          <w:rFonts w:ascii="Times New Roman;Times;serif" w:hAnsi="Times New Roman;Times;serif"/>
          <w:i/>
          <w:sz w:val="20"/>
        </w:rPr>
        <w:t>,</w:t>
      </w:r>
      <w:r>
        <w:rPr>
          <w:rFonts w:ascii="Times New Roman;Times;serif" w:hAnsi="Times New Roman;Times;serif"/>
          <w:sz w:val="20"/>
        </w:rPr>
        <w:t xml:space="preserve"> the Company entered into the Stock Purchase Agreement with the selling stockholders named therein. Pursuant to the terms of the Stock Purchase Agreement and concurrently with entering into such agreement, the Company acquired all of the issued and outstanding shares of Megatran for aggregate consideration in an amount equal to $61.4 million which consideration amount was subject to various adjustments set forth in the Stock Purchase Agreement. The value of the contingent consideration to make the sellers whole was determined to be de minimis at the time of the NWL Acquisition. On </w:t>
      </w:r>
      <w:r>
        <w:rPr>
          <w:rStyle w:val="Emphasis"/>
          <w:rFonts w:ascii="Times New Roman;Times;serif" w:hAnsi="Times New Roman;Times;serif"/>
          <w:sz w:val="20"/>
        </w:rPr>
        <w:t xml:space="preserve">September 23, 2024, </w:t>
      </w:r>
      <w:r>
        <w:rPr>
          <w:rFonts w:ascii="Times New Roman;Times;serif" w:hAnsi="Times New Roman;Times;serif"/>
          <w:sz w:val="20"/>
        </w:rPr>
        <w:t xml:space="preserve">the Company paid $3.3 million to the selling stockholders, which was calculated based on the agreed upon formula set forth in the Stock Purchase Agreement. As of </w:t>
      </w:r>
      <w:r>
        <w:rPr>
          <w:rStyle w:val="Emphasis"/>
          <w:rFonts w:ascii="Times New Roman;Times;serif" w:hAnsi="Times New Roman;Times;serif"/>
          <w:sz w:val="20"/>
        </w:rPr>
        <w:t xml:space="preserve">September 30, 2024, </w:t>
      </w:r>
      <w:r>
        <w:rPr>
          <w:rFonts w:ascii="Times New Roman;Times;serif" w:hAnsi="Times New Roman;Times;serif"/>
          <w:sz w:val="20"/>
        </w:rPr>
        <w:t>there were no remaining obligations to the selling stockholders of Megatran.</w:t>
      </w:r>
    </w:p>
    <w:p>
      <w:pPr>
        <w:pStyle w:val="TextBody"/>
        <w:bidi w:val="0"/>
        <w:spacing w:before="0" w:after="0"/>
        <w:ind w:left="144" w:right="144" w:firstLine="540"/>
        <w:jc w:val="both"/>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Comtrafo Contingent Consideration</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5, 2025, </w:t>
      </w:r>
      <w:r>
        <w:rPr>
          <w:rFonts w:ascii="Times New Roman" w:hAnsi="Times New Roman"/>
          <w:caps w:val="false"/>
          <w:smallCaps w:val="false"/>
          <w:sz w:val="20"/>
        </w:rPr>
        <w:t xml:space="preserve">the Company entered into the Stock Exchange Agreement with the selling stockholders named therein. Pursuant to the terms of the Stock Exchange Agreement, the Company has agreed to pay the selling stockholders of the Comtrafo Acquisition an additional amount in cash upon the achievement of specified EBITDA objectives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following the Comtrafo Acquisition Date. The Company evaluated the Comtrafo Acquisition earnout payment set forth in the Comtrafo Stock Exchange Agreement (See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"Acquisitions" for further details), which will require settlement in cash, and determined the contingent consideration qualified for liability classification. As a result, for each period, the fair value of the contingent consideration will be remeasured, and the resulting gain or loss will be recognized until the cash amount is fixed. </w:t>
      </w:r>
    </w:p>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Following is a summary of the key assumptions used in a Monte Carlo simulation to calculate the fair value of contingent consideration related to the Comtrafo Acquisition: </w:t>
      </w:r>
    </w:p>
    <w:p>
      <w:pPr>
        <w:pStyle w:val="TextBody"/>
        <w:bidi w:val="0"/>
        <w:spacing w:before="0" w:after="0"/>
        <w:ind w:left="0" w:right="0" w:firstLine="900"/>
        <w:jc w:val="both"/>
        <w:rPr>
          <w:caps w:val="false"/>
          <w:smallCaps w:val="false"/>
        </w:rPr>
      </w:pPr>
      <w:r>
        <w:rPr>
          <w:caps w:val="false"/>
          <w:smallCaps w:val="false"/>
        </w:rPr>
        <w:t> </w:t>
      </w:r>
    </w:p>
    <w:tbl>
      <w:tblPr>
        <w:tblW w:w="4379" w:type="dxa"/>
        <w:jc w:val="left"/>
        <w:tblInd w:w="0" w:type="dxa"/>
        <w:tblLayout w:type="fixed"/>
        <w:tblCellMar>
          <w:top w:w="0" w:type="dxa"/>
          <w:left w:w="0" w:type="dxa"/>
          <w:bottom w:w="0" w:type="dxa"/>
          <w:right w:w="0" w:type="dxa"/>
        </w:tblCellMar>
      </w:tblPr>
      <w:tblGrid>
        <w:gridCol w:w="2990"/>
        <w:gridCol w:w="60"/>
        <w:gridCol w:w="283"/>
        <w:gridCol w:w="861"/>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05,</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 2025</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Risk Premium (continuous)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 Volatility</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Spread (semiannual)</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delay (days)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(millions)</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90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performed an analysis on the change in fair value through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and concluded the impact was immaterial to the financial statements. The Company recorded no gains or losses from the changes in fair value of the contingent consideration in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The Company recorded a loss of $6.7 million resulting from the increases in the fair value of the NEPSI and NWL contingent consideration in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15.</w:t>
      </w:r>
      <w:r>
        <w:rPr>
          <w:rFonts w:ascii="Times New Roman;Times;serif" w:hAnsi="Times New Roman;Times;serif"/>
          <w:b/>
          <w:sz w:val="20"/>
        </w:rPr>
        <w:t xml:space="preserve"> Debt</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part of the Comtrafo Acquisition, the Company identified </w:t>
      </w:r>
      <w:r>
        <w:rPr>
          <w:rStyle w:val="Emphasis"/>
          <w:rFonts w:ascii="Times New Roman;Times;serif" w:hAnsi="Times New Roman;Times;serif"/>
          <w:sz w:val="20"/>
        </w:rPr>
        <w:t>three</w:t>
      </w:r>
      <w:r>
        <w:rPr>
          <w:rFonts w:ascii="Times New Roman;Times;serif" w:hAnsi="Times New Roman;Times;serif"/>
          <w:sz w:val="20"/>
        </w:rPr>
        <w:t xml:space="preserve"> debt agreements that Comtrafo had entered into prior to the Comtrafo Acquisition Date. Based on the current maturity schedules of the respective agreements, the Company recorded current and long-term debt of $1.6 million and $6.1 million, respectively 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16.</w:t>
      </w:r>
      <w:r>
        <w:rPr>
          <w:rFonts w:ascii="Times New Roman;Times;serif" w:hAnsi="Times New Roman;Times;serif"/>
          <w:b/>
          <w:sz w:val="20"/>
        </w:rPr>
        <w:t xml:space="preserve"> Leases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w:t>
      </w:r>
      <w:r>
        <w:rPr>
          <w:rStyle w:val="Emphasis"/>
          <w:rFonts w:ascii="Times New Roman;Times;serif" w:hAnsi="Times New Roman;Times;serif"/>
          <w:sz w:val="20"/>
        </w:rPr>
        <w:t>one</w:t>
      </w:r>
      <w:r>
        <w:rPr>
          <w:rFonts w:ascii="Times New Roman;Times;serif" w:hAnsi="Times New Roman;Times;serif"/>
          <w:sz w:val="20"/>
        </w:rPr>
        <w:t xml:space="preserv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also enters into leases for vehicles, IT equipment and service agreements, and other leases related to its manufacturing operations that are also included in the right-of-use assets and lease liability accounts if they are for a term of longer than </w:t>
      </w:r>
      <w:r>
        <w:rPr>
          <w:rStyle w:val="Emphasis"/>
          <w:rFonts w:ascii="Times New Roman;Times;serif" w:hAnsi="Times New Roman;Times;serif"/>
          <w:sz w:val="20"/>
        </w:rPr>
        <w:t>twelve</w:t>
      </w:r>
      <w:r>
        <w:rPr>
          <w:rFonts w:ascii="Times New Roman;Times;serif" w:hAnsi="Times New Roman;Times;serif"/>
          <w:sz w:val="20"/>
        </w:rPr>
        <w:t xml:space="preserve"> months. However, many of these leases are either short-term in nature or immaterial. The Company has made the policy election to exclude short-term leases from the condensed consolidated balance sheets. </w:t>
      </w:r>
    </w:p>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Supplemental balance sheet information related to leases at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are as follows (in thousands):</w:t>
      </w:r>
    </w:p>
    <w:p>
      <w:pPr>
        <w:pStyle w:val="TextBody"/>
        <w:bidi w:val="0"/>
        <w:spacing w:before="0" w:after="0"/>
        <w:ind w:left="0" w:right="0" w:firstLine="720"/>
        <w:jc w:val="both"/>
        <w:rPr/>
      </w:pPr>
      <w:r>
        <w:rPr/>
        <w:t> </w:t>
      </w:r>
    </w:p>
    <w:tbl>
      <w:tblPr>
        <w:tblW w:w="6668" w:type="dxa"/>
        <w:jc w:val="left"/>
        <w:tblInd w:w="0" w:type="dxa"/>
        <w:tblLayout w:type="fixed"/>
        <w:tblCellMar>
          <w:top w:w="0" w:type="dxa"/>
          <w:left w:w="0" w:type="dxa"/>
          <w:bottom w:w="0" w:type="dxa"/>
          <w:right w:w="0" w:type="dxa"/>
        </w:tblCellMar>
      </w:tblPr>
      <w:tblGrid>
        <w:gridCol w:w="3230"/>
        <w:gridCol w:w="60"/>
        <w:gridCol w:w="329"/>
        <w:gridCol w:w="1280"/>
        <w:gridCol w:w="185"/>
        <w:gridCol w:w="60"/>
        <w:gridCol w:w="274"/>
        <w:gridCol w:w="1065"/>
        <w:gridCol w:w="18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March 31, 2025</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both"/>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Right-of-use assets – Operating</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3,655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20"/>
              </w:rPr>
            </w:pPr>
            <w:r>
              <w:rPr>
                <w:sz w:val="20"/>
              </w:rPr>
              <w:t>$</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3,829</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right-of-use assets</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3,829</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Lease liabilities – ST Operating</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sz w:val="20"/>
              </w:rPr>
            </w:pPr>
            <w:r>
              <w:rPr>
                <w:sz w:val="20"/>
              </w:rPr>
              <w:t>$</w:t>
            </w:r>
          </w:p>
        </w:tc>
        <w:tc>
          <w:tcPr>
            <w:tcW w:w="1280" w:type="dxa"/>
            <w:tcBorders/>
            <w:shd w:fill="CCEEFF" w:val="clear"/>
            <w:vAlign w:val="center"/>
          </w:tcPr>
          <w:p>
            <w:pPr>
              <w:pStyle w:val="TableContents"/>
              <w:bidi w:val="0"/>
              <w:spacing w:before="0" w:after="283"/>
              <w:ind w:left="0" w:right="0" w:hanging="0"/>
              <w:jc w:val="right"/>
              <w:rPr>
                <w:sz w:val="20"/>
              </w:rPr>
            </w:pPr>
            <w:r>
              <w:rPr>
                <w:sz w:val="20"/>
              </w:rPr>
              <w:t>1,078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sz w:val="20"/>
              </w:rPr>
            </w:pPr>
            <w:r>
              <w:rPr>
                <w:sz w:val="20"/>
              </w:rPr>
              <w:t>$</w:t>
            </w:r>
          </w:p>
        </w:tc>
        <w:tc>
          <w:tcPr>
            <w:tcW w:w="1065" w:type="dxa"/>
            <w:tcBorders/>
            <w:shd w:fill="CCEEFF" w:val="clear"/>
            <w:vAlign w:val="center"/>
          </w:tcPr>
          <w:p>
            <w:pPr>
              <w:pStyle w:val="TableContents"/>
              <w:bidi w:val="0"/>
              <w:spacing w:before="0" w:after="283"/>
              <w:ind w:left="0" w:right="0" w:hanging="0"/>
              <w:jc w:val="right"/>
              <w:rPr>
                <w:sz w:val="20"/>
              </w:rPr>
            </w:pPr>
            <w:r>
              <w:rPr>
                <w:sz w:val="20"/>
              </w:rPr>
              <w:t>685</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Lease liabilities – LT Operating</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2,560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color w:val="000000"/>
                <w:sz w:val="20"/>
              </w:rPr>
            </w:pPr>
            <w:r>
              <w:rPr>
                <w:color w:val="000000"/>
                <w:sz w:val="20"/>
              </w:rPr>
              <w:t>2,684</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3,638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sz w:val="20"/>
              </w:rPr>
            </w:pPr>
            <w:r>
              <w:rPr>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sz w:val="20"/>
              </w:rPr>
            </w:pPr>
            <w:r>
              <w:rPr>
                <w:sz w:val="20"/>
              </w:rPr>
              <w:t>3,369</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sz w:val="20"/>
              </w:rPr>
            </w:pPr>
            <w:r>
              <w:rPr>
                <w:sz w:val="20"/>
              </w:rPr>
              <w:t>4.46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sz w:val="20"/>
              </w:rPr>
            </w:pPr>
            <w:r>
              <w:rPr>
                <w:sz w:val="20"/>
              </w:rPr>
              <w:t>4.94</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sz w:val="20"/>
              </w:rPr>
            </w:pPr>
            <w:r>
              <w:rPr>
                <w:sz w:val="20"/>
              </w:rPr>
              <w:t>15.51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sz w:val="20"/>
              </w:rPr>
            </w:pPr>
            <w:r>
              <w:rPr>
                <w:sz w:val="20"/>
              </w:rPr>
              <w:t>14.94</w:t>
            </w:r>
          </w:p>
        </w:tc>
        <w:tc>
          <w:tcPr>
            <w:tcW w:w="18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costs related to the Company's operating leases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shd w:fill="FFFFFF" w:val="clear"/>
        </w:rPr>
        <w:t>December 31, 2025</w:t>
      </w:r>
      <w:r>
        <w:rPr>
          <w:rFonts w:ascii="Times New Roman;Times;serif" w:hAnsi="Times New Roman;Times;serif"/>
          <w:sz w:val="20"/>
        </w:rPr>
        <w:t> and </w:t>
      </w:r>
      <w:r>
        <w:rPr>
          <w:rStyle w:val="Emphasis"/>
          <w:rFonts w:ascii="Times New Roman;Times;serif" w:hAnsi="Times New Roman;Times;serif"/>
          <w:sz w:val="20"/>
        </w:rPr>
        <w:t>2024</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6253" w:type="dxa"/>
        <w:jc w:val="left"/>
        <w:tblInd w:w="0" w:type="dxa"/>
        <w:tblLayout w:type="fixed"/>
        <w:tblCellMar>
          <w:top w:w="0" w:type="dxa"/>
          <w:left w:w="0" w:type="dxa"/>
          <w:bottom w:w="0" w:type="dxa"/>
          <w:right w:w="0" w:type="dxa"/>
        </w:tblCellMar>
      </w:tblPr>
      <w:tblGrid>
        <w:gridCol w:w="2585"/>
        <w:gridCol w:w="60"/>
        <w:gridCol w:w="476"/>
        <w:gridCol w:w="1283"/>
        <w:gridCol w:w="60"/>
        <w:gridCol w:w="60"/>
        <w:gridCol w:w="341"/>
        <w:gridCol w:w="1328"/>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costs – fixed</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1,259</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costs</w:t>
            </w:r>
          </w:p>
        </w:tc>
        <w:tc>
          <w:tcPr>
            <w:tcW w:w="60" w:type="dxa"/>
            <w:tcBorders/>
            <w:shd w:fill="FFFFFF" w:val="clear"/>
            <w:vAlign w:val="center"/>
          </w:tcPr>
          <w:p>
            <w:pPr>
              <w:pStyle w:val="TableContents"/>
              <w:bidi w:val="0"/>
              <w:spacing w:before="0" w:after="0"/>
              <w:ind w:left="0" w:right="0" w:hanging="0"/>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60" w:type="dxa"/>
            <w:tcBorders/>
            <w:shd w:fill="FFFFFF" w:val="clear"/>
            <w:vAlign w:val="center"/>
          </w:tcPr>
          <w:p>
            <w:pPr>
              <w:pStyle w:val="TableContents"/>
              <w:bidi w:val="0"/>
              <w:spacing w:before="0" w:after="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tbl>
      <w:tblPr>
        <w:tblW w:w="6253" w:type="dxa"/>
        <w:jc w:val="left"/>
        <w:tblInd w:w="0" w:type="dxa"/>
        <w:tblLayout w:type="fixed"/>
        <w:tblCellMar>
          <w:top w:w="0" w:type="dxa"/>
          <w:left w:w="0" w:type="dxa"/>
          <w:bottom w:w="0" w:type="dxa"/>
          <w:right w:w="0" w:type="dxa"/>
        </w:tblCellMar>
      </w:tblPr>
      <w:tblGrid>
        <w:gridCol w:w="2585"/>
        <w:gridCol w:w="60"/>
        <w:gridCol w:w="476"/>
        <w:gridCol w:w="1283"/>
        <w:gridCol w:w="60"/>
        <w:gridCol w:w="60"/>
        <w:gridCol w:w="341"/>
        <w:gridCol w:w="1328"/>
        <w:gridCol w:w="6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fixed</w:t>
            </w:r>
          </w:p>
        </w:tc>
        <w:tc>
          <w:tcPr>
            <w:tcW w:w="60"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 – variable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ind w:left="0" w:right="0" w:hanging="0"/>
              <w:jc w:val="left"/>
              <w:rPr/>
            </w:pPr>
            <w:r>
              <w:rPr/>
              <w:t> </w:t>
            </w:r>
          </w:p>
        </w:tc>
        <w:tc>
          <w:tcPr>
            <w:tcW w:w="12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13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costs</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estimated minimum future lease obligations under the Company's leases are as follows (in thousands): </w:t>
      </w:r>
    </w:p>
    <w:p>
      <w:pPr>
        <w:pStyle w:val="TextBody"/>
        <w:bidi w:val="0"/>
        <w:spacing w:before="0" w:after="0"/>
        <w:ind w:left="0" w:right="0" w:firstLine="720"/>
        <w:jc w:val="both"/>
        <w:rPr/>
      </w:pPr>
      <w:r>
        <w:rPr/>
        <w:t> </w:t>
      </w:r>
    </w:p>
    <w:tbl>
      <w:tblPr>
        <w:tblW w:w="3395" w:type="dxa"/>
        <w:jc w:val="left"/>
        <w:tblInd w:w="0" w:type="dxa"/>
        <w:tblLayout w:type="fixed"/>
        <w:tblCellMar>
          <w:top w:w="0" w:type="dxa"/>
          <w:left w:w="0" w:type="dxa"/>
          <w:bottom w:w="0" w:type="dxa"/>
          <w:right w:w="0" w:type="dxa"/>
        </w:tblCellMar>
      </w:tblPr>
      <w:tblGrid>
        <w:gridCol w:w="2585"/>
        <w:gridCol w:w="60"/>
        <w:gridCol w:w="125"/>
        <w:gridCol w:w="545"/>
        <w:gridCol w:w="80"/>
      </w:tblGrid>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March 31,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1,583</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1,026</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420</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w:t>
            </w:r>
          </w:p>
        </w:tc>
        <w:tc>
          <w:tcPr>
            <w:tcW w:w="80" w:type="dxa"/>
            <w:tcBorders/>
            <w:shd w:fill="CCEEFF" w:val="clear"/>
            <w:vAlign w:val="center"/>
          </w:tcPr>
          <w:p>
            <w:pPr>
              <w:pStyle w:val="TableContents"/>
              <w:bidi w:val="0"/>
              <w:spacing w:before="0" w:after="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3,638</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17.</w:t>
      </w:r>
      <w:r>
        <w:rPr>
          <w:rFonts w:ascii="Times New Roman;Times;serif" w:hAnsi="Times New Roman;Times;serif"/>
          <w:b/>
          <w:sz w:val="20"/>
        </w:rPr>
        <w:t xml:space="preserve"> Commitments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Contingencies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w:t>
      </w:r>
      <w:r>
        <w:rPr>
          <w:rStyle w:val="Emphasis"/>
          <w:rFonts w:ascii="Times New Roman;Times;serif" w:hAnsi="Times New Roman;Times;serif"/>
          <w:sz w:val="20"/>
        </w:rPr>
        <w:t>not</w:t>
      </w:r>
      <w:r>
        <w:rPr>
          <w:rFonts w:ascii="Times New Roman;Times;serif" w:hAnsi="Times New Roman;Times;serif"/>
          <w:sz w:val="20"/>
        </w:rPr>
        <w:t xml:space="preserve"> misleading. If the loss is </w:t>
      </w:r>
      <w:r>
        <w:rPr>
          <w:rStyle w:val="Emphasis"/>
          <w:rFonts w:ascii="Times New Roman;Times;serif" w:hAnsi="Times New Roman;Times;serif"/>
          <w:sz w:val="20"/>
        </w:rPr>
        <w:t>not</w:t>
      </w:r>
      <w:r>
        <w:rPr>
          <w:rFonts w:ascii="Times New Roman;Times;serif" w:hAnsi="Times New Roman;Times;serif"/>
          <w:sz w:val="20"/>
        </w:rPr>
        <w:t xml:space="preserve"> probable or cannot be reasonably estimated, a liability is </w:t>
      </w:r>
      <w:r>
        <w:rPr>
          <w:rStyle w:val="Emphasis"/>
          <w:rFonts w:ascii="Times New Roman;Times;serif" w:hAnsi="Times New Roman;Times;serif"/>
          <w:sz w:val="20"/>
        </w:rPr>
        <w:t>not</w:t>
      </w:r>
      <w:r>
        <w:rPr>
          <w:rFonts w:ascii="Times New Roman;Times;serif" w:hAnsi="Times New Roman;Times;serif"/>
          <w:sz w:val="20"/>
        </w:rPr>
        <w:t xml:space="preserve"> recorded in its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AMSC Brazil, through Comtrafo, entered into an agreement to purchase additional real estate within the </w:t>
      </w:r>
      <w:r>
        <w:rPr>
          <w:rStyle w:val="Emphasis"/>
          <w:rFonts w:ascii="Times New Roman;Times;serif" w:hAnsi="Times New Roman;Times;serif"/>
          <w:sz w:val="20"/>
        </w:rPr>
        <w:t>twelve</w:t>
      </w:r>
      <w:r>
        <w:rPr>
          <w:rFonts w:ascii="Times New Roman;Times;serif" w:hAnsi="Times New Roman;Times;serif"/>
          <w:sz w:val="20"/>
        </w:rPr>
        <w:t xml:space="preserve"> months following the Comtrafo Acquisition Date for 37,246,459 Brazilian Real upon successful re-zoning classification of such real estate.</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As of </w:t>
      </w:r>
      <w:r>
        <w:rPr>
          <w:rStyle w:val="Emphasis"/>
          <w:rFonts w:ascii="Times New Roman;Times;serif" w:hAnsi="Times New Roman;Times;serif"/>
          <w:sz w:val="20"/>
          <w:shd w:fill="FFFFFF" w:val="clear"/>
        </w:rPr>
        <w:t>December 31, 2025</w:t>
      </w:r>
      <w:r>
        <w:rPr>
          <w:rFonts w:ascii="Times New Roman;Times;serif" w:hAnsi="Times New Roman;Times;serif"/>
          <w:sz w:val="20"/>
        </w:rPr>
        <w:t xml:space="preserve">, the Company had $3.3 million of restricted cash included in long-term assets and $2.8 million of restricted cash included in current assets. As of </w:t>
      </w:r>
      <w:r>
        <w:rPr>
          <w:rStyle w:val="Emphasis"/>
          <w:rFonts w:ascii="Times New Roman;Times;serif" w:hAnsi="Times New Roman;Times;serif"/>
          <w:sz w:val="20"/>
        </w:rPr>
        <w:t>March 31, 2025</w:t>
      </w:r>
      <w:r>
        <w:rPr>
          <w:rFonts w:ascii="Times New Roman;Times;serif" w:hAnsi="Times New Roman;Times;serif"/>
          <w:sz w:val="20"/>
        </w:rPr>
        <w:t>, the Company had $4.3 million of restricted cash included in long-term assets and $1.6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18.</w:t>
      </w:r>
      <w:r>
        <w:rPr>
          <w:rFonts w:ascii="Times New Roman;Times;serif" w:hAnsi="Times New Roman;Times;serif"/>
          <w:b/>
          <w:sz w:val="20"/>
        </w:rPr>
        <w:t xml:space="preserve"> Business Segments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The Company reports its financial results in two reportable business segments: Grid and Wind. In accordance with ASC </w:t>
      </w:r>
      <w:r>
        <w:rPr>
          <w:rStyle w:val="Emphasis"/>
          <w:rFonts w:ascii="Times New Roman;Times;serif" w:hAnsi="Times New Roman;Times;serif"/>
          <w:sz w:val="20"/>
        </w:rPr>
        <w:t>280</w:t>
      </w:r>
      <w:r>
        <w:rPr>
          <w:rFonts w:ascii="Times New Roman;Times;serif" w:hAnsi="Times New Roman;Times;serif"/>
          <w:i/>
          <w:sz w:val="20"/>
        </w:rPr>
        <w:t>,</w:t>
      </w:r>
      <w:r>
        <w:rPr>
          <w:rFonts w:ascii="Times New Roman;Times;serif" w:hAnsi="Times New Roman;Times;serif"/>
          <w:sz w:val="20"/>
        </w:rPr>
        <w:t> </w:t>
      </w:r>
      <w:r>
        <w:rPr>
          <w:rFonts w:ascii="Times New Roman;Times;serif" w:hAnsi="Times New Roman;Times;serif"/>
          <w:i/>
          <w:sz w:val="20"/>
        </w:rPr>
        <w:t>Segment Reporting</w:t>
      </w:r>
      <w:r>
        <w:rPr>
          <w:rFonts w:ascii="Times New Roman;Times;serif" w:hAnsi="Times New Roman;Times;serif"/>
          <w:sz w:val="20"/>
        </w:rPr>
        <w:t>, the Company has identified two operating segments. The Company's operating segments reflect the way in which internally-reported financial information is used to make decisions and allocate resources.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w:t>
      </w:r>
      <w:r>
        <w:rPr>
          <w:rStyle w:val="Emphasis"/>
          <w:rFonts w:ascii="Times New Roman;Times;serif" w:hAnsi="Times New Roman;Times;serif"/>
          <w:sz w:val="20"/>
        </w:rPr>
        <w:t>2</w:t>
      </w:r>
      <w:r>
        <w:rPr>
          <w:rFonts w:ascii="Times New Roman;Times;serif" w:hAnsi="Times New Roman;Times;serif"/>
          <w:sz w:val="20"/>
        </w:rPr>
        <w:t> megawatts ("MWs") and higher. The Company provides a broad range of power electronics and software-based control systems that are highly integrated and designed for optimized performance, efficiency, and grid compatibility.</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AMSC’s Chief Executive Officer Daniel McGahn is the chief operating decision maker. The chief operating decision maker uses segment operating income (loss) to allocate resources (including employees, property, and financial or capital resources) for each segment predominantly in the annual budget and forecasting process. The chief operating decision maker considers budget-to-actual variances on a monthly basis for segment operating income (loss) when making decisions about allocating capital and personnel to the segments. The chief operating decision maker also uses segment operating income or loss to assess the performance for each segment by comparing the results and return on assets of each segment with </w:t>
      </w:r>
      <w:r>
        <w:rPr>
          <w:rStyle w:val="Emphasis"/>
          <w:rFonts w:ascii="Times New Roman;Times;serif" w:hAnsi="Times New Roman;Times;serif"/>
          <w:sz w:val="20"/>
        </w:rPr>
        <w:t>one</w:t>
      </w:r>
      <w:r>
        <w:rPr>
          <w:rFonts w:ascii="Times New Roman;Times;serif" w:hAnsi="Times New Roman;Times;serif"/>
          <w:sz w:val="20"/>
        </w:rPr>
        <w:t xml:space="preserve"> another and in the compensation of certain employees.</w:t>
      </w:r>
    </w:p>
    <w:p>
      <w:pPr>
        <w:pStyle w:val="TextBody"/>
        <w:bidi w:val="0"/>
        <w:spacing w:before="0" w:after="0"/>
        <w:ind w:left="0" w:right="0" w:firstLine="555"/>
        <w:jc w:val="both"/>
        <w:rPr/>
      </w:pPr>
      <w:r>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Times;serif" w:hAnsi="Times New Roman;Times;serif"/>
          <w:sz w:val="20"/>
        </w:rPr>
        <w:t>The following tables (i) summarize total sales by segment and (ii) reconcile each segment's sales to their respective segment operating income, including segment operating expenses, for each of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(in thousands):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2108"/>
        <w:gridCol w:w="60"/>
        <w:gridCol w:w="142"/>
        <w:gridCol w:w="674"/>
        <w:gridCol w:w="68"/>
        <w:gridCol w:w="68"/>
        <w:gridCol w:w="142"/>
        <w:gridCol w:w="674"/>
        <w:gridCol w:w="68"/>
        <w:gridCol w:w="68"/>
        <w:gridCol w:w="634"/>
        <w:gridCol w:w="406"/>
        <w:gridCol w:w="68"/>
        <w:gridCol w:w="68"/>
        <w:gridCol w:w="142"/>
        <w:gridCol w:w="674"/>
        <w:gridCol w:w="60"/>
        <w:gridCol w:w="60"/>
        <w:gridCol w:w="134"/>
        <w:gridCol w:w="746"/>
        <w:gridCol w:w="63"/>
        <w:gridCol w:w="63"/>
        <w:gridCol w:w="134"/>
        <w:gridCol w:w="633"/>
        <w:gridCol w:w="63"/>
        <w:gridCol w:w="63"/>
        <w:gridCol w:w="634"/>
        <w:gridCol w:w="406"/>
        <w:gridCol w:w="63"/>
        <w:gridCol w:w="63"/>
        <w:gridCol w:w="134"/>
        <w:gridCol w:w="746"/>
        <w:gridCol w:w="76"/>
      </w:tblGrid>
      <w:tr>
        <w:trPr/>
        <w:tc>
          <w:tcPr>
            <w:tcW w:w="2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4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 2025</w:t>
            </w:r>
          </w:p>
        </w:tc>
        <w:tc>
          <w:tcPr>
            <w:tcW w:w="76" w:type="dxa"/>
            <w:tcBorders/>
            <w:shd w:fill="FFFFFF" w:val="clear"/>
            <w:vAlign w:val="center"/>
          </w:tcPr>
          <w:p>
            <w:pPr>
              <w:pStyle w:val="TableContents"/>
              <w:bidi w:val="0"/>
              <w:spacing w:before="0" w:after="283"/>
              <w:jc w:val="left"/>
              <w:rPr/>
            </w:pPr>
            <w:r>
              <w:rPr/>
              <w:t> </w:t>
            </w:r>
          </w:p>
        </w:tc>
      </w:tr>
      <w:tr>
        <w:trPr/>
        <w:tc>
          <w:tcPr>
            <w:tcW w:w="2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76" w:type="dxa"/>
            <w:tcBorders/>
            <w:shd w:fill="FFFFFF" w:val="clear"/>
            <w:vAlign w:val="center"/>
          </w:tcPr>
          <w:p>
            <w:pPr>
              <w:pStyle w:val="TableContents"/>
              <w:bidi w:val="0"/>
              <w:spacing w:before="0" w:after="283"/>
              <w:jc w:val="left"/>
              <w:rPr/>
            </w:pPr>
            <w:r>
              <w:rPr/>
              <w:t> </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1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63,187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177,616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35,133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212,749</w:t>
            </w:r>
          </w:p>
        </w:tc>
        <w:tc>
          <w:tcPr>
            <w:tcW w:w="76" w:type="dxa"/>
            <w:tcBorders/>
            <w:shd w:fill="FFFFFF" w:val="clear"/>
            <w:vAlign w:val="center"/>
          </w:tcPr>
          <w:p>
            <w:pPr>
              <w:pStyle w:val="TableContents"/>
              <w:bidi w:val="0"/>
              <w:spacing w:before="0" w:after="283"/>
              <w:jc w:val="left"/>
              <w:rPr/>
            </w:pPr>
            <w:r>
              <w:rPr/>
              <w:t> </w:t>
            </w:r>
          </w:p>
        </w:tc>
      </w:tr>
      <w:tr>
        <w:trPr/>
        <w:tc>
          <w:tcPr>
            <w:tcW w:w="21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21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21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other operating expenses (b)</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61,156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170,152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200,782</w:t>
            </w:r>
          </w:p>
        </w:tc>
        <w:tc>
          <w:tcPr>
            <w:tcW w:w="76" w:type="dxa"/>
            <w:tcBorders/>
            <w:shd w:fill="CCEEFF" w:val="clear"/>
            <w:vAlign w:val="center"/>
          </w:tcPr>
          <w:p>
            <w:pPr>
              <w:pStyle w:val="TableContents"/>
              <w:bidi w:val="0"/>
              <w:spacing w:before="0" w:after="283"/>
              <w:ind w:left="0" w:right="0" w:hanging="0"/>
              <w:jc w:val="left"/>
              <w:rPr/>
            </w:pPr>
            <w:r>
              <w:rPr/>
              <w:t> </w:t>
            </w:r>
          </w:p>
        </w:tc>
      </w:tr>
      <w:tr>
        <w:trPr/>
        <w:tc>
          <w:tcPr>
            <w:tcW w:w="210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operating income</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2,031</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7,464</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4,503</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11,967</w:t>
            </w:r>
          </w:p>
        </w:tc>
        <w:tc>
          <w:tcPr>
            <w:tcW w:w="76"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 The significant expense categories and amounts align with the segment-level information that is regularly provided to the chief operating decision maker.</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 Segment other operating expense includes cost of sales, research and development expense, selling general, and administrative expense, and amortization of acquisition related intangibles.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7"/>
        <w:gridCol w:w="60"/>
        <w:gridCol w:w="148"/>
        <w:gridCol w:w="704"/>
        <w:gridCol w:w="71"/>
        <w:gridCol w:w="71"/>
        <w:gridCol w:w="148"/>
        <w:gridCol w:w="579"/>
        <w:gridCol w:w="71"/>
        <w:gridCol w:w="71"/>
        <w:gridCol w:w="634"/>
        <w:gridCol w:w="406"/>
        <w:gridCol w:w="71"/>
        <w:gridCol w:w="71"/>
        <w:gridCol w:w="148"/>
        <w:gridCol w:w="704"/>
        <w:gridCol w:w="60"/>
        <w:gridCol w:w="60"/>
        <w:gridCol w:w="125"/>
        <w:gridCol w:w="695"/>
        <w:gridCol w:w="60"/>
        <w:gridCol w:w="60"/>
        <w:gridCol w:w="125"/>
        <w:gridCol w:w="590"/>
        <w:gridCol w:w="60"/>
        <w:gridCol w:w="60"/>
        <w:gridCol w:w="194"/>
        <w:gridCol w:w="846"/>
        <w:gridCol w:w="80"/>
        <w:gridCol w:w="60"/>
        <w:gridCol w:w="125"/>
        <w:gridCol w:w="695"/>
        <w:gridCol w:w="86"/>
      </w:tblGrid>
      <w:tr>
        <w:trPr/>
        <w:tc>
          <w:tcPr>
            <w:tcW w:w="2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7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 2024</w:t>
            </w:r>
          </w:p>
        </w:tc>
        <w:tc>
          <w:tcPr>
            <w:tcW w:w="86" w:type="dxa"/>
            <w:tcBorders/>
            <w:shd w:fill="FFFFFF" w:val="clear"/>
            <w:vAlign w:val="center"/>
          </w:tcPr>
          <w:p>
            <w:pPr>
              <w:pStyle w:val="TableContents"/>
              <w:bidi w:val="0"/>
              <w:spacing w:before="0" w:after="283"/>
              <w:jc w:val="left"/>
              <w:rPr/>
            </w:pPr>
            <w:r>
              <w:rPr/>
              <w:t> </w:t>
            </w:r>
          </w:p>
        </w:tc>
      </w:tr>
      <w:tr>
        <w:trPr/>
        <w:tc>
          <w:tcPr>
            <w:tcW w:w="22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8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Wind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Unallocated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6" w:type="dxa"/>
            <w:tcBorders/>
            <w:shd w:fill="FFFFFF" w:val="clear"/>
            <w:vAlign w:val="center"/>
          </w:tcPr>
          <w:p>
            <w:pPr>
              <w:pStyle w:val="TableContents"/>
              <w:bidi w:val="0"/>
              <w:spacing w:before="0" w:after="283"/>
              <w:jc w:val="left"/>
              <w:rPr/>
            </w:pPr>
            <w:r>
              <w:rPr/>
              <w:t> </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22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52,306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156,163</w:t>
            </w:r>
          </w:p>
        </w:tc>
        <w:tc>
          <w:tcPr>
            <w:tcW w:w="86" w:type="dxa"/>
            <w:tcBorders/>
            <w:shd w:fill="FFFFFF" w:val="clear"/>
            <w:vAlign w:val="center"/>
          </w:tcPr>
          <w:p>
            <w:pPr>
              <w:pStyle w:val="TableContents"/>
              <w:bidi w:val="0"/>
              <w:spacing w:before="0" w:after="283"/>
              <w:jc w:val="left"/>
              <w:rPr/>
            </w:pPr>
            <w:r>
              <w:rPr/>
              <w:t> </w:t>
            </w:r>
          </w:p>
        </w:tc>
      </w:tr>
      <w:tr>
        <w:trPr/>
        <w:tc>
          <w:tcPr>
            <w:tcW w:w="22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34"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22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22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other operating expenses (b)</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52,072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6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158,893</w:t>
            </w:r>
          </w:p>
        </w:tc>
        <w:tc>
          <w:tcPr>
            <w:tcW w:w="86" w:type="dxa"/>
            <w:tcBorders/>
            <w:shd w:fill="CCEEFF" w:val="clear"/>
            <w:vAlign w:val="center"/>
          </w:tcPr>
          <w:p>
            <w:pPr>
              <w:pStyle w:val="TableContents"/>
              <w:bidi w:val="0"/>
              <w:spacing w:before="0" w:after="283"/>
              <w:jc w:val="left"/>
              <w:rPr/>
            </w:pPr>
            <w:r>
              <w:rPr/>
              <w:t> </w:t>
            </w:r>
          </w:p>
        </w:tc>
      </w:tr>
      <w:tr>
        <w:trPr/>
        <w:tc>
          <w:tcPr>
            <w:tcW w:w="22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6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(2,730</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 The significant expense categories and amounts align with the segment-level information that is regularly provided to the chief operating decision maker.</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(b) Segment other operating expense includes cost of sales, research and development expense, selling general, and administrative expense, amortization of acquisition related intangibles, and gain/loss on contingent consideration.</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shd w:fill="FFFFFF" w:val="clear"/>
        </w:rPr>
        <w:t>Unallocated corporate expenses consisted of net losses resulting from activity relating to both the NEPSI earnout and the Megatran make whole payment which resulted in</w:t>
      </w:r>
      <w:r>
        <w:rPr>
          <w:rFonts w:ascii="Times New Roman;Times;serif" w:hAnsi="Times New Roman;Times;serif"/>
          <w:sz w:val="20"/>
        </w:rPr>
        <w:t> $6.7 million in increases in the fair value of contingent consideration in the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2024</w:t>
      </w:r>
      <w:r>
        <w:rPr>
          <w:rFonts w:ascii="Times New Roman;Times;serif" w:hAnsi="Times New Roman;Times;serif"/>
          <w:sz w:val="20"/>
        </w:rPr>
        <w: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The reconciliation of segment operating income (loss) to consolidated income (loss) before income taxes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is as follows (in thousands):</w:t>
      </w:r>
    </w:p>
    <w:p>
      <w:pPr>
        <w:pStyle w:val="TextBody"/>
        <w:bidi w:val="0"/>
        <w:spacing w:before="0" w:after="0"/>
        <w:ind w:left="0" w:right="0" w:firstLine="720"/>
        <w:jc w:val="both"/>
        <w:rPr/>
      </w:pPr>
      <w:r>
        <w:rPr/>
        <w:t> </w:t>
      </w:r>
    </w:p>
    <w:tbl>
      <w:tblPr>
        <w:tblW w:w="9704" w:type="dxa"/>
        <w:jc w:val="left"/>
        <w:tblInd w:w="0" w:type="dxa"/>
        <w:tblLayout w:type="fixed"/>
        <w:tblCellMar>
          <w:top w:w="0" w:type="dxa"/>
          <w:left w:w="0" w:type="dxa"/>
          <w:bottom w:w="0" w:type="dxa"/>
          <w:right w:w="0" w:type="dxa"/>
        </w:tblCellMar>
      </w:tblPr>
      <w:tblGrid>
        <w:gridCol w:w="3215"/>
        <w:gridCol w:w="60"/>
        <w:gridCol w:w="273"/>
        <w:gridCol w:w="1060"/>
        <w:gridCol w:w="131"/>
        <w:gridCol w:w="131"/>
        <w:gridCol w:w="273"/>
        <w:gridCol w:w="1060"/>
        <w:gridCol w:w="60"/>
        <w:gridCol w:w="60"/>
        <w:gridCol w:w="274"/>
        <w:gridCol w:w="1295"/>
        <w:gridCol w:w="131"/>
        <w:gridCol w:w="131"/>
        <w:gridCol w:w="274"/>
        <w:gridCol w:w="1196"/>
        <w:gridCol w:w="80"/>
      </w:tblGrid>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 2025</w:t>
            </w:r>
          </w:p>
        </w:tc>
        <w:tc>
          <w:tcPr>
            <w:tcW w:w="80" w:type="dxa"/>
            <w:tcBorders/>
            <w:shd w:fill="FFFF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4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3,359</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11,967</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2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5,198</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27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2,901</w:t>
            </w:r>
          </w:p>
        </w:tc>
        <w:tc>
          <w:tcPr>
            <w:tcW w:w="8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(expense)/income, net</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 benefit</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5,433</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17,222</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Depreciation and amortization expense by segment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is as follows (in thousands):</w:t>
      </w:r>
    </w:p>
    <w:p>
      <w:pPr>
        <w:pStyle w:val="TextBody"/>
        <w:bidi w:val="0"/>
        <w:spacing w:before="0" w:after="0"/>
        <w:ind w:left="0" w:right="0" w:firstLine="720"/>
        <w:jc w:val="both"/>
        <w:rPr/>
      </w:pPr>
      <w:r>
        <w:rPr/>
        <w:t> </w:t>
      </w:r>
    </w:p>
    <w:tbl>
      <w:tblPr>
        <w:tblW w:w="6940" w:type="dxa"/>
        <w:jc w:val="left"/>
        <w:tblInd w:w="0" w:type="dxa"/>
        <w:tblLayout w:type="fixed"/>
        <w:tblCellMar>
          <w:top w:w="0" w:type="dxa"/>
          <w:left w:w="0" w:type="dxa"/>
          <w:bottom w:w="0" w:type="dxa"/>
          <w:right w:w="0" w:type="dxa"/>
        </w:tblCellMar>
      </w:tblPr>
      <w:tblGrid>
        <w:gridCol w:w="470"/>
        <w:gridCol w:w="60"/>
        <w:gridCol w:w="273"/>
        <w:gridCol w:w="1060"/>
        <w:gridCol w:w="131"/>
        <w:gridCol w:w="131"/>
        <w:gridCol w:w="273"/>
        <w:gridCol w:w="1060"/>
        <w:gridCol w:w="60"/>
        <w:gridCol w:w="60"/>
        <w:gridCol w:w="308"/>
        <w:gridCol w:w="1196"/>
        <w:gridCol w:w="147"/>
        <w:gridCol w:w="147"/>
        <w:gridCol w:w="308"/>
        <w:gridCol w:w="1196"/>
        <w:gridCol w:w="60"/>
      </w:tblGrid>
      <w:tr>
        <w:trPr/>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 December 31, 2025</w:t>
            </w:r>
          </w:p>
        </w:tc>
        <w:tc>
          <w:tcPr>
            <w:tcW w:w="60" w:type="dxa"/>
            <w:tcBorders/>
            <w:shd w:fill="FFFFFF" w:val="clear"/>
            <w:vAlign w:val="center"/>
          </w:tcPr>
          <w:p>
            <w:pPr>
              <w:pStyle w:val="TableContents"/>
              <w:bidi w:val="0"/>
              <w:spacing w:before="0" w:after="283"/>
              <w:jc w:val="left"/>
              <w:rPr/>
            </w:pPr>
            <w:r>
              <w:rPr/>
              <w:t> </w:t>
            </w:r>
          </w:p>
        </w:tc>
      </w:tr>
      <w:tr>
        <w:trPr/>
        <w:tc>
          <w:tcPr>
            <w:tcW w:w="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3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1,726</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4,089</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FFFF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31"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2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147"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FFFFFF" w:val="clear"/>
            <w:vAlign w:val="center"/>
          </w:tcPr>
          <w:p>
            <w:pPr>
              <w:pStyle w:val="TableContents"/>
              <w:bidi w:val="0"/>
              <w:spacing w:before="0" w:after="0"/>
              <w:jc w:val="left"/>
              <w:rPr/>
            </w:pPr>
            <w:r>
              <w:rPr/>
              <w:t> </w:t>
            </w:r>
          </w:p>
        </w:tc>
      </w:tr>
      <w:tr>
        <w:trPr/>
        <w:tc>
          <w:tcPr>
            <w:tcW w:w="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1,789</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147"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income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w:t>
      </w:r>
      <w:r>
        <w:rPr>
          <w:rStyle w:val="Emphasis"/>
          <w:rFonts w:ascii="Times New Roman;Times;serif" w:hAnsi="Times New Roman;Times;serif"/>
          <w:sz w:val="20"/>
        </w:rPr>
        <w:t>not</w:t>
      </w:r>
      <w:r>
        <w:rPr>
          <w:rFonts w:ascii="Times New Roman;Times;serif" w:hAnsi="Times New Roman;Times;serif"/>
          <w:sz w:val="20"/>
        </w:rPr>
        <w:t xml:space="preserve"> believe are specifically attributable or allocable to either of the </w:t>
      </w:r>
      <w:r>
        <w:rPr>
          <w:rStyle w:val="Emphasis"/>
          <w:rFonts w:ascii="Times New Roman;Times;serif" w:hAnsi="Times New Roman;Times;serif"/>
          <w:sz w:val="20"/>
        </w:rPr>
        <w:t>two</w:t>
      </w:r>
      <w:r>
        <w:rPr>
          <w:rFonts w:ascii="Times New Roman;Times;serif" w:hAnsi="Times New Roman;Times;serif"/>
          <w:sz w:val="20"/>
        </w:rPr>
        <w:t xml:space="preserve"> business segments have been excluded from the segment operating income (loss).</w:t>
      </w:r>
    </w:p>
    <w:p>
      <w:pPr>
        <w:pStyle w:val="TextBody"/>
        <w:bidi w:val="0"/>
        <w:spacing w:before="0" w:after="0"/>
        <w:ind w:left="0" w:right="0" w:firstLine="555"/>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Total assets for the </w:t>
      </w:r>
      <w:r>
        <w:rPr>
          <w:rStyle w:val="Emphasis"/>
          <w:rFonts w:ascii="Times New Roman;Times;serif" w:hAnsi="Times New Roman;Times;serif"/>
          <w:sz w:val="20"/>
        </w:rPr>
        <w:t>two</w:t>
      </w:r>
      <w:r>
        <w:rPr>
          <w:rFonts w:ascii="Times New Roman;Times;serif" w:hAnsi="Times New Roman;Times;serif"/>
          <w:sz w:val="20"/>
        </w:rPr>
        <w:t xml:space="preserve"> business segments as of </w:t>
      </w:r>
      <w:r>
        <w:rPr>
          <w:rStyle w:val="Emphasis"/>
          <w:rFonts w:ascii="Times New Roman;Times;serif" w:hAnsi="Times New Roman;Times;serif"/>
          <w:sz w:val="20"/>
          <w:shd w:fill="FFFFFF" w:val="clear"/>
        </w:rPr>
        <w:t xml:space="preserve"> December 31, 2025</w:t>
      </w:r>
      <w:r>
        <w:rPr>
          <w:rFonts w:ascii="Times New Roman;Times;serif" w:hAnsi="Times New Roman;Times;serif"/>
          <w:sz w:val="20"/>
        </w:rPr>
        <w:t> and </w:t>
      </w:r>
      <w:r>
        <w:rPr>
          <w:rStyle w:val="Emphasis"/>
          <w:rFonts w:ascii="Times New Roman;Times;serif" w:hAnsi="Times New Roman;Times;serif"/>
          <w:sz w:val="20"/>
        </w:rPr>
        <w:t xml:space="preserve"> March 31, 2025</w:t>
      </w:r>
      <w:r>
        <w:rPr>
          <w:rFonts w:ascii="Times New Roman;Times;serif" w:hAnsi="Times New Roman;Times;serif"/>
          <w:sz w:val="20"/>
        </w:rPr>
        <w:t>, are as follows (in thousands):</w:t>
      </w:r>
    </w:p>
    <w:p>
      <w:pPr>
        <w:pStyle w:val="TextBody"/>
        <w:bidi w:val="0"/>
        <w:spacing w:before="0" w:after="0"/>
        <w:ind w:left="0" w:right="0" w:firstLine="720"/>
        <w:jc w:val="both"/>
        <w:rPr/>
      </w:pPr>
      <w:r>
        <w:rPr/>
        <w:t> </w:t>
      </w:r>
    </w:p>
    <w:tbl>
      <w:tblPr>
        <w:tblW w:w="4528" w:type="dxa"/>
        <w:jc w:val="left"/>
        <w:tblInd w:w="0" w:type="dxa"/>
        <w:tblLayout w:type="fixed"/>
        <w:tblCellMar>
          <w:top w:w="0" w:type="dxa"/>
          <w:left w:w="0" w:type="dxa"/>
          <w:bottom w:w="0" w:type="dxa"/>
          <w:right w:w="0" w:type="dxa"/>
        </w:tblCellMar>
      </w:tblPr>
      <w:tblGrid>
        <w:gridCol w:w="1340"/>
        <w:gridCol w:w="60"/>
        <w:gridCol w:w="243"/>
        <w:gridCol w:w="1366"/>
        <w:gridCol w:w="60"/>
        <w:gridCol w:w="60"/>
        <w:gridCol w:w="204"/>
        <w:gridCol w:w="1135"/>
        <w:gridCol w:w="60"/>
      </w:tblGrid>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211,520</w:t>
            </w:r>
          </w:p>
        </w:tc>
        <w:tc>
          <w:tcPr>
            <w:tcW w:w="6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13,697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assets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85,304</w:t>
            </w:r>
          </w:p>
        </w:tc>
        <w:tc>
          <w:tcPr>
            <w:tcW w:w="60" w:type="dxa"/>
            <w:tcBorders/>
            <w:shd w:fill="CCEEFF" w:val="clear"/>
            <w:vAlign w:val="center"/>
          </w:tcPr>
          <w:p>
            <w:pPr>
              <w:pStyle w:val="TableContents"/>
              <w:bidi w:val="0"/>
              <w:spacing w:before="0" w:after="0"/>
              <w:jc w:val="left"/>
              <w:rPr/>
            </w:pPr>
            <w:r>
              <w:rPr/>
              <w:t> </w:t>
            </w:r>
          </w:p>
        </w:tc>
      </w:tr>
      <w:tr>
        <w:trPr/>
        <w:tc>
          <w:tcPr>
            <w:tcW w:w="1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719,534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19.</w:t>
      </w:r>
      <w:r>
        <w:rPr>
          <w:rFonts w:ascii="Times New Roman;Times;serif" w:hAnsi="Times New Roman;Times;serif"/>
          <w:b/>
          <w:sz w:val="20"/>
        </w:rPr>
        <w:t xml:space="preserve"> Recent Accounting Pronouncements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December 2023, </w:t>
      </w:r>
      <w:r>
        <w:rPr>
          <w:rFonts w:ascii="Times New Roman;Times;serif" w:hAnsi="Times New Roman;Times;serif"/>
          <w:sz w:val="20"/>
        </w:rPr>
        <w:t>the FASB issued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w:t>
      </w:r>
      <w:r>
        <w:rPr>
          <w:rFonts w:ascii="Times New Roman;Times;serif" w:hAnsi="Times New Roman;Times;serif"/>
          <w:i/>
          <w:sz w:val="20"/>
        </w:rPr>
        <w:t xml:space="preserve">Income Taxes (Topic </w:t>
      </w:r>
      <w:r>
        <w:rPr>
          <w:rStyle w:val="Emphasis"/>
          <w:rFonts w:ascii="Times New Roman;Times;serif" w:hAnsi="Times New Roman;Times;serif"/>
          <w:i/>
          <w:sz w:val="20"/>
        </w:rPr>
        <w:t>740</w:t>
      </w:r>
      <w:r>
        <w:rPr>
          <w:rFonts w:ascii="Times New Roman;Times;serif" w:hAnsi="Times New Roman;Times;serif"/>
          <w:i/>
          <w:sz w:val="20"/>
        </w:rPr>
        <w:t>): Improvements to Income Tax Disclosures</w:t>
      </w:r>
      <w:r>
        <w:rPr>
          <w:rFonts w:ascii="Times New Roman;Times;serif" w:hAnsi="Times New Roman;Times;serif"/>
          <w:sz w:val="20"/>
        </w:rPr>
        <w:t xml:space="preserve">. The amendments in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address investor requests for more transparency about income tax information through improvements to income tax disclosures primarily related to the rate reconciliation and income taxes paid information. Following the release of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in </w:t>
      </w:r>
      <w:r>
        <w:rPr>
          <w:rStyle w:val="Emphasis"/>
          <w:rFonts w:ascii="Times New Roman;Times;serif" w:hAnsi="Times New Roman;Times;serif"/>
          <w:sz w:val="20"/>
        </w:rPr>
        <w:t xml:space="preserve">December 2023, </w:t>
      </w:r>
      <w:r>
        <w:rPr>
          <w:rFonts w:ascii="Times New Roman;Times;serif" w:hAnsi="Times New Roman;Times;serif"/>
          <w:sz w:val="20"/>
        </w:rPr>
        <w:t xml:space="preserve">the effective date was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shd w:fill="FFFFFF" w:val="clear"/>
        </w:rPr>
        <w:t>December 31, 2025</w:t>
      </w:r>
      <w:r>
        <w:rPr>
          <w:rFonts w:ascii="Times New Roman;Times;serif" w:hAnsi="Times New Roman;Times;serif"/>
          <w:sz w:val="20"/>
        </w:rPr>
        <w:t>, the Company is evaluating the impact on its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March 2024, </w:t>
      </w:r>
      <w:r>
        <w:rPr>
          <w:rFonts w:ascii="Times New Roman;Times;serif" w:hAnsi="Times New Roman;Times;serif"/>
          <w:sz w:val="20"/>
        </w:rPr>
        <w:t>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w:t>
      </w:r>
      <w:r>
        <w:rPr>
          <w:rFonts w:ascii="Times New Roman;Times;serif" w:hAnsi="Times New Roman;Times;serif"/>
          <w:i/>
          <w:sz w:val="20"/>
        </w:rPr>
        <w:t>Codification Improvements</w:t>
      </w:r>
      <w:r>
        <w:rPr>
          <w:rFonts w:ascii="Times New Roman;Times;serif" w:hAnsi="Times New Roman;Times;serif"/>
          <w:sz w:val="20"/>
        </w:rPr>
        <w:t>—</w:t>
      </w:r>
      <w:r>
        <w:rPr>
          <w:rFonts w:ascii="Times New Roman;Times;serif" w:hAnsi="Times New Roman;Times;serif"/>
          <w:i/>
          <w:sz w:val="20"/>
        </w:rPr>
        <w:t>Amendments to Remove References to the Concepts Statements</w:t>
      </w:r>
      <w:r>
        <w:rPr>
          <w:rFonts w:ascii="Times New Roman;Times;serif" w:hAnsi="Times New Roman;Times;serif"/>
          <w:sz w:val="20"/>
        </w:rPr>
        <w:t xml:space="preserve">. The amendments in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contain amendments to the Codification that remove references to various FASB Concepts Statements. Following the release of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02</w:t>
      </w:r>
      <w:r>
        <w:rPr>
          <w:rFonts w:ascii="Times New Roman;Times;serif" w:hAnsi="Times New Roman;Times;serif"/>
          <w:sz w:val="20"/>
        </w:rPr>
        <w:t xml:space="preserve"> in </w:t>
      </w:r>
      <w:r>
        <w:rPr>
          <w:rStyle w:val="Emphasis"/>
          <w:rFonts w:ascii="Times New Roman;Times;serif" w:hAnsi="Times New Roman;Times;serif"/>
          <w:sz w:val="20"/>
        </w:rPr>
        <w:t xml:space="preserve">March 2024, </w:t>
      </w:r>
      <w:r>
        <w:rPr>
          <w:rFonts w:ascii="Times New Roman;Times;serif" w:hAnsi="Times New Roman;Times;serif"/>
          <w:sz w:val="20"/>
        </w:rPr>
        <w:t xml:space="preserve">the effective date was annual reporting periods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As of </w:t>
      </w:r>
      <w:r>
        <w:rPr>
          <w:rStyle w:val="Emphasis"/>
          <w:rFonts w:ascii="Times New Roman;Times;serif" w:hAnsi="Times New Roman;Times;serif"/>
          <w:sz w:val="20"/>
          <w:shd w:fill="FFFFFF" w:val="clear"/>
        </w:rPr>
        <w:t>December 31, 2025</w:t>
      </w:r>
      <w:r>
        <w:rPr>
          <w:rFonts w:ascii="Times New Roman;Times;serif" w:hAnsi="Times New Roman;Times;serif"/>
          <w:sz w:val="20"/>
        </w:rPr>
        <w:t>, the Company is evaluating the impact on its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2024, </w:t>
      </w:r>
      <w:r>
        <w:rPr>
          <w:rFonts w:ascii="Times New Roman;Times;serif" w:hAnsi="Times New Roman;Times;serif"/>
          <w:sz w:val="20"/>
        </w:rPr>
        <w:t>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The amendments in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address investor requests for more disclosure of disaggregated financial reporting information about expenses presented in the income statement. Following the release of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in </w:t>
      </w:r>
      <w:r>
        <w:rPr>
          <w:rStyle w:val="Emphasis"/>
          <w:rFonts w:ascii="Times New Roman;Times;serif" w:hAnsi="Times New Roman;Times;serif"/>
          <w:sz w:val="20"/>
        </w:rPr>
        <w:t xml:space="preserve">November 2024, </w:t>
      </w:r>
      <w:r>
        <w:rPr>
          <w:rFonts w:ascii="Times New Roman;Times;serif" w:hAnsi="Times New Roman;Times;serif"/>
          <w:sz w:val="20"/>
        </w:rPr>
        <w:t xml:space="preserve">the effective date will be annual reporting periods beginning after </w:t>
      </w:r>
      <w:r>
        <w:rPr>
          <w:rStyle w:val="Emphasis"/>
          <w:rFonts w:ascii="Times New Roman;Times;serif" w:hAnsi="Times New Roman;Times;serif"/>
          <w:sz w:val="20"/>
        </w:rPr>
        <w:t xml:space="preserve">December 15, 2026. </w:t>
      </w:r>
      <w:r>
        <w:rPr>
          <w:rFonts w:ascii="Times New Roman;Times;serif" w:hAnsi="Times New Roman;Times;serif"/>
          <w:sz w:val="20"/>
        </w:rPr>
        <w:t xml:space="preserve">As of </w:t>
      </w:r>
      <w:r>
        <w:rPr>
          <w:rStyle w:val="Emphasis"/>
          <w:rFonts w:ascii="Times New Roman;Times;serif" w:hAnsi="Times New Roman;Times;serif"/>
          <w:sz w:val="20"/>
          <w:shd w:fill="FFFFFF" w:val="clear"/>
        </w:rPr>
        <w:t>December 31, 2025</w:t>
      </w:r>
      <w:r>
        <w:rPr>
          <w:rFonts w:ascii="Times New Roman;Times;serif" w:hAnsi="Times New Roman;Times;serif"/>
          <w:sz w:val="20"/>
        </w:rPr>
        <w:t>, the Company is evaluating the impact on its consolidated financial statements.</w:t>
      </w:r>
    </w:p>
    <w:p>
      <w:pPr>
        <w:pStyle w:val="TextBody"/>
        <w:bidi w:val="0"/>
        <w:spacing w:before="0" w:after="0"/>
        <w:ind w:left="0" w:right="0" w:firstLine="720"/>
        <w:jc w:val="both"/>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20.</w:t>
      </w:r>
      <w:r>
        <w:rPr>
          <w:rFonts w:ascii="Times New Roman;Times;serif" w:hAnsi="Times New Roman;Times;serif"/>
          <w:b/>
          <w:sz w:val="20"/>
        </w:rPr>
        <w:t xml:space="preserve"> Subsequent Events</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Times;serif" w:hAnsi="Times New Roman;Times;serif"/>
          <w:sz w:val="20"/>
        </w:rPr>
        <w:t xml:space="preserve">The Company has performed an evaluation of subsequent events through the time of filing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with the SEC and has determined that there are </w:t>
      </w:r>
      <w:r>
        <w:rPr>
          <w:rStyle w:val="Emphasis"/>
          <w:rFonts w:ascii="Times New Roman;Times;serif" w:hAnsi="Times New Roman;Times;serif"/>
          <w:sz w:val="20"/>
        </w:rPr>
        <w:t>no</w:t>
      </w:r>
      <w:r>
        <w:rPr>
          <w:rFonts w:ascii="Times New Roman;Times;serif" w:hAnsi="Times New Roman;Times;serif"/>
          <w:sz w:val="20"/>
        </w:rPr>
        <w:t xml:space="preserve"> such events to report.</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lineRule="auto" w:line="420" w:before="0" w:after="0"/>
        <w:ind w:left="0" w:right="0" w:hanging="0"/>
        <w:jc w:val="center"/>
        <w:rPr>
          <w:rFonts w:ascii="Times New Roman;Times;serif" w:hAnsi="Times New Roman;Times;serif"/>
          <w:b/>
          <w:sz w:val="20"/>
        </w:rPr>
      </w:pPr>
      <w:bookmarkStart w:id="5" w:name="mdna"/>
      <w:bookmarkEnd w:id="5"/>
      <w:r>
        <w:rPr>
          <w:rFonts w:ascii="Times New Roman;Times;serif" w:hAnsi="Times New Roman;Times;serif"/>
          <w:b/>
          <w:sz w:val="20"/>
        </w:rPr>
        <w:t>AMERICAN SUPERCONDUCTOR CORPORATION</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w:t>
      </w:r>
    </w:p>
    <w:p>
      <w:pPr>
        <w:pStyle w:val="TextBody"/>
        <w:bidi w:val="0"/>
        <w:spacing w:lineRule="auto" w:line="420" w:before="0" w:after="0"/>
        <w:ind w:left="0" w:right="0" w:hanging="0"/>
        <w:jc w:val="center"/>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29"/>
        <w:gridCol w:w="9476"/>
      </w:tblGrid>
      <w:tr>
        <w:trPr/>
        <w:tc>
          <w:tcPr>
            <w:tcW w:w="72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94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pPr>
      <w:r>
        <w:rPr/>
        <w:t> </w:t>
      </w:r>
    </w:p>
    <w:p>
      <w:pPr>
        <w:pStyle w:val="TextBody"/>
        <w:bidi w:val="0"/>
        <w:jc w:val="both"/>
        <w:rPr>
          <w:sz w:val="20"/>
        </w:rPr>
      </w:pPr>
      <w:r>
        <w:rPr>
          <w:i/>
          <w:sz w:val="20"/>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addressable markets, our competitive position, macroeconomic conditions and their anticipated effect on our business, the benefits of our acquisitions, financial results and financial condition, expectations for our products, capabilities and potential uses of our products, steps taken to enhance liquidity, or our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not been historically profitable, which may recur in the future. Our operating results may fluctuate significantly from quarter to quarter and may fall below expectations in any particular fiscal quarter; While we generated positive operating cash flow in fiscal 2024 and the prior year, we have a history of negative operating cash flows, and we may require additional financing in the future, which may not be available to us; Our technology and products could infringe intellectual property rights of others, which may require costly litigation and, if we are not successful, could cause us to pay substantial damages and disrupt our business;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be required to issue performance bonds, which restricts our ability to access any cash used as collateral for the bonds; We may not realize all of the sales expected from our backlog of orders and contracts; If we fail to implement our business strategy successfully, our financial performance could be harmed; We rely upon third-party suppliers for the components and subassemblies of many of our Grid and Wind products, making us vulnerable to supply shortages and price fluctuations, which could harm our business; Our contracts with the U.S. and Canadian governments are subject to audit, modification or termination by such governments and include certain other provisions in favor of the governments. The continued funding of such contracts may remain subject to annual legislative appropriation, which, if not approved, could reduce our revenue and lower or eliminate our profit; Changes in U.S. government defense spending could negatively impact our financial position, results of operations, liquidity and overall business; Our business and operations may be materially adversely impacted in the event of a failure or security breach of our or any critical third parties' IT Systems or Confidential Information; Failure to comply with evolving data privacy and data protection laws and regulations or to otherwise protect personal data, may adversely impact our business and financial results; Our success is dependent upon attracting and retaining qualified personnel and our inability to do so could significantly damage our business and prospects; We may acquire additional complementary businesses or technologies, which may require us to incur substantial costs for which we may never realize the anticipated benefits; A significant portion of our Wind segment revenues are derived from a single customer. If this customer’s business is negatively affected, it could adversely impact our business; Our success in addressing the wind energy market is dependent on the manufacturers that license our designs; Many of our revenue opportunities are dependent upon subcontractors and other business collaborators;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Uncertainty surrounding our prospects and financial condition may have an adverse effect on our customer and supplier relationships; Pandemics, epidemics, or other public health crises may adversely impact our business, financial condition and results of operations; Adverse changes in domestic and global economic conditions could adversely affect our operating results;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Industry consolidation could result in more powerful competitors and fewer customers; Our success could depend upon the commercial adoption of the REG system, which is currently limited, and a widespread commercial market for our REG products may not develop; Increasing focus and scrutiny on environmental sustainability and social initiatives could adversely impact our business and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We may be unable to adequately prevent disclosure of trade secrets and other proprietary information; Our patents may not provide meaningful or long-term protection for our technology, which could result in us losing some or all of our market position; Third parties have or may acquire patents that cover the materials, processes and technologies we use or may use in the future to manufacture our Amperium products, and our success depends on our ability to license such patents or other proprietary rights;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Our common stock has experienced, and may continue to experience, market price and volume fluctuations, which may prevent our stockholders from selling our common stock at a profit and could lead to costly litigation against us that could divert our management’s attention; Unfavorable results of legal proceedings could have a material adverse effect on our business, operating results and financial condition; and the other important factors discussed under the caption "Risk Factors" in Part 1. Item 1A of our Form 10-K for the fiscal year ended March 31, 2025,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   </w:t>
      </w:r>
      <w:r>
        <w:rPr>
          <w:sz w:val="20"/>
        </w:rPr>
        <w:t xml:space="preserve"> </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American Superconductor®, Amperium®, AMSC®, D-VAR®, PowerModule™, D-VAR VVO</w:t>
      </w:r>
      <w:r>
        <w:rPr>
          <w:rFonts w:ascii="Times New Roman;Times;serif" w:hAnsi="Times New Roman;Times;serif"/>
          <w:i/>
          <w:sz w:val="20"/>
        </w:rPr>
        <w:t xml:space="preserve">®, </w:t>
      </w:r>
      <w:r>
        <w:rPr>
          <w:rFonts w:ascii="Times New Roman;Times;serif" w:hAnsi="Times New Roman;Times;serif"/>
          <w:sz w:val="20"/>
        </w:rPr>
        <w:t>PQ-IVR®, SeaTitan®, Gridtec™ Solutions, Windtec™ Solutions, Smarter, Cleaner...Better Energy™, orchestrate the rhythm and harmony of power on the grid™, actiVAR®, armorVAR™, NEPSI™ and Neeltran™, NWL™ and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Executive Overview</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needs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manufacture products using two proprietary core technologies: PowerModule™ programmable power electronic converters and our Amperium® high temperature superconductor ("HTS") wires. These technologies and our system-level solutions are protected by a robust intellectual property portfolio consisting of patents and patent applications worldwide and rights through exclusive and non-exclusive licenses.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operate our business under two market-facing business segments: Grid and Wind. We believe this market-centric structure enables us to more effectively anticipate and meet the needs of power generation project developers, the Navy's ship protection systems, electric utilities and wind turbine manufacturers.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Grid.</w:t>
            </w:r>
            <w:r>
              <w:rPr>
                <w:rFonts w:ascii="Times New Roman" w:hAnsi="Times New Roman"/>
                <w:sz w:val="20"/>
              </w:rPr>
              <w:t> Through our Gridtec™ Solutions, our Grid business segment enables electric utilities, industrial facilities, and renewable energy project 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tc>
      </w:tr>
    </w:tbl>
    <w:p>
      <w:pPr>
        <w:pStyle w:val="TextBody"/>
        <w:bidi w:val="0"/>
        <w:spacing w:before="40" w:after="40"/>
        <w:ind w:left="0" w:right="0" w:hanging="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both"/>
              <w:rPr>
                <w:rFonts w:ascii="Times New Roman" w:hAnsi="Times New Roman"/>
                <w:sz w:val="20"/>
              </w:rPr>
            </w:pPr>
            <w:r>
              <w:rPr>
                <w:rFonts w:ascii="Times New Roman" w:hAnsi="Times New Roman"/>
                <w:i/>
                <w:sz w:val="20"/>
              </w:rPr>
              <w:t>Wind.</w:t>
            </w:r>
            <w:r>
              <w:rPr>
                <w:rFonts w:ascii="Times New Roman" w:hAnsi="Times New Roman"/>
                <w:sz w:val="20"/>
              </w:rPr>
              <w:t> Through our Windtec™ Solutions, our Wind business segment enables manufacturers to field wind turbines with exceptional power 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fiscal year begins on April 1 and ends on March 31. When we refer to a particular fiscal year, we are referring to the fiscal year that began on April 1 of that same year. For example, fiscal 2025 refers to the fiscal year that began on April 1, 2025. Other fiscal years follow similarly.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in macroeconomic conditions arising from various reasons, such as the ongoing war between Russia and Ukraine, tariffs, trade restrictions and resulting trade conflicts, labor force availability, sourcing, material delays and global supply chain disruptions,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5, 2025 (the "Comtrafo Acquisition Date"), we entered into a Stock Exchange Agreement (the "Stock Exchange Agreement") with the selling stockholders named therein (the "Stockholders"). Pursuant to the terms of the Stock Exchange Agreement, Mardin Participações Ltda., an entity incorporated in Brazil (“AMSC Brazil”) and our wholly-owned subsidiary, directly or indirectly, purchased all of the issued and outstanding shares of Comtrafo Indústria de Transformadores Elétricos S.A. ("Comtrafo") (collectively, the "Comtrafo Acquisition") for (a) (i) 300,000,000 Brazilian Real in cash; and (b) 2,417,142 restricted shares of our common stock, $0.01 par value per share (the "AMSC Shares") that were paid and issued, respectively, at closing. In addition, pursuant to certain additional real property agreements, AMSC Brazil through Comtrafo purchased certain real estate assets and transportation assets of Comtrafo for 155,564,538 Brazilian Real and 13,376,676 Brazilian Real, respectively, in cash. Additionally, AMSC Brazil has agreed to pay the Stockholders up to an additional 382,500,000 Brazilian Real in cash (the "Earnout") upon the achievement of specified earnings before interest, taxes, depreciation, and amortization ("EBITDA") objectives during the three years following the closing. Comtrafo is a Brazil-based manufacturer of large power and distribution transformers primarily for utility customers and also for industrial customers.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1, 2024, we entered into a Stock Purchase Agreement (the “Stock Purchase Agreement”) with the selling stockholders named therein. Pursuant to the terms of the Stock Purchase Agreement and concurrently with entering into such agreement, we acquired all of the issued and outstanding shares of Megatran, Industries, Inc. ("Megatran"), for aggregate consideration in an amount equal to $61.4 million, as may be adjusted pursuant to the Stock Purchase Agreement (the “Purchase Price”), including a cash payment after closing of $5.0 million, as adjusted pursuant to Sections 5.6(c), (d), and (f) of the Stock Purchase Agreement (the “Additional Cash Purchase Price”). At closing, we paid to Megatran's selling stockholders $25.0 million in cash on hand, and 1,297,600 restricted shares of our common stock. On September 23, 2024, we paid the Additional Cash Purchase Price to the selling stockholders, which was calculated based on the agreed upon formula set forth in the Stock Purchase Agreement, in the amount of $8.3 million which includes the Additional Cash Purchase Price and the make whole payment. Megatran's wholly-owned subsidiary, NWL, Inc. (together with Megatran,</w:t>
      </w:r>
      <w:r>
        <w:rPr>
          <w:rFonts w:ascii="Times New Roman" w:hAnsi="Times New Roman"/>
          <w:caps w:val="false"/>
          <w:smallCaps w:val="false"/>
          <w:sz w:val="20"/>
          <w:shd w:fill="FFFFFF" w:val="clear"/>
        </w:rPr>
        <w:t xml:space="preserve"> "NWL")</w:t>
      </w:r>
      <w:r>
        <w:rPr>
          <w:rFonts w:ascii="Times New Roman" w:hAnsi="Times New Roman"/>
          <w:caps w:val="false"/>
          <w:smallCaps w:val="false"/>
          <w:sz w:val="20"/>
        </w:rPr>
        <w:t>, is a U.S.-based global provider of engineered power conversion solutions for demanding industrial and military applications.  As a result of this transaction, Megatran became a wholly-owned subsidiary and is operated by our Grid business segment. We refer to this transaction as the "acquisition of NWL".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2025, we completed an offering of 4,743,750 shares of our common stock at a public offering price of $28.00 per share under our Registration Statement on Form S-3. We received aggregate net proceeds of approximately $124.6 million after deducting underwriting discounts and commissions and offering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Three and nine months ended </w:t>
      </w:r>
      <w:r>
        <w:rPr>
          <w:rFonts w:ascii="Times New Roman;Times;serif" w:hAnsi="Times New Roman;Times;serif"/>
          <w:b/>
          <w:i/>
          <w:sz w:val="20"/>
          <w:shd w:fill="FFFFFF" w:val="clear"/>
        </w:rPr>
        <w:t>December 31, 2025</w:t>
      </w:r>
      <w:r>
        <w:rPr>
          <w:rFonts w:ascii="Times New Roman;Times;serif" w:hAnsi="Times New Roman;Times;serif"/>
          <w:b/>
          <w:i/>
          <w:sz w:val="20"/>
        </w:rPr>
        <w:t>, compared to the three and nine months ended December 31, 2024</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Total revenues increased 21% to $74.5 million for the three months ended December 31, 2025 and total revenues increased 36% to $212.7 million for the nine months ended December 31, 2025 compared to $61.4 million and $156.2 for the three and nine months ended December 31, 2024, respectively. Our revenues are summarized as follows (in thousands):</w:t>
      </w:r>
    </w:p>
    <w:p>
      <w:pPr>
        <w:pStyle w:val="TextBody"/>
        <w:bidi w:val="0"/>
        <w:spacing w:before="0" w:after="0"/>
        <w:ind w:left="0" w:right="0" w:firstLine="720"/>
        <w:jc w:val="both"/>
        <w:rPr/>
      </w:pPr>
      <w:r>
        <w:rPr/>
        <w:t> </w:t>
      </w:r>
    </w:p>
    <w:tbl>
      <w:tblPr>
        <w:tblW w:w="6969" w:type="dxa"/>
        <w:jc w:val="left"/>
        <w:tblInd w:w="0" w:type="dxa"/>
        <w:tblLayout w:type="fixed"/>
        <w:tblCellMar>
          <w:top w:w="0" w:type="dxa"/>
          <w:left w:w="0" w:type="dxa"/>
          <w:bottom w:w="0" w:type="dxa"/>
          <w:right w:w="0" w:type="dxa"/>
        </w:tblCellMar>
      </w:tblPr>
      <w:tblGrid>
        <w:gridCol w:w="875"/>
        <w:gridCol w:w="60"/>
        <w:gridCol w:w="241"/>
        <w:gridCol w:w="1138"/>
        <w:gridCol w:w="115"/>
        <w:gridCol w:w="115"/>
        <w:gridCol w:w="241"/>
        <w:gridCol w:w="1138"/>
        <w:gridCol w:w="60"/>
        <w:gridCol w:w="60"/>
        <w:gridCol w:w="203"/>
        <w:gridCol w:w="1133"/>
        <w:gridCol w:w="97"/>
        <w:gridCol w:w="97"/>
        <w:gridCol w:w="203"/>
        <w:gridCol w:w="1133"/>
        <w:gridCol w:w="60"/>
      </w:tblGrid>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December 31,</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3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Grid</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63,187</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177,616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131,578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11,342</w:t>
            </w:r>
          </w:p>
        </w:tc>
        <w:tc>
          <w:tcPr>
            <w:tcW w:w="115" w:type="dxa"/>
            <w:tcBorders/>
            <w:shd w:fill="CCEEFF" w:val="clear"/>
            <w:vAlign w:val="center"/>
          </w:tcPr>
          <w:p>
            <w:pPr>
              <w:pStyle w:val="TableContents"/>
              <w:bidi w:val="0"/>
              <w:spacing w:before="0" w:after="0"/>
              <w:ind w:left="0" w:right="0" w:hanging="0"/>
              <w:jc w:val="left"/>
              <w:rPr/>
            </w:pPr>
            <w:r>
              <w:rPr/>
              <w:t> </w:t>
            </w:r>
          </w:p>
        </w:tc>
        <w:tc>
          <w:tcPr>
            <w:tcW w:w="115"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35,133</w:t>
            </w:r>
          </w:p>
        </w:tc>
        <w:tc>
          <w:tcPr>
            <w:tcW w:w="97"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24,585</w:t>
            </w:r>
          </w:p>
        </w:tc>
        <w:tc>
          <w:tcPr>
            <w:tcW w:w="60" w:type="dxa"/>
            <w:tcBorders/>
            <w:shd w:fill="CCEEFF" w:val="clear"/>
            <w:vAlign w:val="center"/>
          </w:tcPr>
          <w:p>
            <w:pPr>
              <w:pStyle w:val="TableContents"/>
              <w:bidi w:val="0"/>
              <w:spacing w:before="0" w:after="0"/>
              <w:jc w:val="left"/>
              <w:rPr/>
            </w:pPr>
            <w:r>
              <w:rPr/>
              <w:t> </w:t>
            </w:r>
          </w:p>
        </w:tc>
      </w:tr>
      <w:tr>
        <w:trPr/>
        <w:tc>
          <w:tcPr>
            <w:tcW w:w="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74,529</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212,749</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156,163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Grid business segment accounted for 85% and 83% of total revenues for both the three and nine months ended December 31, 2025, respectively, compared </w:t>
      </w:r>
      <w:r>
        <w:rPr>
          <w:rFonts w:ascii="Times New Roman;Times;serif" w:hAnsi="Times New Roman;Times;serif"/>
          <w:sz w:val="20"/>
          <w:shd w:fill="FFFFFF" w:val="clear"/>
        </w:rPr>
        <w:t xml:space="preserve">to 85% and 84% for </w:t>
      </w:r>
      <w:r>
        <w:rPr>
          <w:rFonts w:ascii="Times New Roman;Times;serif" w:hAnsi="Times New Roman;Times;serif"/>
          <w:sz w:val="20"/>
        </w:rPr>
        <w:t>the three and nine months ended December 31, 2024, respectively. Our Grid business segment revenues increased 21% to $63.2 million in the three months ended December 31, 2025, from $52.3 million in the three months ended December 31, 2024. Our Grid business segment revenues increased 35% to $177.6 million in the nine months ended December 31, 2025, from $131.6 million in the nine months ended December 31, 2024. The increase in the Grid business segment revenues in the three months ended December 31, 2025, compared to the three months ended December 31, 2024, was driven by increased shipments of new energy power systems and additional ship protection systems revenues than in the prior year period along with the addition of Comtrafo revenues. The increase in the Grid business segment revenues in the nine months ended December 31, 2025, compared to the nine months ended December 31, 2024, was driven by the acquisitions of NWL and Comtrafo, increased shipments of new energy power systems, and additional ship protection systems revenues compared to the prior year periods.</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Wind business segment accounted for 15% and 17% of total revenues for the three and nine months ended December 31, 2025, respectively, compared </w:t>
      </w:r>
      <w:r>
        <w:rPr>
          <w:rFonts w:ascii="Times New Roman;Times;serif" w:hAnsi="Times New Roman;Times;serif"/>
          <w:sz w:val="20"/>
          <w:shd w:fill="FFFFFF" w:val="clear"/>
        </w:rPr>
        <w:t>to 15% and 16% for</w:t>
      </w:r>
      <w:r>
        <w:rPr>
          <w:rFonts w:ascii="Times New Roman;Times;serif" w:hAnsi="Times New Roman;Times;serif"/>
          <w:sz w:val="20"/>
        </w:rPr>
        <w:t> the three and nine months ended December 31, 2024, respectively. Revenues in the Wind business segment increased 25% to $11.3 million in the three months ended December 31, 2025, from $9.1 million in the three months ended December 31, 2024. Revenues in the Wind business segment increased 43% to $35.1 million in the nine months ended December 31, 2025, from $24.6 million in the nine months ended December 31, 2024. The increase during the three and nine months ended December 31, 2025, compared to the three and nine months ended December 31, 2024, was driven by additional shipments of electrical control systems ("ECS").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Revenues and Gross Margin</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Cost of revenues increased by 15% to $51.7 millio</w:t>
      </w:r>
      <w:r>
        <w:rPr>
          <w:rFonts w:ascii="Times New Roman;Times;serif" w:hAnsi="Times New Roman;Times;serif"/>
          <w:sz w:val="20"/>
          <w:shd w:fill="FFFFFF" w:val="clear"/>
        </w:rPr>
        <w:t xml:space="preserve">n for the three months ended </w:t>
      </w:r>
      <w:r>
        <w:rPr>
          <w:rFonts w:ascii="Times New Roman;Times;serif" w:hAnsi="Times New Roman;Times;serif"/>
          <w:sz w:val="20"/>
        </w:rPr>
        <w:t>December 31, 2025</w:t>
      </w:r>
      <w:r>
        <w:rPr>
          <w:rFonts w:ascii="Times New Roman;Times;serif" w:hAnsi="Times New Roman;Times;serif"/>
          <w:sz w:val="20"/>
          <w:shd w:fill="FFFFFF" w:val="clear"/>
        </w:rPr>
        <w:t xml:space="preserve">, compared to $45.1 million for the three months ended </w:t>
      </w:r>
      <w:r>
        <w:rPr>
          <w:rFonts w:ascii="Times New Roman;Times;serif" w:hAnsi="Times New Roman;Times;serif"/>
          <w:sz w:val="20"/>
        </w:rPr>
        <w:t>December 31, 2024. Cost of revenues increased by 29% to $145.0 millio</w:t>
      </w:r>
      <w:r>
        <w:rPr>
          <w:rFonts w:ascii="Times New Roman;Times;serif" w:hAnsi="Times New Roman;Times;serif"/>
          <w:sz w:val="20"/>
          <w:shd w:fill="FFFFFF" w:val="clear"/>
        </w:rPr>
        <w:t xml:space="preserve">n for the </w:t>
      </w:r>
      <w:r>
        <w:rPr>
          <w:rFonts w:ascii="Times New Roman;Times;serif" w:hAnsi="Times New Roman;Times;serif"/>
          <w:sz w:val="20"/>
        </w:rPr>
        <w:t>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2025</w:t>
      </w:r>
      <w:r>
        <w:rPr>
          <w:rFonts w:ascii="Times New Roman;Times;serif" w:hAnsi="Times New Roman;Times;serif"/>
          <w:sz w:val="20"/>
          <w:shd w:fill="FFFFFF" w:val="clear"/>
        </w:rPr>
        <w:t xml:space="preserve">, compared to $112.0 million for the </w:t>
      </w:r>
      <w:r>
        <w:rPr>
          <w:rFonts w:ascii="Times New Roman;Times;serif" w:hAnsi="Times New Roman;Times;serif"/>
          <w:sz w:val="20"/>
        </w:rPr>
        <w:t>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2024. </w:t>
      </w:r>
      <w:r>
        <w:rPr>
          <w:rFonts w:ascii="Times New Roman;Times;serif" w:hAnsi="Times New Roman;Times;serif"/>
          <w:sz w:val="20"/>
          <w:shd w:fill="FFFFFF" w:val="clear"/>
        </w:rPr>
        <w:t>Gross margin was </w:t>
      </w:r>
      <w:r>
        <w:rPr>
          <w:rFonts w:ascii="Times New Roman;Times;serif" w:hAnsi="Times New Roman;Times;serif"/>
          <w:sz w:val="20"/>
        </w:rPr>
        <w:t>31%</w:t>
      </w:r>
      <w:r>
        <w:rPr>
          <w:rFonts w:ascii="Times New Roman;Times;serif" w:hAnsi="Times New Roman;Times;serif"/>
          <w:sz w:val="20"/>
          <w:shd w:fill="FFFFFF" w:val="clear"/>
        </w:rPr>
        <w:t> and 32%</w:t>
      </w:r>
      <w:r>
        <w:rPr>
          <w:rFonts w:ascii="Times New Roman;Times;serif" w:hAnsi="Times New Roman;Times;serif"/>
          <w:sz w:val="20"/>
        </w:rPr>
        <w:t> for the three and nine months ended December 31, 2025, respectively, </w:t>
      </w:r>
      <w:r>
        <w:rPr>
          <w:rFonts w:ascii="Times New Roman;Times;serif" w:hAnsi="Times New Roman;Times;serif"/>
          <w:sz w:val="20"/>
          <w:shd w:fill="FFFFFF" w:val="clear"/>
        </w:rPr>
        <w:t>compared to 27% and 28% for the </w:t>
      </w:r>
      <w:r>
        <w:rPr>
          <w:rFonts w:ascii="Times New Roman;Times;serif" w:hAnsi="Times New Roman;Times;serif"/>
          <w:sz w:val="20"/>
        </w:rPr>
        <w:t>three and 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2024, respectively. Cost of revenues includes total amortization expense of $0.1 million in the three and nine months ended December 31, 2025 as a result of Comtrafo acquired backlog intangible assets. In addition, a charge of $0.4 million related to a fair value adjustment for the step-up basis assigned to acquired inventory to properly reflect the fair value in purchase accounting was charged to cost of revenues in the three and nine months ended December 31, 2025, when the inventory was sold. The increase in gross margin in the three and nine months ended December 31, 2025 was due to higher revenues, a favorable product mix and favorable impacts across the business due to pricing increases across product lines. </w:t>
      </w:r>
    </w:p>
    <w:p>
      <w:pPr>
        <w:pStyle w:val="TextBody"/>
        <w:bidi w:val="0"/>
        <w:spacing w:before="0" w:after="0"/>
        <w:ind w:left="0" w:right="0" w:firstLine="72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Research and development ("R&amp;D") expenses increased 18% in the three months ended</w:t>
      </w:r>
      <w:r>
        <w:rPr>
          <w:rFonts w:ascii="Times New Roman" w:hAnsi="Times New Roman"/>
          <w:caps w:val="false"/>
          <w:smallCaps w:val="false"/>
          <w:sz w:val="20"/>
        </w:rPr>
        <w:t> December 31, 2025</w:t>
      </w:r>
      <w:r>
        <w:rPr>
          <w:rFonts w:ascii="Times New Roman" w:hAnsi="Times New Roman"/>
          <w:caps w:val="false"/>
          <w:smallCaps w:val="false"/>
          <w:sz w:val="20"/>
          <w:shd w:fill="FFFFFF" w:val="clear"/>
        </w:rPr>
        <w:t>, to $3.5 million from $3.0 million in the three months ended</w:t>
      </w:r>
      <w:r>
        <w:rPr>
          <w:rFonts w:ascii="Times New Roman" w:hAnsi="Times New Roman"/>
          <w:caps w:val="false"/>
          <w:smallCaps w:val="false"/>
          <w:sz w:val="20"/>
        </w:rPr>
        <w:t xml:space="preserve"> December 31, 2024. </w:t>
      </w:r>
      <w:r>
        <w:rPr>
          <w:rFonts w:ascii="Times New Roman" w:hAnsi="Times New Roman"/>
          <w:caps w:val="false"/>
          <w:smallCaps w:val="false"/>
          <w:sz w:val="20"/>
          <w:shd w:fill="FFFFFF" w:val="clear"/>
        </w:rPr>
        <w:t>R&amp;D expenses increased 46% in the </w:t>
      </w:r>
      <w:r>
        <w:rPr>
          <w:rFonts w:ascii="Times New Roman" w:hAnsi="Times New Roman"/>
          <w:caps w:val="false"/>
          <w:smallCaps w:val="false"/>
          <w:sz w:val="20"/>
        </w:rPr>
        <w:t>nine</w:t>
      </w:r>
      <w:r>
        <w:rPr>
          <w:rFonts w:ascii="Times New Roman" w:hAnsi="Times New Roman"/>
          <w:caps w:val="false"/>
          <w:smallCaps w:val="false"/>
          <w:sz w:val="20"/>
          <w:shd w:fill="FFFFFF" w:val="clear"/>
        </w:rPr>
        <w:t xml:space="preserve"> months ended</w:t>
      </w:r>
      <w:r>
        <w:rPr>
          <w:rFonts w:ascii="Times New Roman" w:hAnsi="Times New Roman"/>
          <w:caps w:val="false"/>
          <w:smallCaps w:val="false"/>
          <w:sz w:val="20"/>
        </w:rPr>
        <w:t> December 31, 2025</w:t>
      </w:r>
      <w:r>
        <w:rPr>
          <w:rFonts w:ascii="Times New Roman" w:hAnsi="Times New Roman"/>
          <w:caps w:val="false"/>
          <w:smallCaps w:val="false"/>
          <w:sz w:val="20"/>
          <w:shd w:fill="FFFFFF" w:val="clear"/>
        </w:rPr>
        <w:t xml:space="preserve">, to $11.6 million from $7.9 million in the </w:t>
      </w:r>
      <w:r>
        <w:rPr>
          <w:rFonts w:ascii="Times New Roman" w:hAnsi="Times New Roman"/>
          <w:caps w:val="false"/>
          <w:smallCaps w:val="false"/>
          <w:sz w:val="20"/>
        </w:rPr>
        <w:t>nine</w:t>
      </w:r>
      <w:r>
        <w:rPr>
          <w:rFonts w:ascii="Times New Roman" w:hAnsi="Times New Roman"/>
          <w:caps w:val="false"/>
          <w:smallCaps w:val="false"/>
          <w:sz w:val="20"/>
          <w:shd w:fill="FFFFFF" w:val="clear"/>
        </w:rPr>
        <w:t> months ended</w:t>
      </w:r>
      <w:r>
        <w:rPr>
          <w:rFonts w:ascii="Times New Roman" w:hAnsi="Times New Roman"/>
          <w:caps w:val="false"/>
          <w:smallCaps w:val="false"/>
          <w:sz w:val="20"/>
        </w:rPr>
        <w:t xml:space="preserve"> December 31, 2024. </w:t>
      </w:r>
      <w:r>
        <w:rPr>
          <w:rFonts w:ascii="Times New Roman" w:hAnsi="Times New Roman"/>
          <w:caps w:val="false"/>
          <w:smallCaps w:val="false"/>
          <w:sz w:val="20"/>
          <w:shd w:fill="FFFFFF" w:val="clear"/>
        </w:rPr>
        <w:t xml:space="preserve">The increase </w:t>
      </w:r>
      <w:r>
        <w:rPr>
          <w:rFonts w:ascii="Times New Roman" w:hAnsi="Times New Roman"/>
          <w:caps w:val="false"/>
          <w:smallCaps w:val="false"/>
          <w:sz w:val="20"/>
        </w:rPr>
        <w:t>in the </w:t>
      </w:r>
      <w:r>
        <w:rPr>
          <w:rFonts w:ascii="Times New Roman" w:hAnsi="Times New Roman"/>
          <w:caps w:val="false"/>
          <w:smallCaps w:val="false"/>
          <w:sz w:val="20"/>
          <w:shd w:fill="FFFFFF" w:val="clear"/>
        </w:rPr>
        <w:t>three and nine</w:t>
      </w:r>
      <w:r>
        <w:rPr>
          <w:rFonts w:ascii="Times New Roman" w:hAnsi="Times New Roman"/>
          <w:caps w:val="false"/>
          <w:smallCaps w:val="false"/>
          <w:sz w:val="20"/>
        </w:rPr>
        <w:t> months ended December 31, 2025</w:t>
      </w:r>
      <w:r>
        <w:rPr>
          <w:rFonts w:ascii="Times New Roman" w:hAnsi="Times New Roman"/>
          <w:caps w:val="false"/>
          <w:smallCaps w:val="false"/>
          <w:sz w:val="20"/>
          <w:shd w:fill="FFFFFF" w:val="clear"/>
        </w:rPr>
        <w:t> was driven </w:t>
      </w:r>
      <w:r>
        <w:rPr>
          <w:rFonts w:ascii="Times New Roman" w:hAnsi="Times New Roman"/>
          <w:caps w:val="false"/>
          <w:smallCaps w:val="false"/>
          <w:sz w:val="20"/>
        </w:rPr>
        <w:t>primarily by higher overall compensation expense and additional stock-based compensation expense.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Selling, general, and administrative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Selling, general and administrative ("SG&amp;A") expenses increased </w:t>
      </w:r>
      <w:r>
        <w:rPr>
          <w:rFonts w:ascii="Times New Roman;Times;serif" w:hAnsi="Times New Roman;Times;serif"/>
          <w:sz w:val="20"/>
        </w:rPr>
        <w:t>33%</w:t>
      </w:r>
      <w:r>
        <w:rPr>
          <w:rFonts w:ascii="Times New Roman;Times;serif" w:hAnsi="Times New Roman;Times;serif"/>
          <w:sz w:val="20"/>
          <w:shd w:fill="FFFFFF" w:val="clear"/>
        </w:rPr>
        <w:t xml:space="preserve"> in the three months ended </w:t>
      </w:r>
      <w:r>
        <w:rPr>
          <w:rFonts w:ascii="Times New Roman;Times;serif" w:hAnsi="Times New Roman;Times;serif"/>
          <w:sz w:val="20"/>
        </w:rPr>
        <w:t>December 31, 2025, </w:t>
      </w:r>
      <w:r>
        <w:rPr>
          <w:rFonts w:ascii="Times New Roman;Times;serif" w:hAnsi="Times New Roman;Times;serif"/>
          <w:sz w:val="20"/>
          <w:shd w:fill="FFFFFF" w:val="clear"/>
        </w:rPr>
        <w:t>to $</w:t>
      </w:r>
      <w:r>
        <w:rPr>
          <w:rFonts w:ascii="Times New Roman;Times;serif" w:hAnsi="Times New Roman;Times;serif"/>
          <w:sz w:val="20"/>
        </w:rPr>
        <w:t>15.4</w:t>
      </w:r>
      <w:r>
        <w:rPr>
          <w:rFonts w:ascii="Times New Roman;Times;serif" w:hAnsi="Times New Roman;Times;serif"/>
          <w:sz w:val="20"/>
          <w:shd w:fill="FFFFFF" w:val="clear"/>
        </w:rPr>
        <w:t xml:space="preserve"> million from $11.6 million in the three ended </w:t>
      </w:r>
      <w:r>
        <w:rPr>
          <w:rFonts w:ascii="Times New Roman;Times;serif" w:hAnsi="Times New Roman;Times;serif"/>
          <w:sz w:val="20"/>
        </w:rPr>
        <w:t>December 31, 2024. </w:t>
      </w:r>
      <w:r>
        <w:rPr>
          <w:rFonts w:ascii="Times New Roman;Times;serif" w:hAnsi="Times New Roman;Times;serif"/>
          <w:sz w:val="20"/>
          <w:shd w:fill="FFFFFF" w:val="clear"/>
        </w:rPr>
        <w:t>SG&amp;A expenses increased 39% in the </w:t>
      </w:r>
      <w:r>
        <w:rPr>
          <w:rFonts w:ascii="Times New Roman;Times;serif" w:hAnsi="Times New Roman;Times;serif"/>
          <w:sz w:val="20"/>
        </w:rPr>
        <w:t>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2025, </w:t>
      </w:r>
      <w:r>
        <w:rPr>
          <w:rFonts w:ascii="Times New Roman;Times;serif" w:hAnsi="Times New Roman;Times;serif"/>
          <w:sz w:val="20"/>
          <w:shd w:fill="FFFFFF" w:val="clear"/>
        </w:rPr>
        <w:t>to $43.1 million from $31.0 million in the </w:t>
      </w:r>
      <w:r>
        <w:rPr>
          <w:rFonts w:ascii="Times New Roman;Times;serif" w:hAnsi="Times New Roman;Times;serif"/>
          <w:sz w:val="20"/>
        </w:rPr>
        <w:t>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2024. The increase in SG&amp;A expense in the </w:t>
      </w:r>
      <w:r>
        <w:rPr>
          <w:rFonts w:ascii="Times New Roman;Times;serif" w:hAnsi="Times New Roman;Times;serif"/>
          <w:sz w:val="20"/>
          <w:shd w:fill="FFFFFF" w:val="clear"/>
        </w:rPr>
        <w:t>three and nine</w:t>
      </w:r>
      <w:r>
        <w:rPr>
          <w:rFonts w:ascii="Times New Roman;Times;serif" w:hAnsi="Times New Roman;Times;serif"/>
          <w:sz w:val="20"/>
        </w:rPr>
        <w:t xml:space="preserve"> months ended December 31, 2025 was driven primarily by higher overall compensation expense, additional stock-based compensation expense, and acquisition costs related to the acquisition of Comtrafo.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Amortization of acquisition-related intangibles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recorded amortization expense related to our core technology and know-how and customer relationships of $</w:t>
      </w:r>
      <w:r>
        <w:rPr>
          <w:rFonts w:ascii="Times New Roman;Times;serif" w:hAnsi="Times New Roman;Times;serif"/>
          <w:sz w:val="20"/>
        </w:rPr>
        <w:t>0.5</w:t>
      </w:r>
      <w:r>
        <w:rPr>
          <w:rFonts w:ascii="Times New Roman;Times;serif" w:hAnsi="Times New Roman;Times;serif"/>
          <w:sz w:val="20"/>
          <w:shd w:fill="FFFFFF" w:val="clear"/>
        </w:rPr>
        <w:t xml:space="preserve"> million in the three months ended </w:t>
      </w:r>
      <w:r>
        <w:rPr>
          <w:rFonts w:ascii="Times New Roman;Times;serif" w:hAnsi="Times New Roman;Times;serif"/>
          <w:sz w:val="20"/>
        </w:rPr>
        <w:t>December 31, 2025,</w:t>
      </w:r>
      <w:r>
        <w:rPr>
          <w:rFonts w:ascii="Times New Roman;Times;serif" w:hAnsi="Times New Roman;Times;serif"/>
          <w:sz w:val="20"/>
          <w:shd w:fill="FFFFFF" w:val="clear"/>
        </w:rPr>
        <w:t xml:space="preserve"> and $0.4 million in the three months ended </w:t>
      </w:r>
      <w:r>
        <w:rPr>
          <w:rFonts w:ascii="Times New Roman;Times;serif" w:hAnsi="Times New Roman;Times;serif"/>
          <w:sz w:val="20"/>
        </w:rPr>
        <w:t>December 31, 2024.</w:t>
      </w:r>
      <w:r>
        <w:rPr>
          <w:rFonts w:ascii="Times New Roman;Times;serif" w:hAnsi="Times New Roman;Times;serif"/>
          <w:sz w:val="20"/>
          <w:shd w:fill="FFFFFF" w:val="clear"/>
        </w:rPr>
        <w:t xml:space="preserve"> We recorded amortization expense related to our core technology and know-how and customer relationships of $1.2 million in the </w:t>
      </w:r>
      <w:r>
        <w:rPr>
          <w:rFonts w:ascii="Times New Roman;Times;serif" w:hAnsi="Times New Roman;Times;serif"/>
          <w:sz w:val="20"/>
        </w:rPr>
        <w:t>nine</w:t>
      </w:r>
      <w:r>
        <w:rPr>
          <w:rFonts w:ascii="Times New Roman;Times;serif" w:hAnsi="Times New Roman;Times;serif"/>
          <w:sz w:val="20"/>
          <w:shd w:fill="FFFFFF" w:val="clear"/>
        </w:rPr>
        <w:t> months ended </w:t>
      </w:r>
      <w:r>
        <w:rPr>
          <w:rFonts w:ascii="Times New Roman;Times;serif" w:hAnsi="Times New Roman;Times;serif"/>
          <w:sz w:val="20"/>
        </w:rPr>
        <w:t>December 31, 2025,</w:t>
      </w:r>
      <w:r>
        <w:rPr>
          <w:rFonts w:ascii="Times New Roman;Times;serif" w:hAnsi="Times New Roman;Times;serif"/>
          <w:sz w:val="20"/>
          <w:shd w:fill="FFFFFF" w:val="clear"/>
        </w:rPr>
        <w:t> and $1.3 million in the </w:t>
      </w:r>
      <w:r>
        <w:rPr>
          <w:rFonts w:ascii="Times New Roman;Times;serif" w:hAnsi="Times New Roman;Times;serif"/>
          <w:sz w:val="20"/>
        </w:rPr>
        <w:t>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2024. The increase in amortization expense in the three months ended December 31, 2025, was a result of additional amortization related to the Comtrafo acquisition, as well as ongoing activity from NEPSI and Neeltran which are using the economic consumption method as the basis to amortize the acquired customer relationships intangible assets. The decrease in amortization expense in the nine months ended December 31, 2025, was a result of additional amortization expense related to the Comtrafo acquisition using the economic consumption method as the basis to amortize the acquired customer relationships intangible assets offset by similar ongoing activity from NEPSI and Neeltran, Inc.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Change in fair value of contingent consideration</w:t>
      </w:r>
    </w:p>
    <w:p>
      <w:pPr>
        <w:pStyle w:val="TextBody"/>
        <w:bidi w:val="0"/>
        <w:spacing w:before="0" w:after="0"/>
        <w:ind w:left="144" w:right="144" w:firstLine="555"/>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change in fair value of our contingent consideration for the earnout payment on the acquisition of NEPSI resulted in a loss of $3.4 million resulting from an increase in fair value in the nine months ended December 31, 2024. During the three and nine months ended December 31, 2024, we issued 300,000 shares of common stock of the Company to the selling stockholders following certification of the achievement of specified earnout revenue objectives. There was no activity in </w:t>
      </w:r>
      <w:r>
        <w:rPr>
          <w:rFonts w:ascii="Times New Roman" w:hAnsi="Times New Roman"/>
          <w:caps w:val="false"/>
          <w:smallCaps w:val="false"/>
          <w:sz w:val="20"/>
          <w:shd w:fill="FFFFFF" w:val="clear"/>
        </w:rPr>
        <w:t>the three and nine months ended </w:t>
      </w:r>
      <w:r>
        <w:rPr>
          <w:rFonts w:ascii="Times New Roman" w:hAnsi="Times New Roman"/>
          <w:caps w:val="false"/>
          <w:smallCaps w:val="false"/>
          <w:sz w:val="20"/>
        </w:rPr>
        <w:t>December 31, 2025 as the contingent consideration for NEPSI and NWL was settled during the prior fiscal year. The change in fair value of the Comtrafo contingent consideration was deemed immaterial to the financial statements from the Comtrafo Acquisition Date.  </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income (loss)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operating income (loss) is summarized as follows (in thousands):</w:t>
      </w:r>
    </w:p>
    <w:p>
      <w:pPr>
        <w:pStyle w:val="TextBody"/>
        <w:bidi w:val="0"/>
        <w:spacing w:before="0" w:after="0"/>
        <w:ind w:left="0" w:right="0" w:firstLine="720"/>
        <w:jc w:val="both"/>
        <w:rPr/>
      </w:pPr>
      <w:r>
        <w:rPr/>
        <w:t> </w:t>
      </w:r>
    </w:p>
    <w:tbl>
      <w:tblPr>
        <w:tblW w:w="8714" w:type="dxa"/>
        <w:jc w:val="left"/>
        <w:tblInd w:w="0" w:type="dxa"/>
        <w:tblLayout w:type="fixed"/>
        <w:tblCellMar>
          <w:top w:w="0" w:type="dxa"/>
          <w:left w:w="0" w:type="dxa"/>
          <w:bottom w:w="0" w:type="dxa"/>
          <w:right w:w="0" w:type="dxa"/>
        </w:tblCellMar>
      </w:tblPr>
      <w:tblGrid>
        <w:gridCol w:w="2600"/>
        <w:gridCol w:w="60"/>
        <w:gridCol w:w="278"/>
        <w:gridCol w:w="1082"/>
        <w:gridCol w:w="133"/>
        <w:gridCol w:w="133"/>
        <w:gridCol w:w="278"/>
        <w:gridCol w:w="1082"/>
        <w:gridCol w:w="60"/>
        <w:gridCol w:w="60"/>
        <w:gridCol w:w="238"/>
        <w:gridCol w:w="1125"/>
        <w:gridCol w:w="114"/>
        <w:gridCol w:w="114"/>
        <w:gridCol w:w="238"/>
        <w:gridCol w:w="1039"/>
        <w:gridCol w:w="80"/>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December 31,</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3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12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Grid</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7,464</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Wind</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1,328</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4,503</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2,387</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Unallocated corporate expenses</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3,359</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11,967</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w:t>
      </w:r>
      <w:r>
        <w:rPr>
          <w:rFonts w:ascii="Times New Roman;Times;serif" w:hAnsi="Times New Roman;Times;serif"/>
          <w:sz w:val="20"/>
          <w:shd w:fill="FFFFFF" w:val="clear"/>
        </w:rPr>
        <w:t>r Grid business segment generated operating income of $</w:t>
      </w:r>
      <w:r>
        <w:rPr>
          <w:rFonts w:ascii="Times New Roman;Times;serif" w:hAnsi="Times New Roman;Times;serif"/>
          <w:sz w:val="20"/>
        </w:rPr>
        <w:t>2.0</w:t>
      </w:r>
      <w:r>
        <w:rPr>
          <w:rFonts w:ascii="Times New Roman;Times;serif" w:hAnsi="Times New Roman;Times;serif"/>
          <w:sz w:val="20"/>
          <w:shd w:fill="FFFFFF" w:val="clear"/>
        </w:rPr>
        <w:t xml:space="preserve"> million and $7.5 million in the </w:t>
      </w:r>
      <w:r>
        <w:rPr>
          <w:rFonts w:ascii="Times New Roman;Times;serif" w:hAnsi="Times New Roman;Times;serif"/>
          <w:sz w:val="20"/>
        </w:rPr>
        <w:t>three and 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2025</w:t>
      </w:r>
      <w:r>
        <w:rPr>
          <w:rFonts w:ascii="Times New Roman;Times;serif" w:hAnsi="Times New Roman;Times;serif"/>
          <w:sz w:val="20"/>
          <w:shd w:fill="FFFFFF" w:val="clear"/>
        </w:rPr>
        <w:t xml:space="preserve">, respectively, compared to an operating income of $0.2 million and $1.6 million in the </w:t>
      </w:r>
      <w:r>
        <w:rPr>
          <w:rFonts w:ascii="Times New Roman;Times;serif" w:hAnsi="Times New Roman;Times;serif"/>
          <w:sz w:val="20"/>
        </w:rPr>
        <w:t>three and 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2024</w:t>
      </w:r>
      <w:r>
        <w:rPr>
          <w:rFonts w:ascii="Times New Roman;Times;serif" w:hAnsi="Times New Roman;Times;serif"/>
          <w:sz w:val="20"/>
          <w:shd w:fill="FFFFFF" w:val="clear"/>
        </w:rPr>
        <w:t xml:space="preserve">, respectively. The increase in the Grid </w:t>
      </w:r>
      <w:r>
        <w:rPr>
          <w:rFonts w:ascii="Times New Roman;Times;serif" w:hAnsi="Times New Roman;Times;serif"/>
          <w:sz w:val="20"/>
        </w:rPr>
        <w:t>business segment</w:t>
      </w:r>
      <w:r>
        <w:rPr>
          <w:rFonts w:ascii="Times New Roman;Times;serif" w:hAnsi="Times New Roman;Times;serif"/>
          <w:sz w:val="20"/>
          <w:shd w:fill="FFFFFF" w:val="clear"/>
        </w:rPr>
        <w:t xml:space="preserve"> operating income in the three and nine months ended December 31, 2025 was due to higher revenues and gross margins.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Our Wind business segment generated operating income of $</w:t>
      </w:r>
      <w:r>
        <w:rPr>
          <w:rFonts w:ascii="Times New Roman;Times;serif" w:hAnsi="Times New Roman;Times;serif"/>
          <w:sz w:val="20"/>
        </w:rPr>
        <w:t>1.3</w:t>
      </w:r>
      <w:r>
        <w:rPr>
          <w:rFonts w:ascii="Times New Roman;Times;serif" w:hAnsi="Times New Roman;Times;serif"/>
          <w:sz w:val="20"/>
          <w:shd w:fill="FFFFFF" w:val="clear"/>
        </w:rPr>
        <w:t xml:space="preserve"> million and $4.5 million in the </w:t>
      </w:r>
      <w:r>
        <w:rPr>
          <w:rFonts w:ascii="Times New Roman;Times;serif" w:hAnsi="Times New Roman;Times;serif"/>
          <w:sz w:val="20"/>
        </w:rPr>
        <w:t>three and 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2025</w:t>
      </w:r>
      <w:r>
        <w:rPr>
          <w:rFonts w:ascii="Times New Roman;Times;serif" w:hAnsi="Times New Roman;Times;serif"/>
          <w:sz w:val="20"/>
          <w:shd w:fill="FFFFFF" w:val="clear"/>
        </w:rPr>
        <w:t xml:space="preserve">, respectively, compared to operating income of $1.1 million and $2.4 million in the </w:t>
      </w:r>
      <w:r>
        <w:rPr>
          <w:rFonts w:ascii="Times New Roman;Times;serif" w:hAnsi="Times New Roman;Times;serif"/>
          <w:sz w:val="20"/>
        </w:rPr>
        <w:t>three and 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2024</w:t>
      </w:r>
      <w:r>
        <w:rPr>
          <w:rFonts w:ascii="Times New Roman;Times;serif" w:hAnsi="Times New Roman;Times;serif"/>
          <w:sz w:val="20"/>
          <w:shd w:fill="FFFFFF" w:val="clear"/>
        </w:rPr>
        <w:t xml:space="preserve">, respectively. The increase in the Wind </w:t>
      </w:r>
      <w:r>
        <w:rPr>
          <w:rFonts w:ascii="Times New Roman;Times;serif" w:hAnsi="Times New Roman;Times;serif"/>
          <w:sz w:val="20"/>
        </w:rPr>
        <w:t>business segment</w:t>
      </w:r>
      <w:r>
        <w:rPr>
          <w:rFonts w:ascii="Times New Roman;Times;serif" w:hAnsi="Times New Roman;Times;serif"/>
          <w:sz w:val="20"/>
          <w:shd w:fill="FFFFFF" w:val="clear"/>
        </w:rPr>
        <w:t xml:space="preserve"> operating income in the three and nine months ended December 31, 2025 was due to higher revenues and gross margins from increased sales of ECS units.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Unallocated corporate expenses included a </w:t>
      </w:r>
      <w:r>
        <w:rPr>
          <w:rFonts w:ascii="Times New Roman;Times;serif" w:hAnsi="Times New Roman;Times;serif"/>
          <w:sz w:val="20"/>
        </w:rPr>
        <w:t>net loss on contingent consideration of $6.7 million in the nine months ended December 31, 2024.</w:t>
      </w:r>
    </w:p>
    <w:p>
      <w:pPr>
        <w:pStyle w:val="TextBody"/>
        <w:bidi w:val="0"/>
        <w:spacing w:before="0" w:after="0"/>
        <w:ind w:left="0" w:right="0" w:firstLine="720"/>
        <w:jc w:val="both"/>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b/>
          <w:i/>
          <w:sz w:val="20"/>
        </w:rPr>
        <w:t>Interest income, net</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Interest income, net, was $2.0 million and $5.2 million in the three and nine months ended December 31, 2025, respectively, compared to $0.8 million and $2.9 million in the three and nine months ended December 31, 2024, respectively. The increase in interest income, net, in the three and nine months ended December 31, 2025 was due to </w:t>
      </w:r>
      <w:r>
        <w:rPr>
          <w:rFonts w:ascii="Times New Roman;Times;serif" w:hAnsi="Times New Roman;Times;serif"/>
          <w:sz w:val="20"/>
        </w:rPr>
        <w:t>higher cash balances primarily generated from the public offering completed in June 2025</w:t>
      </w:r>
      <w:r>
        <w:rPr>
          <w:rFonts w:ascii="Times New Roman;Times;serif" w:hAnsi="Times New Roman;Times;serif"/>
          <w:sz w:val="20"/>
          <w:shd w:fill="FFFFFF" w:val="clea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Other income (expense), net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Other expense, net, was $0.1 million and both in the </w:t>
      </w:r>
      <w:r>
        <w:rPr>
          <w:rFonts w:ascii="Times New Roman;Times;serif" w:hAnsi="Times New Roman;Times;serif"/>
          <w:sz w:val="20"/>
        </w:rPr>
        <w:t>three and 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2025</w:t>
      </w:r>
      <w:r>
        <w:rPr>
          <w:rFonts w:ascii="Times New Roman;Times;serif" w:hAnsi="Times New Roman;Times;serif"/>
          <w:sz w:val="20"/>
          <w:shd w:fill="FFFFFF" w:val="clear"/>
        </w:rPr>
        <w:t>, compared to other income, net of $0.3 million and other expense, net of $0.2 million in the three and nine months ended December 31, 2024</w:t>
      </w:r>
      <w:r>
        <w:rPr>
          <w:rFonts w:ascii="Times New Roman;Times;serif" w:hAnsi="Times New Roman;Times;serif"/>
          <w:sz w:val="20"/>
        </w:rPr>
        <w:t>, respectively. The increase in other expense, net, during the three months ended December 31, 2025</w:t>
      </w:r>
      <w:r>
        <w:rPr>
          <w:rFonts w:ascii="Times New Roman;Times;serif" w:hAnsi="Times New Roman;Times;serif"/>
          <w:sz w:val="20"/>
          <w:shd w:fill="FFFFFF" w:val="clear"/>
        </w:rPr>
        <w:t>, compared to the three months ended December 31, 2024 was driven by unfavorable fluctuations in foreign currencies. The decrease in other expense, net, during the nine months ended December 31, 2025,  compared to the nine months ended December 31, 2024 was driven by favorable fluctuations in foreign currencies.</w:t>
      </w:r>
    </w:p>
    <w:p>
      <w:pPr>
        <w:pStyle w:val="TextBody"/>
        <w:bidi w:val="0"/>
        <w:spacing w:before="0" w:after="0"/>
        <w:ind w:left="0" w:right="0" w:firstLine="720"/>
        <w:jc w:val="both"/>
        <w:rPr/>
      </w:pPr>
      <w:r>
        <w:rPr/>
        <w:t> </w:t>
      </w:r>
    </w:p>
    <w:p>
      <w:pPr>
        <w:pStyle w:val="TextBody"/>
        <w:bidi w:val="0"/>
        <w:spacing w:before="0" w:after="0"/>
        <w:ind w:left="0" w:right="0" w:hanging="0"/>
        <w:jc w:val="both"/>
        <w:rPr>
          <w:shd w:fill="FFFFFF" w:val="clear"/>
        </w:rPr>
      </w:pPr>
      <w:r>
        <w:rPr>
          <w:shd w:fill="FFFFFF" w:val="clear"/>
        </w:rPr>
        <w:t> </w:t>
      </w:r>
      <w:r>
        <w:rPr>
          <w:rFonts w:ascii="Times New Roman;Times;serif" w:hAnsi="Times New Roman;Times;serif"/>
          <w:b/>
          <w:i/>
          <w:sz w:val="20"/>
          <w:shd w:fill="FFFFFF" w:val="clear"/>
        </w:rPr>
        <w:t>Income Taxes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shd w:fill="FFFFFF" w:val="clear"/>
        </w:rPr>
        <w:t>Income tax benefit was $112.3 million and $112.1 million in the three and nine months ended December 31, 2025, respectively, compared to income tax benefit of $0.1 million and $4.9 million in the three and nine months ended December 31, 2024</w:t>
      </w:r>
      <w:r>
        <w:rPr>
          <w:rFonts w:ascii="Times New Roman" w:hAnsi="Times New Roman"/>
          <w:caps w:val="false"/>
          <w:smallCaps w:val="false"/>
          <w:sz w:val="20"/>
        </w:rPr>
        <w:t>, respectively. The increase in our income tax benefit was primarily due to a $113.1 million non-cash tax benefit from the release of the majority of our valuation allowance against deferred tax assets.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Net income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Net income was $</w:t>
      </w:r>
      <w:r>
        <w:rPr>
          <w:rFonts w:ascii="Times New Roman;Times;serif" w:hAnsi="Times New Roman;Times;serif"/>
          <w:sz w:val="20"/>
        </w:rPr>
        <w:t>117.8</w:t>
      </w:r>
      <w:r>
        <w:rPr>
          <w:rFonts w:ascii="Times New Roman;Times;serif" w:hAnsi="Times New Roman;Times;serif"/>
          <w:sz w:val="20"/>
          <w:shd w:fill="FFFFFF" w:val="clear"/>
        </w:rPr>
        <w:t xml:space="preserve"> million and $129.3 million in the </w:t>
      </w:r>
      <w:r>
        <w:rPr>
          <w:rFonts w:ascii="Times New Roman;Times;serif" w:hAnsi="Times New Roman;Times;serif"/>
          <w:sz w:val="20"/>
        </w:rPr>
        <w:t>three and 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2025, respectively,</w:t>
      </w:r>
      <w:r>
        <w:rPr>
          <w:rFonts w:ascii="Times New Roman;Times;serif" w:hAnsi="Times New Roman;Times;serif"/>
          <w:sz w:val="20"/>
          <w:shd w:fill="FFFFFF" w:val="clear"/>
        </w:rPr>
        <w:t> compared to $2.5 million and $4.8 million in the </w:t>
      </w:r>
      <w:r>
        <w:rPr>
          <w:rFonts w:ascii="Times New Roman;Times;serif" w:hAnsi="Times New Roman;Times;serif"/>
          <w:sz w:val="20"/>
        </w:rPr>
        <w:t>three and 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2024, respectively.</w:t>
      </w:r>
      <w:r>
        <w:rPr>
          <w:rFonts w:ascii="Times New Roman;Times;serif" w:hAnsi="Times New Roman;Times;serif"/>
          <w:sz w:val="20"/>
          <w:shd w:fill="FFFFFF" w:val="clear"/>
        </w:rPr>
        <w:t> The increase in net income for the three and nine months ended December 31, 2025 was driven primarily by the release of the valuation allowance and increased revenues and gross margins.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Non-GAAP Financial Measure - Non-GAAP Net Income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define non-GAAP net income as net income before stock-based compensation, acquisition costs, amortization of acquisition-related intangibles, change in fair value of contingent consideration, and other non-cash or unusual charges. We believe non-GAAP</w:t>
      </w:r>
      <w:r>
        <w:rPr>
          <w:rFonts w:ascii="Times New Roman;Times;serif" w:hAnsi="Times New Roman;Times;serif"/>
          <w:sz w:val="20"/>
        </w:rPr>
        <w:t xml:space="preserve"> net </w:t>
      </w:r>
      <w:r>
        <w:rPr>
          <w:rFonts w:ascii="Times New Roman;Times;serif" w:hAnsi="Times New Roman;Times;serif"/>
          <w:sz w:val="20"/>
          <w:shd w:fill="FFFFFF" w:val="clear"/>
        </w:rPr>
        <w:t>income </w:t>
      </w:r>
      <w:r>
        <w:rPr>
          <w:rFonts w:ascii="Times New Roman;Times;serif" w:hAnsi="Times New Roman;Times;serif"/>
          <w:sz w:val="20"/>
        </w:rPr>
        <w:t xml:space="preserve">assists management and investors in comparing our performance across reporting periods on a consistent basis by excluding these non-cash charges and other items that we do not believe are indicative of our core operating performance. In addition, we use non-GAAP net </w:t>
      </w:r>
      <w:r>
        <w:rPr>
          <w:rFonts w:ascii="Times New Roman;Times;serif" w:hAnsi="Times New Roman;Times;serif"/>
          <w:sz w:val="20"/>
          <w:shd w:fill="FFFFFF" w:val="clear"/>
        </w:rPr>
        <w:t>income</w:t>
      </w:r>
      <w:r>
        <w:rPr>
          <w:rFonts w:ascii="Times New Roman;Times;serif" w:hAnsi="Times New Roman;Times;serif"/>
          <w:sz w:val="20"/>
        </w:rPr>
        <w:t xml:space="preserve"> as a factor to evaluate the effectiveness of our business strategies. A reconciliation of GAAP to non-GAAP net </w:t>
      </w:r>
      <w:r>
        <w:rPr>
          <w:rFonts w:ascii="Times New Roman;Times;serif" w:hAnsi="Times New Roman;Times;serif"/>
          <w:sz w:val="20"/>
          <w:shd w:fill="FFFFFF" w:val="clear"/>
        </w:rPr>
        <w:t>income</w:t>
      </w:r>
      <w:r>
        <w:rPr>
          <w:rFonts w:ascii="Times New Roman;Times;serif" w:hAnsi="Times New Roman;Times;serif"/>
          <w:sz w:val="20"/>
        </w:rPr>
        <w:t> is set forth in the table below (in thousands, except per share data):</w:t>
      </w:r>
    </w:p>
    <w:p>
      <w:pPr>
        <w:pStyle w:val="TextBody"/>
        <w:bidi w:val="0"/>
        <w:spacing w:before="0" w:after="0"/>
        <w:ind w:left="0" w:right="0" w:firstLine="720"/>
        <w:jc w:val="both"/>
        <w:rPr/>
      </w:pPr>
      <w:r>
        <w:rPr/>
        <w:t> </w:t>
      </w:r>
    </w:p>
    <w:tbl>
      <w:tblPr>
        <w:tblW w:w="10059" w:type="dxa"/>
        <w:jc w:val="left"/>
        <w:tblInd w:w="0" w:type="dxa"/>
        <w:tblLayout w:type="fixed"/>
        <w:tblCellMar>
          <w:top w:w="0" w:type="dxa"/>
          <w:left w:w="0" w:type="dxa"/>
          <w:bottom w:w="0" w:type="dxa"/>
          <w:right w:w="0" w:type="dxa"/>
        </w:tblCellMar>
      </w:tblPr>
      <w:tblGrid>
        <w:gridCol w:w="3965"/>
        <w:gridCol w:w="60"/>
        <w:gridCol w:w="225"/>
        <w:gridCol w:w="1255"/>
        <w:gridCol w:w="108"/>
        <w:gridCol w:w="108"/>
        <w:gridCol w:w="225"/>
        <w:gridCol w:w="1065"/>
        <w:gridCol w:w="60"/>
        <w:gridCol w:w="60"/>
        <w:gridCol w:w="216"/>
        <w:gridCol w:w="1205"/>
        <w:gridCol w:w="104"/>
        <w:gridCol w:w="104"/>
        <w:gridCol w:w="216"/>
        <w:gridCol w:w="1023"/>
        <w:gridCol w:w="60"/>
      </w:tblGrid>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December 31,</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2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12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117,806</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129,280</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4,828</w:t>
            </w:r>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3,822</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12,114</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4,933</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costs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1,286</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1,095</w:t>
            </w:r>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acquisition-related intangibles</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1,292</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6,682</w:t>
            </w:r>
          </w:p>
        </w:tc>
        <w:tc>
          <w:tcPr>
            <w:tcW w:w="60" w:type="dxa"/>
            <w:tcBorders/>
            <w:shd w:fill="CCEEFF" w:val="clear"/>
            <w:vAlign w:val="center"/>
          </w:tcPr>
          <w:p>
            <w:pPr>
              <w:pStyle w:val="TableContents"/>
              <w:bidi w:val="0"/>
              <w:spacing w:before="0" w:after="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123,532</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143,971</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19,265</w:t>
            </w:r>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255"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 per share - basic</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10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income per share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10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43,957</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37,661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42,036</w:t>
            </w:r>
          </w:p>
        </w:tc>
        <w:tc>
          <w:tcPr>
            <w:tcW w:w="104"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36,766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outstanding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44,939</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38,463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42,975</w:t>
            </w:r>
          </w:p>
        </w:tc>
        <w:tc>
          <w:tcPr>
            <w:tcW w:w="10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37,457</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We generated non-GAAP net income of $123.5 million and $144.0 million, or $</w:t>
      </w:r>
      <w:r>
        <w:rPr>
          <w:rFonts w:ascii="Times New Roman;Times;serif" w:hAnsi="Times New Roman;Times;serif"/>
          <w:sz w:val="20"/>
        </w:rPr>
        <w:t>2.81</w:t>
      </w:r>
      <w:r>
        <w:rPr>
          <w:rFonts w:ascii="Times New Roman;Times;serif" w:hAnsi="Times New Roman;Times;serif"/>
          <w:sz w:val="20"/>
          <w:shd w:fill="FFFFFF" w:val="clear"/>
        </w:rPr>
        <w:t> and $3.42 per share, for the </w:t>
      </w:r>
      <w:r>
        <w:rPr>
          <w:rFonts w:ascii="Times New Roman;Times;serif" w:hAnsi="Times New Roman;Times;serif"/>
          <w:sz w:val="20"/>
        </w:rPr>
        <w:t>three and 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2025</w:t>
      </w:r>
      <w:r>
        <w:rPr>
          <w:rFonts w:ascii="Times New Roman;Times;serif" w:hAnsi="Times New Roman;Times;serif"/>
          <w:sz w:val="20"/>
          <w:shd w:fill="FFFFFF" w:val="clear"/>
        </w:rPr>
        <w:t>, respectively, compared to a non-GAAP net income of $6.0 million and $19.3 million, or $0.16 and $0.52 per share, for the </w:t>
      </w:r>
      <w:r>
        <w:rPr>
          <w:rFonts w:ascii="Times New Roman;Times;serif" w:hAnsi="Times New Roman;Times;serif"/>
          <w:sz w:val="20"/>
        </w:rPr>
        <w:t>three and nine</w:t>
      </w:r>
      <w:r>
        <w:rPr>
          <w:rFonts w:ascii="Times New Roman;Times;serif" w:hAnsi="Times New Roman;Times;serif"/>
          <w:sz w:val="20"/>
          <w:shd w:fill="FFFFFF" w:val="clear"/>
        </w:rPr>
        <w:t xml:space="preserve"> months ended </w:t>
      </w:r>
      <w:r>
        <w:rPr>
          <w:rFonts w:ascii="Times New Roman;Times;serif" w:hAnsi="Times New Roman;Times;serif"/>
          <w:sz w:val="20"/>
        </w:rPr>
        <w:t>December 31, 2024</w:t>
      </w:r>
      <w:r>
        <w:rPr>
          <w:rFonts w:ascii="Times New Roman;Times;serif" w:hAnsi="Times New Roman;Times;serif"/>
          <w:sz w:val="20"/>
          <w:shd w:fill="FFFFFF" w:val="clear"/>
        </w:rPr>
        <w:t>, respectively. </w:t>
      </w:r>
      <w:r>
        <w:rPr>
          <w:rFonts w:ascii="Times New Roman;Times;serif" w:hAnsi="Times New Roman;Times;serif"/>
          <w:sz w:val="20"/>
        </w:rPr>
        <w:t>For the three and nine months ended December 31, 2025, the increase in non-GAAP net income was a result of the release of the valuation allowance and higher revenues and gross margins.</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primary sources of liquidity are internally generated cash provided by operating activities, our cash and cash equivalents on hand, along with access to capital markets, including through our currently effective Registration Statements on Form S-3. We believe that these sources of liquidity are sufficient to meet both our short-term and reasonably foreseeable long-term requirements and obligations. As of December 31, 2025, we had cash and cash equivalents of $141.1 million.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cash requirements depend on numerous factors, including the successful completion of our product development activities, our ability to commercialize our Resilient Electric Grid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may reduce our operating and capital spending to enhance liquidity.</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t> </w:t>
      </w:r>
      <w:r>
        <w:rPr>
          <w:rFonts w:ascii="Times New Roman;Times;serif" w:hAnsi="Times New Roman;Times;serif"/>
          <w:sz w:val="20"/>
        </w:rPr>
        <w:t>On June 10, 2025, we completed an offering of 4,125,000 shares of our common stock at a public offering price of $28.00 per share under our Registration Statement on Form S-3. We received net proceeds of approximately $108.2 million after deducting underwriting discounts and commissions and offering expenses. The offering included an option to purchase an additional 618,750 shares over the initial offering of 4,125,000 shares at the public offering price, less underwriting discounts and commission. This option was fully exercised on June 16, 2025 resulting in an additional $16.3 million in net proceeds, after deducting underwriting discounts and commissions and offering expenses payable by the Company, for total net proceeds of approximately $124.6 million. The offering closed on June 16, 2025.</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December 31, 2025, we had cash, cash equivalents and restricted cash of $147.1 million, compared to $85.4 million as of March 31, 2025, an increase of $61.7 million. As of December 31, 2025, we had $22.8 million in cash, cash equivalents, and restricted cash in foreign bank accounts. Our cash, cash equivalents, and restricted cash are summarized as follows (in thousands):</w:t>
      </w:r>
    </w:p>
    <w:p>
      <w:pPr>
        <w:pStyle w:val="TextBody"/>
        <w:bidi w:val="0"/>
        <w:spacing w:before="0" w:after="0"/>
        <w:ind w:left="0" w:right="0" w:firstLine="555"/>
        <w:jc w:val="both"/>
        <w:rPr/>
      </w:pPr>
      <w:r>
        <w:rPr/>
        <w:t> </w:t>
      </w:r>
    </w:p>
    <w:tbl>
      <w:tblPr>
        <w:tblW w:w="7123" w:type="dxa"/>
        <w:jc w:val="left"/>
        <w:tblInd w:w="0" w:type="dxa"/>
        <w:tblLayout w:type="fixed"/>
        <w:tblCellMar>
          <w:top w:w="0" w:type="dxa"/>
          <w:left w:w="0" w:type="dxa"/>
          <w:bottom w:w="0" w:type="dxa"/>
          <w:right w:w="0" w:type="dxa"/>
        </w:tblCellMar>
      </w:tblPr>
      <w:tblGrid>
        <w:gridCol w:w="3890"/>
        <w:gridCol w:w="60"/>
        <w:gridCol w:w="249"/>
        <w:gridCol w:w="1390"/>
        <w:gridCol w:w="60"/>
        <w:gridCol w:w="60"/>
        <w:gridCol w:w="236"/>
        <w:gridCol w:w="1118"/>
        <w:gridCol w:w="60"/>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79,494</w:t>
            </w:r>
          </w:p>
        </w:tc>
        <w:tc>
          <w:tcPr>
            <w:tcW w:w="6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4,274</w:t>
            </w:r>
          </w:p>
        </w:tc>
        <w:tc>
          <w:tcPr>
            <w:tcW w:w="6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83,768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nine months ended December 31, 2025, net cash provided by operating activities was $13.9 million, compared to $22.0 million for the nine months ended December 31, 2024. The decrease in cash flows provided by operating activities in the nine months ended December 31, 2025 was due primarily to changes in deferred revenue, offset by change in accounts payable and accrued expenses, accounts receivable, deferred income taxes, and stock-based compensation expense.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nine months ended December 31, 2025, net cash used in investing activities was $75.3 million, compared to $34.1 million for the nine months ended December 31, 2024. The increase in net cash used in investing activities was primarily due to cash paid for the Comtrafo acquisition in the current year.</w:t>
      </w:r>
    </w:p>
    <w:p>
      <w:pPr>
        <w:pStyle w:val="TextBody"/>
        <w:bidi w:val="0"/>
        <w:spacing w:before="0" w:after="0"/>
        <w:ind w:left="144" w:right="144"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nine months ended December 31, 2025, net cash provided by financing activities was $123.9 million compared to cash used in financing activities of $0.1 million for the nine months ended December 31, 2024. The increase in net cash provided by financing activities was due primarily to the equity raise in June 2025.</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As of December 31, 2025, we had $3.3 million of restricted cash included in long-term assets and $2.8 million of restricted cash included in current assets. At March 31, 2025, we had $4.3 million of restricted cash included in long-term assets and $1.6 million of restricted cash in current assets. These amounts included in restricted cash primarily represent collateral deposits to secure surety bonds and letters of credit for various customer contracts. These deposits are held in interest bearing accounts.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December 31, 2025, while others are considered future commitments. We have various contractual arrangements, under which we have committed to purchase certain minimum quantities of goods or services on an annual basis. For information regarding our other contractual obligations, refer to Note 3, "Revenue Recognition," Note 14, "Contingent Consideration," Note 16, "Leases" and Note 17, "Commitments and Contingencies" to our condensed consolidated financial statements included elsewhere in this Quarterly Report on Form 10-Q. Other than the contingent consideration owed to the former Comtrafo stockholders there have been no material changes to our contractual obligations from those disclosed in our Annual Report on Form 10-K for the fiscal year ended March 31, 2025.</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believe we have sufficient available liquidity to fund our operations and capital expenditures for at least the next twelve months and into the future. We raised $124.6 million, net of offering expenses, through an equity raise in June 2025, of which $88.3 million was used for the Comtrafo Acquisition. In addition, we may seek to raise additional capital, which could be in the form of loans, convertible debt or equity, to fund our operating requirements and capital expenditures. There can be no assurance that we will be able to raise additional capital on favorable terms or at all or execute on any other means of improving our liquidity as described above.  Additionally, the impact of global sources of instability, including the ongoing war between Russia and Ukraine, tariffs, trade restrictions and resulting trade conflicts, instability of financial institutions and political instability in the United States, on the global financial markets may reduce our ability to raise additional capital, if necessary, which could negatively impact our liquidity.</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Recent Accounting Pronouncements </w:t>
      </w:r>
    </w:p>
    <w:p>
      <w:pPr>
        <w:pStyle w:val="TextBody"/>
        <w:bidi w:val="0"/>
        <w:spacing w:before="0" w:after="0"/>
        <w:ind w:left="0" w:right="0" w:firstLine="540"/>
        <w:jc w:val="both"/>
        <w:rPr/>
      </w:pPr>
      <w:r>
        <w:rPr/>
        <w:t> </w:t>
      </w:r>
    </w:p>
    <w:p>
      <w:pPr>
        <w:pStyle w:val="TextBody"/>
        <w:bidi w:val="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was annual reporting periods beginning after December 15, 2024. As of </w:t>
      </w:r>
      <w:r>
        <w:rPr>
          <w:rFonts w:ascii="Times New Roman;Times;serif" w:hAnsi="Times New Roman;Times;serif"/>
          <w:sz w:val="20"/>
          <w:shd w:fill="FFFFFF" w:val="clear"/>
        </w:rPr>
        <w:t>December 31, 2025</w:t>
      </w:r>
      <w:r>
        <w:rPr>
          <w:rFonts w:ascii="Times New Roman;Times;serif" w:hAnsi="Times New Roman;Times;serif"/>
          <w:sz w:val="20"/>
        </w:rPr>
        <w:t xml:space="preserve">, we are evaluating the impact on our consolidated financial statements.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March 2024, the FASB issued ASU 2024-02, </w:t>
      </w:r>
      <w:r>
        <w:rPr>
          <w:rFonts w:ascii="Times New Roman;Times;serif" w:hAnsi="Times New Roman;Times;serif"/>
          <w:i/>
          <w:sz w:val="20"/>
        </w:rPr>
        <w:t>Codification Improvements</w:t>
      </w:r>
      <w:r>
        <w:rPr>
          <w:rFonts w:ascii="Times New Roman;Times;serif" w:hAnsi="Times New Roman;Times;serif"/>
          <w:sz w:val="20"/>
        </w:rPr>
        <w:t>—</w:t>
      </w:r>
      <w:r>
        <w:rPr>
          <w:rFonts w:ascii="Times New Roman;Times;serif" w:hAnsi="Times New Roman;Times;serif"/>
          <w:i/>
          <w:sz w:val="20"/>
        </w:rPr>
        <w:t>Amendments to Remove References to the Concepts Statements</w:t>
      </w:r>
      <w:r>
        <w:rPr>
          <w:rFonts w:ascii="Times New Roman;Times;serif" w:hAnsi="Times New Roman;Times;serif"/>
          <w:sz w:val="20"/>
        </w:rPr>
        <w:t xml:space="preserve">. The amendments in ASU 2024-02 contain amendments to the Codification that remove references to various FASB Concepts Statements. Following the release of ASU 2024-02 in March 2024, the effective date was annual reporting periods beginning after December 15, 2024. As of </w:t>
      </w:r>
      <w:r>
        <w:rPr>
          <w:rFonts w:ascii="Times New Roman;Times;serif" w:hAnsi="Times New Roman;Times;serif"/>
          <w:sz w:val="20"/>
          <w:shd w:fill="FFFFFF" w:val="clear"/>
        </w:rPr>
        <w:t>December 31, 2025</w:t>
      </w:r>
      <w:r>
        <w:rPr>
          <w:rFonts w:ascii="Times New Roman;Times;serif" w:hAnsi="Times New Roman;Times;serif"/>
          <w:sz w:val="20"/>
        </w:rPr>
        <w:t>, we are evaluating the impact on our consolidated financial statements.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Income—Expense Disaggregation Disclosures</w:t>
      </w:r>
      <w:r>
        <w:rPr>
          <w:rFonts w:ascii="Times New Roman;Times;serif" w:hAnsi="Times New Roman;Times;serif"/>
          <w:sz w:val="20"/>
        </w:rPr>
        <w:t xml:space="preserve">.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As of </w:t>
      </w:r>
      <w:r>
        <w:rPr>
          <w:rFonts w:ascii="Times New Roman;Times;serif" w:hAnsi="Times New Roman;Times;serif"/>
          <w:sz w:val="20"/>
          <w:shd w:fill="FFFFFF" w:val="clear"/>
        </w:rPr>
        <w:t>December 31, 2025</w:t>
      </w:r>
      <w:r>
        <w:rPr>
          <w:rFonts w:ascii="Times New Roman;Times;serif" w:hAnsi="Times New Roman;Times;serif"/>
          <w:sz w:val="20"/>
        </w:rPr>
        <w:t>, we are evaluating the impact on our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do not believe that, outside of those disclosed here, there are any other recently issued accounting pronouncements that will have a material impact on our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6" w:name="item3"/>
            <w:bookmarkEnd w:id="6"/>
            <w:r>
              <w:rPr>
                <w:rFonts w:ascii="Times New Roman;Times;serif" w:hAnsi="Times New Roman;Times;serif"/>
                <w:b/>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exposure to financial market risks, including adverse movements in foreign currency exchange rates and changes in interest rates. These exposures may change over time as our business practices evolve and could have a material adverse impact on our financial results.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exposure to market risk through financial instruments, such as short-term cash instruments with maturities of three months or less, is limited to interest rate risk and is not material. Our investments in marketable securities consist primarily of money market accounts and short-term certificates of deposit and are designed, in order of priority, to preserve principal, provide liquidity, and maximize income. Interest rates are variable and fluctuate with current market conditions. We do not believe that a 10% change in interest rates would have a material impact on our financial position or results of operations.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functional currency of each of our foreign subsidiaries is the U.S. dollar, except for AMSC Austria (Euro), AMSC Brazil and Comtrafo (Real), for which the local currencies are the functional currency. The assets and liabilities of AMSC Austria, AMSC Brazil and Comtrafo are translated into U.S. dollars at the exchange rate in effect at the balance sheet date and income and expense items are translated at average rates for the period. Cumulative translation adjustments are excluded from net income and shown as a separate component of stockholders’ equity.</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face exposure to movements in foreign currency exchange rates whenever we, or any of our subsidiaries, enter into transactions with third parties that are denominated in currencies other than our functional currency. Intercompany transactions between entities that use different functional currencies also expose us to foreign currency risk. Gross margins of products we manufacture in the U.S and sell in currencies other than the U.S. dollar are also affected by foreign currency exchange rate movements. In addition, a portion of our earnings is generated by our foreign subsidiaries, whose functional currencies are other than the U.S. dollar, and our revenues and earnings could be materially impacted by movements in foreign currency exchange rates upon the translation of the earnings of such subsidiaries into the U.S. dollar. If the functional currency for AMSC Austria, AMSC Brazil, or Comtrafo were to fluctuate by 10% the net effect would be immaterial to our consolidated financial statements.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Foreign currency gains (losses) are included in net income and were no gain or loss and a loss of $0.3 million for the three and nine months ended December 31, 2025, respectively, and a loss of $0.2 million and $0.7 million for the three and nine months ended December 31, 2024, respectively.</w:t>
      </w:r>
    </w:p>
    <w:p>
      <w:pPr>
        <w:pStyle w:val="TextBody"/>
        <w:bidi w:val="0"/>
        <w:spacing w:before="0" w:after="0"/>
        <w:ind w:left="0" w:right="0" w:firstLine="720"/>
        <w:jc w:val="both"/>
        <w:rPr/>
      </w:pPr>
      <w:r>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7" w:name="item4"/>
            <w:bookmarkEnd w:id="7"/>
            <w:r>
              <w:rPr>
                <w:rFonts w:ascii="Times New Roman;Times;serif" w:hAnsi="Times New Roman;Times;serif"/>
                <w:b/>
                <w:sz w:val="20"/>
              </w:rPr>
              <w:t>ITEM 4.</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evaluated the effectiveness of our disclosure controls and procedures as of </w:t>
      </w:r>
      <w:r>
        <w:rPr>
          <w:rFonts w:ascii="Times New Roman;Times;serif" w:hAnsi="Times New Roman;Times;serif"/>
          <w:sz w:val="20"/>
          <w:shd w:fill="FFFFFF" w:val="clear"/>
        </w:rPr>
        <w:t>December 31, 2025</w:t>
      </w:r>
      <w:r>
        <w:rPr>
          <w:rFonts w:ascii="Times New Roman;Times;serif" w:hAnsi="Times New Roman;Times;serif"/>
          <w:sz w:val="20"/>
        </w:rPr>
        <w:t xml:space="preserve">.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w:t>
      </w:r>
      <w:r>
        <w:rPr>
          <w:rFonts w:ascii="Times New Roman;Times;serif" w:hAnsi="Times New Roman;Times;serif"/>
          <w:sz w:val="20"/>
          <w:shd w:fill="FFFFFF" w:val="clear"/>
        </w:rPr>
        <w:t>December 31, 2025</w:t>
      </w:r>
      <w:r>
        <w:rPr>
          <w:rFonts w:ascii="Times New Roman;Times;serif" w:hAnsi="Times New Roman;Times;serif"/>
          <w:sz w:val="20"/>
        </w:rPr>
        <w:t>, our Chief Executive Officer and Chief Financial Officer concluded that, as of such date, our disclosure controls and procedures were effective at the reasonable assurance level.</w:t>
      </w:r>
    </w:p>
    <w:p>
      <w:pPr>
        <w:pStyle w:val="TextBody"/>
        <w:bidi w:val="0"/>
        <w:spacing w:before="0" w:after="0"/>
        <w:ind w:left="144" w:right="144" w:hanging="0"/>
        <w:jc w:val="both"/>
        <w:rPr/>
      </w:pPr>
      <w:r>
        <w:rPr/>
        <w:t> </w:t>
      </w:r>
    </w:p>
    <w:p>
      <w:pPr>
        <w:pStyle w:val="TextBody"/>
        <w:bidi w:val="0"/>
        <w:spacing w:before="0" w:after="0"/>
        <w:ind w:left="144" w:right="144" w:hanging="0"/>
        <w:jc w:val="both"/>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to our internal control over financial reporting (as defined in Rules 13a-15(f) and 15d-15(f) under the Exchange Act) during the quarter ended </w:t>
      </w:r>
      <w:r>
        <w:rPr>
          <w:rFonts w:ascii="Times New Roman;Times;serif" w:hAnsi="Times New Roman;Times;serif"/>
          <w:sz w:val="20"/>
          <w:shd w:fill="FFFFFF" w:val="clear"/>
        </w:rPr>
        <w:t>December 31, 2025</w:t>
      </w:r>
      <w:r>
        <w:rPr>
          <w:rFonts w:ascii="Times New Roman;Times;serif" w:hAnsi="Times New Roman;Times;serif"/>
          <w:sz w:val="20"/>
        </w:rPr>
        <w:t> that have materially affected, or are reasonably likely to materially affect, our internal control over financial reporting.</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8" w:name="partii"/>
      <w:bookmarkEnd w:id="8"/>
      <w:r>
        <w:rPr>
          <w:rFonts w:ascii="Times New Roman;Times;serif" w:hAnsi="Times New Roman;Times;serif"/>
          <w:b/>
          <w:sz w:val="20"/>
        </w:rPr>
        <w:t>PART II—OTHER INFORMATION</w:t>
      </w:r>
    </w:p>
    <w:p>
      <w:pPr>
        <w:pStyle w:val="TextBody"/>
        <w:bidi w:val="0"/>
        <w:spacing w:before="0" w:after="0"/>
        <w:ind w:left="0" w:right="0" w:hanging="0"/>
        <w:jc w:val="center"/>
        <w:rPr/>
      </w:pPr>
      <w:r>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itemone"/>
            <w:bookmarkEnd w:id="9"/>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firstLine="555"/>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55"/>
        <w:jc w:val="both"/>
        <w:rPr/>
      </w:pPr>
      <w:r>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0" w:name="item1a"/>
            <w:bookmarkEnd w:id="10"/>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risk factors described in Part I, Item 1A of our Annual Report on Form 10-K for the fiscal year ended March 31, 2025, filed with the SEC on May 21, 2025.</w:t>
      </w:r>
    </w:p>
    <w:p>
      <w:pPr>
        <w:pStyle w:val="TextBody"/>
        <w:bidi w:val="0"/>
        <w:spacing w:before="0" w:after="0"/>
        <w:ind w:left="0" w:right="0" w:firstLine="720"/>
        <w:jc w:val="both"/>
        <w:rPr/>
      </w:pPr>
      <w:r>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unregsales"/>
            <w:bookmarkEnd w:id="11"/>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stock repurchase activity during the three months ended </w:t>
      </w:r>
      <w:r>
        <w:rPr>
          <w:rFonts w:ascii="Times New Roman;Times;serif" w:hAnsi="Times New Roman;Times;serif"/>
          <w:sz w:val="20"/>
          <w:shd w:fill="FFFFFF" w:val="clear"/>
        </w:rPr>
        <w:t>December 31, 2025</w:t>
      </w:r>
      <w:r>
        <w:rPr>
          <w:rFonts w:ascii="Times New Roman;Times;serif" w:hAnsi="Times New Roman;Times;serif"/>
          <w:sz w:val="20"/>
        </w:rPr>
        <w:t xml:space="preserve"> was as follows:</w:t>
      </w:r>
    </w:p>
    <w:p>
      <w:pPr>
        <w:pStyle w:val="TextBody"/>
        <w:bidi w:val="0"/>
        <w:spacing w:before="0" w:after="0"/>
        <w:ind w:left="0" w:right="0" w:firstLine="720"/>
        <w:jc w:val="both"/>
        <w:rPr/>
      </w:pPr>
      <w:r>
        <w:rPr/>
        <w:t> </w:t>
      </w:r>
    </w:p>
    <w:tbl>
      <w:tblPr>
        <w:tblW w:w="9396" w:type="dxa"/>
        <w:jc w:val="left"/>
        <w:tblInd w:w="0" w:type="dxa"/>
        <w:tblLayout w:type="fixed"/>
        <w:tblCellMar>
          <w:top w:w="0" w:type="dxa"/>
          <w:left w:w="0" w:type="dxa"/>
          <w:bottom w:w="28" w:type="dxa"/>
          <w:right w:w="0" w:type="dxa"/>
        </w:tblCellMar>
      </w:tblPr>
      <w:tblGrid>
        <w:gridCol w:w="3275"/>
        <w:gridCol w:w="60"/>
        <w:gridCol w:w="227"/>
        <w:gridCol w:w="992"/>
        <w:gridCol w:w="60"/>
        <w:gridCol w:w="60"/>
        <w:gridCol w:w="168"/>
        <w:gridCol w:w="736"/>
        <w:gridCol w:w="60"/>
        <w:gridCol w:w="60"/>
        <w:gridCol w:w="294"/>
        <w:gridCol w:w="1285"/>
        <w:gridCol w:w="60"/>
        <w:gridCol w:w="60"/>
        <w:gridCol w:w="969"/>
        <w:gridCol w:w="970"/>
        <w:gridCol w:w="60"/>
      </w:tblGrid>
      <w:tr>
        <w:trPr/>
        <w:tc>
          <w:tcPr>
            <w:tcW w:w="32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Month</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br/>
              <w:t>of Shares</w:t>
              <w:br/>
              <w:t>Purchased(a)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br/>
              <w:t>Price Paid</w:t>
              <w:br/>
              <w:t>per Share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w:t>
              <w:br/>
              <w:t>Shares Purchased</w:t>
              <w:br/>
              <w:t>as Part of Publicly</w:t>
              <w:br/>
              <w:t>Announced</w:t>
              <w:br/>
              <w:t>Plans or</w:t>
              <w:br/>
              <w:t>Programs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Approximate</w:t>
              <w:br/>
              <w:t>Dollar Value of Shares</w:t>
              <w:br/>
              <w:t>that May Yet Be</w:t>
              <w:br/>
              <w:t>Purchased under the</w:t>
              <w:br/>
              <w:t>Plans or Programs</w:t>
              <w:br/>
              <w:t>(in millions)</w:t>
            </w:r>
          </w:p>
        </w:tc>
        <w:tc>
          <w:tcPr>
            <w:tcW w:w="60" w:type="dxa"/>
            <w:tcBorders/>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 2025 - October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shd w:fill="CCEEFF" w:val="clear"/>
            <w:tcMar>
              <w:bottom w:w="0" w:type="dxa"/>
            </w:tcMar>
            <w:vAlign w:val="center"/>
          </w:tcPr>
          <w:p>
            <w:pPr>
              <w:pStyle w:val="TableContents"/>
              <w:bidi w:val="0"/>
              <w:spacing w:before="0" w:after="283"/>
              <w:jc w:val="center"/>
              <w:rPr/>
            </w:pPr>
            <w:r>
              <w:rPr/>
              <w:t> </w:t>
            </w:r>
          </w:p>
        </w:tc>
        <w:tc>
          <w:tcPr>
            <w:tcW w:w="736"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shd w:fill="CCEEFF" w:val="clear"/>
            <w:tcMar>
              <w:bottom w:w="0" w:type="dxa"/>
            </w:tcMar>
            <w:vAlign w:val="center"/>
          </w:tcPr>
          <w:p>
            <w:pPr>
              <w:pStyle w:val="TableContents"/>
              <w:bidi w:val="0"/>
              <w:spacing w:before="0" w:after="283"/>
              <w:jc w:val="center"/>
              <w:rPr/>
            </w:pPr>
            <w:r>
              <w:rPr/>
              <w:t> </w:t>
            </w:r>
          </w:p>
        </w:tc>
        <w:tc>
          <w:tcPr>
            <w:tcW w:w="1285"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left"/>
              <w:rPr/>
            </w:pPr>
            <w:r>
              <w:rPr/>
              <w:t> </w:t>
            </w:r>
          </w:p>
        </w:tc>
        <w:tc>
          <w:tcPr>
            <w:tcW w:w="9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1, 2025 - November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shd w:fill="FFFFFF" w:val="clear"/>
            <w:tcMar>
              <w:bottom w:w="0" w:type="dxa"/>
            </w:tcMar>
            <w:vAlign w:val="center"/>
          </w:tcPr>
          <w:p>
            <w:pPr>
              <w:pStyle w:val="TableContents"/>
              <w:bidi w:val="0"/>
              <w:spacing w:before="0" w:after="283"/>
              <w:jc w:val="center"/>
              <w:rPr/>
            </w:pPr>
            <w:r>
              <w:rPr/>
              <w:t> </w:t>
            </w:r>
          </w:p>
        </w:tc>
        <w:tc>
          <w:tcPr>
            <w:tcW w:w="736"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shd w:fill="FFFFFF" w:val="clear"/>
            <w:tcMar>
              <w:bottom w:w="0" w:type="dxa"/>
            </w:tcMar>
            <w:vAlign w:val="center"/>
          </w:tcPr>
          <w:p>
            <w:pPr>
              <w:pStyle w:val="TableContents"/>
              <w:bidi w:val="0"/>
              <w:spacing w:before="0" w:after="283"/>
              <w:jc w:val="center"/>
              <w:rPr/>
            </w:pPr>
            <w:r>
              <w:rPr/>
              <w:t> </w:t>
            </w:r>
          </w:p>
        </w:tc>
        <w:tc>
          <w:tcPr>
            <w:tcW w:w="1285"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left"/>
              <w:rPr/>
            </w:pPr>
            <w:r>
              <w:rPr/>
              <w:t> </w:t>
            </w:r>
          </w:p>
        </w:tc>
        <w:tc>
          <w:tcPr>
            <w:tcW w:w="970" w:type="dxa"/>
            <w:tcBorders/>
            <w:shd w:fill="FFFFFF" w:val="clear"/>
            <w:tcMar>
              <w:bottom w:w="0" w:type="dxa"/>
            </w:tcMar>
            <w:vAlign w:val="center"/>
          </w:tcPr>
          <w:p>
            <w:pPr>
              <w:pStyle w:val="TableContents"/>
              <w:bidi w:val="0"/>
              <w:spacing w:before="0" w:after="283"/>
              <w:ind w:left="0" w:right="0" w:hanging="0"/>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2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1, 2025 -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bottom w:val="single" w:sz="2" w:space="0" w:color="000000"/>
            </w:tcBorders>
            <w:shd w:fill="CCEEFF" w:val="clear"/>
            <w:vAlign w:val="center"/>
          </w:tcPr>
          <w:p>
            <w:pPr>
              <w:pStyle w:val="TableContents"/>
              <w:bidi w:val="0"/>
              <w:spacing w:before="0" w:after="283"/>
              <w:jc w:val="left"/>
              <w:rPr/>
            </w:pPr>
            <w:r>
              <w:rPr/>
              <w:t> </w:t>
            </w:r>
          </w:p>
        </w:tc>
        <w:tc>
          <w:tcPr>
            <w:tcW w:w="992"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8" w:type="dxa"/>
            <w:tcBorders>
              <w:bottom w:val="single" w:sz="2" w:space="0" w:color="000000"/>
            </w:tcBorders>
            <w:shd w:fill="CCEEFF" w:val="clear"/>
            <w:vAlign w:val="center"/>
          </w:tcPr>
          <w:p>
            <w:pPr>
              <w:pStyle w:val="TableContents"/>
              <w:bidi w:val="0"/>
              <w:spacing w:before="0" w:after="283"/>
              <w:jc w:val="center"/>
              <w:rPr/>
            </w:pPr>
            <w:r>
              <w:rPr/>
              <w:t> </w:t>
            </w:r>
          </w:p>
        </w:tc>
        <w:tc>
          <w:tcPr>
            <w:tcW w:w="736"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94" w:type="dxa"/>
            <w:tcBorders>
              <w:bottom w:val="single" w:sz="2" w:space="0" w:color="000000"/>
            </w:tcBorders>
            <w:shd w:fill="CCEEFF" w:val="clear"/>
            <w:vAlign w:val="center"/>
          </w:tcPr>
          <w:p>
            <w:pPr>
              <w:pStyle w:val="TableContents"/>
              <w:bidi w:val="0"/>
              <w:spacing w:before="0" w:after="283"/>
              <w:jc w:val="center"/>
              <w:rPr/>
            </w:pPr>
            <w:r>
              <w:rPr/>
              <w:t> </w:t>
            </w:r>
          </w:p>
        </w:tc>
        <w:tc>
          <w:tcPr>
            <w:tcW w:w="1285" w:type="dxa"/>
            <w:tcBorders>
              <w:bottom w:val="single" w:sz="2" w:space="0" w:color="000000"/>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9" w:type="dxa"/>
            <w:tcBorders>
              <w:bottom w:val="single" w:sz="2" w:space="0" w:color="000000"/>
            </w:tcBorders>
            <w:shd w:fill="CCEEFF" w:val="clear"/>
            <w:vAlign w:val="center"/>
          </w:tcPr>
          <w:p>
            <w:pPr>
              <w:pStyle w:val="TableContents"/>
              <w:bidi w:val="0"/>
              <w:spacing w:before="0" w:after="283"/>
              <w:jc w:val="left"/>
              <w:rPr/>
            </w:pPr>
            <w:r>
              <w:rPr/>
              <w:t> </w:t>
            </w:r>
          </w:p>
        </w:tc>
        <w:tc>
          <w:tcPr>
            <w:tcW w:w="970" w:type="dxa"/>
            <w:tcBorders>
              <w:bottom w:val="single" w:sz="2" w:space="0" w:color="000000"/>
            </w:tcBorders>
            <w:shd w:fill="CCEEFF" w:val="cle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2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vAlign w:val="center"/>
          </w:tcPr>
          <w:p>
            <w:pPr>
              <w:pStyle w:val="TableContents"/>
              <w:bidi w:val="0"/>
              <w:spacing w:before="0" w:after="283"/>
              <w:jc w:val="left"/>
              <w:rPr/>
            </w:pPr>
            <w:r>
              <w:rPr/>
              <w:t> </w:t>
            </w:r>
          </w:p>
        </w:tc>
        <w:tc>
          <w:tcPr>
            <w:tcW w:w="992"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8" w:type="dxa"/>
            <w:tcBorders>
              <w:bottom w:val="double" w:sz="6" w:space="0" w:color="000000"/>
            </w:tcBorders>
            <w:shd w:fill="FFFFFF" w:val="clear"/>
            <w:vAlign w:val="center"/>
          </w:tcPr>
          <w:p>
            <w:pPr>
              <w:pStyle w:val="TableContents"/>
              <w:bidi w:val="0"/>
              <w:spacing w:before="0" w:after="283"/>
              <w:jc w:val="center"/>
              <w:rPr/>
            </w:pPr>
            <w:r>
              <w:rPr/>
              <w:t> </w:t>
            </w:r>
          </w:p>
        </w:tc>
        <w:tc>
          <w:tcPr>
            <w:tcW w:w="736"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94" w:type="dxa"/>
            <w:tcBorders>
              <w:bottom w:val="double" w:sz="6" w:space="0" w:color="000000"/>
            </w:tcBorders>
            <w:shd w:fill="FFFFFF" w:val="clear"/>
            <w:vAlign w:val="center"/>
          </w:tcPr>
          <w:p>
            <w:pPr>
              <w:pStyle w:val="TableContents"/>
              <w:bidi w:val="0"/>
              <w:spacing w:before="0" w:after="283"/>
              <w:jc w:val="center"/>
              <w:rPr/>
            </w:pPr>
            <w:r>
              <w:rPr/>
              <w:t> </w:t>
            </w:r>
          </w:p>
        </w:tc>
        <w:tc>
          <w:tcPr>
            <w:tcW w:w="1285" w:type="dxa"/>
            <w:tcBorders>
              <w:bottom w:val="double" w:sz="6" w:space="0" w:color="000000"/>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vAlign w:val="center"/>
          </w:tcPr>
          <w:p>
            <w:pPr>
              <w:pStyle w:val="TableContents"/>
              <w:bidi w:val="0"/>
              <w:spacing w:before="0" w:after="283"/>
              <w:jc w:val="left"/>
              <w:rPr/>
            </w:pPr>
            <w:r>
              <w:rPr/>
              <w:t> </w:t>
            </w:r>
          </w:p>
        </w:tc>
        <w:tc>
          <w:tcPr>
            <w:tcW w:w="970" w:type="dxa"/>
            <w:tcBorders>
              <w:bottom w:val="double" w:sz="6"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144" w:right="144" w:hanging="0"/>
        <w:jc w:val="left"/>
        <w:rPr/>
      </w:pPr>
      <w:r>
        <w:rPr/>
        <w:t> </w:t>
      </w:r>
    </w:p>
    <w:p>
      <w:pPr>
        <w:pStyle w:val="TextBody"/>
        <w:bidi w:val="0"/>
        <w:spacing w:before="0" w:after="0"/>
        <w:ind w:left="144" w:right="144" w:hanging="0"/>
        <w:jc w:val="both"/>
        <w:rPr>
          <w:rFonts w:ascii="Times New Roman;Times;serif" w:hAnsi="Times New Roman;Times;serif"/>
          <w:sz w:val="20"/>
        </w:rPr>
      </w:pPr>
      <w:r>
        <w:rPr>
          <w:rFonts w:ascii="Times New Roman;Times;serif" w:hAnsi="Times New Roman;Times;serif"/>
          <w:sz w:val="20"/>
          <w:shd w:fill="FFFFFF" w:val="clear"/>
        </w:rPr>
        <w:t xml:space="preserve">(a) During the three months ended </w:t>
      </w:r>
      <w:r>
        <w:rPr>
          <w:rFonts w:ascii="Times New Roman;Times;serif" w:hAnsi="Times New Roman;Times;serif"/>
          <w:sz w:val="20"/>
        </w:rPr>
        <w:t>December 31, 2025</w:t>
      </w:r>
      <w:r>
        <w:rPr>
          <w:rFonts w:ascii="Times New Roman;Times;serif" w:hAnsi="Times New Roman;Times;serif"/>
          <w:sz w:val="20"/>
          <w:shd w:fill="FFFFFF" w:val="clear"/>
        </w:rPr>
        <w:t xml:space="preserve">, </w:t>
      </w:r>
      <w:r>
        <w:rPr>
          <w:rFonts w:ascii="Times New Roman;Times;serif" w:hAnsi="Times New Roman;Times;serif"/>
          <w:sz w:val="20"/>
        </w:rPr>
        <w:t>we did not purchase shares in connection with our stock-based compensation plans.</w:t>
      </w:r>
    </w:p>
    <w:p>
      <w:pPr>
        <w:pStyle w:val="TextBody"/>
        <w:bidi w:val="0"/>
        <w:spacing w:before="0" w:after="0"/>
        <w:ind w:left="0" w:right="0" w:hanging="0"/>
        <w:jc w:val="both"/>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itemthree"/>
            <w:bookmarkEnd w:id="12"/>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itemfour"/>
            <w:bookmarkEnd w:id="13"/>
            <w:r>
              <w:rPr>
                <w:rFonts w:ascii="Times New Roman;Times;serif" w:hAnsi="Times New Roman;Times;serif"/>
                <w:b/>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pPr>
            <w:bookmarkStart w:id="14" w:name="item5"/>
            <w:bookmarkEnd w:id="14"/>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both"/>
        <w:rPr/>
      </w:pPr>
      <w:r>
        <w:rPr/>
        <w:t> </w:t>
      </w:r>
    </w:p>
    <w:p>
      <w:pPr>
        <w:pStyle w:val="TextBody"/>
        <w:bidi w:val="0"/>
        <w:spacing w:before="0" w:after="0"/>
        <w:ind w:left="160" w:right="0" w:firstLine="360"/>
        <w:jc w:val="both"/>
        <w:rPr/>
      </w:pPr>
      <w:r>
        <w:rPr>
          <w:rFonts w:ascii="Times New Roman" w:hAnsi="Times New Roman"/>
          <w:caps w:val="false"/>
          <w:smallCaps w:val="false"/>
          <w:sz w:val="20"/>
        </w:rPr>
        <w:t xml:space="preserve">(a)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(b) </w:t>
      </w:r>
      <w:r>
        <w:rPr>
          <w:rStyle w:val="Emphasis"/>
          <w:rFonts w:ascii="Times New Roman" w:hAnsi="Times New Roman"/>
          <w:caps w:val="false"/>
          <w:smallCaps w:val="false"/>
          <w:sz w:val="20"/>
        </w:rPr>
        <w:t>None</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160" w:right="0" w:firstLine="360"/>
        <w:jc w:val="both"/>
        <w:rPr/>
      </w:pPr>
      <w:r>
        <w:rPr>
          <w:rFonts w:ascii="Times New Roman" w:hAnsi="Times New Roman"/>
          <w:caps w:val="false"/>
          <w:smallCaps w:val="false"/>
          <w:sz w:val="20"/>
        </w:rPr>
        <w:t xml:space="preserve">(c)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 2025, no</w:t>
      </w:r>
      <w:r>
        <w:rPr>
          <w:rFonts w:ascii="Times New Roman" w:hAnsi="Times New Roman"/>
          <w:caps w:val="false"/>
          <w:smallCaps w:val="false"/>
          <w:sz w:val="20"/>
        </w:rPr>
        <w:t xml:space="preserve">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item6"/>
            <w:bookmarkEnd w:id="15"/>
            <w:r>
              <w:rPr>
                <w:rFonts w:ascii="Times New Roman;Times;serif" w:hAnsi="Times New Roman;Times;serif"/>
                <w:b/>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17"/>
        <w:gridCol w:w="60"/>
        <w:gridCol w:w="5799"/>
        <w:gridCol w:w="60"/>
        <w:gridCol w:w="500"/>
        <w:gridCol w:w="60"/>
        <w:gridCol w:w="672"/>
        <w:gridCol w:w="60"/>
        <w:gridCol w:w="650"/>
        <w:gridCol w:w="60"/>
        <w:gridCol w:w="570"/>
        <w:gridCol w:w="60"/>
        <w:gridCol w:w="937"/>
      </w:tblGrid>
      <w:tr>
        <w:trPr/>
        <w:tc>
          <w:tcPr>
            <w:tcW w:w="7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9" w:type="dxa"/>
            <w:gridSpan w:val="9"/>
            <w:tcBorders>
              <w:bottom w:val="single" w:sz="2" w:space="0" w:color="000000"/>
            </w:tcBorders>
            <w:tcMar>
              <w:bottom w:w="28" w:type="dxa"/>
            </w:tcMar>
            <w:vAlign w:val="center"/>
          </w:tcPr>
          <w:p>
            <w:pPr>
              <w:pStyle w:val="TableContents"/>
              <w:bidi w:val="0"/>
              <w:spacing w:before="0" w:after="283"/>
              <w:jc w:val="center"/>
              <w:rPr>
                <w:b/>
              </w:rPr>
            </w:pPr>
            <w:r>
              <w:rPr>
                <w:b/>
              </w:rPr>
              <w:t>Incorporated by Reference</w:t>
            </w:r>
          </w:p>
        </w:tc>
      </w:tr>
      <w:tr>
        <w:trPr/>
        <w:tc>
          <w:tcPr>
            <w:tcW w:w="7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0"/>
              <w:ind w:left="0" w:right="0" w:hanging="0"/>
              <w:jc w:val="left"/>
              <w:rPr/>
            </w:pPr>
            <w:r>
              <w:rPr/>
              <w:t> </w:t>
            </w:r>
          </w:p>
        </w:tc>
        <w:tc>
          <w:tcPr>
            <w:tcW w:w="57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0"/>
              <w:ind w:left="0" w:right="0" w:hanging="0"/>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60" w:type="dxa"/>
            <w:tcBorders/>
            <w:vAlign w:val="center"/>
          </w:tcPr>
          <w:p>
            <w:pPr>
              <w:pStyle w:val="TableContents"/>
              <w:bidi w:val="0"/>
              <w:spacing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60" w:type="dxa"/>
            <w:tcBorders/>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60" w:type="dxa"/>
            <w:tcBorders/>
            <w:vAlign w:val="center"/>
          </w:tcPr>
          <w:p>
            <w:pPr>
              <w:pStyle w:val="TableContents"/>
              <w:bidi w:val="0"/>
              <w:spacing w:before="0" w:after="0"/>
              <w:ind w:left="0" w:right="0" w:hanging="0"/>
              <w:jc w:val="left"/>
              <w:rPr/>
            </w:pPr>
            <w:r>
              <w:rPr/>
              <w:t> </w:t>
            </w:r>
          </w:p>
        </w:tc>
        <w:tc>
          <w:tcPr>
            <w:tcW w:w="5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60" w:type="dxa"/>
            <w:tcBorders/>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Filed/Furnished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Herewith</w:t>
            </w:r>
          </w:p>
        </w:tc>
      </w:tr>
      <w:tr>
        <w:trPr/>
        <w:tc>
          <w:tcPr>
            <w:tcW w:w="7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hyperlink r:id="rId2">
              <w:r>
                <w:rPr>
                  <w:rStyle w:val="InternetLink"/>
                </w:rPr>
                <w:t>Stock Exchange Agreement, dated December 5, 2025, by and among AMSC Brazil, the Stockholders, Comtrafo, Irineu Minato, an individual, solely in his capacity as the stockholder representative, the Stockholder Group Members and American Superconductor Corporation, solely for purposes of Section 1.1(a), Article IV, Section 5.5 and Section 5.7.</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8-K</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000-19672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10.1</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12/10/25</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10.2^</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hyperlink r:id="rId3">
              <w:r>
                <w:rPr>
                  <w:rStyle w:val="InternetLink"/>
                </w:rPr>
                <w:t>Public Deed of Purchase and Sale of Real Estate Property, dated December 5, 2025, by and among Irineu Minato, Karime Passos Prestes and Comtrafo Indústria de Transformadores Elétricos S.A, relating to real property located at Parque Industrial, in the City of Cornélio Procópio, State of Paraná, with land area of 8,527.80 sq.ms and built-up area of 5,177.48 sq.ms.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8-K</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000-19672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10.2</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12/10/25</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10.3^</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hyperlink r:id="rId4">
              <w:r>
                <w:rPr>
                  <w:rStyle w:val="InternetLink"/>
                </w:rPr>
                <w:t>Public Deed of Purchase and Sale of Real Estate Property, dated December 5, 2025, by and between Visão Participações Ltda. and Comtrafo Indústria de Transformadores Elétricos S.A., relating to property located at Parque Industrial I, Lot No. S/5 of Block No. 406, located in Parque Industrial I, in the city of Cornélio Procópio, State of Paraná, with land area of 1,401.80 sq.ms.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8-K</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000-19672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10.3</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12/10/25</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hyperlink r:id="rId5">
              <w:r>
                <w:rPr>
                  <w:rStyle w:val="InternetLink"/>
                </w:rPr>
                <w:t>Public Deed of Purchase and Sale of Real Estate Property, dated December 5, 2025, by and between Visão Participações Ltda. and Comtrafo Indústria de Transformadores Elétricos S.A., relating to real property located at Rodovia BR-369 – KM 95 - Ourinhos, in the City of Londrina, State of Paraná, with land area of 355,799.15 sq.ms.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8-K</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000-19672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12/10/25</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10.5^</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hyperlink r:id="rId6">
              <w:r>
                <w:rPr>
                  <w:rStyle w:val="InternetLink"/>
                </w:rPr>
                <w:t>Public Deed of Purchase and Sale of Real Estate Property, dated December 5, 2025, by and between Visão Participações Ltda. and Comtrafo Indústria de Transformadores Elétricos S.A, relating to real property located at Parque Industrial Domingos Soares Filho, in the City of Cornélio Procópio, State of Paraná, with land area of 47,335.20 sq.ms.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8-K</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000-19672</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10.5</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12/10/25</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10.6</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hyperlink w:anchor="ex_915335.htm">
              <w:r>
                <w:rPr>
                  <w:rStyle w:val="InternetLink"/>
                </w:rPr>
                <w:t>Amendment No. 1 to Stock Exchange Agreement</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center"/>
              <w:rPr/>
            </w:pPr>
            <w:r>
              <w:rPr/>
              <w:t>*</w:t>
            </w:r>
          </w:p>
        </w:tc>
      </w:tr>
      <w:tr>
        <w:trPr/>
        <w:tc>
          <w:tcPr>
            <w:tcW w:w="7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hyperlink w:anchor="ex_895149.htm">
              <w:r>
                <w:rPr>
                  <w:rStyle w:val="InternetLink"/>
                  <w:rFonts w:ascii="Times New Roman;Times;serif" w:hAnsi="Times New Roman;Times;serif"/>
                  <w:sz w:val="20"/>
                </w:rPr>
                <w:t>Chief Executive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pPr>
            <w:r>
              <w:rPr/>
              <w:t> </w:t>
            </w:r>
          </w:p>
        </w:tc>
      </w:tr>
      <w:tr>
        <w:trPr/>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hyperlink w:anchor="ex_895150.htm">
              <w:r>
                <w:rPr>
                  <w:rStyle w:val="InternetLink"/>
                  <w:rFonts w:ascii="Times New Roman;Times;serif" w:hAnsi="Times New Roman;Times;serif"/>
                  <w:sz w:val="20"/>
                </w:rPr>
                <w:t>Chief Financial Officer—Certification pursuant to Rule 13a-14(a) or Rule 15d-14(a) of the Securities Exchange Act of 1934,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pPr>
            <w:r>
              <w:rPr/>
              <w:t> </w:t>
            </w:r>
          </w:p>
        </w:tc>
      </w:tr>
      <w:tr>
        <w:trPr/>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hyperlink w:anchor="ex_895151.htm">
              <w:r>
                <w:rPr>
                  <w:rStyle w:val="InternetLink"/>
                  <w:rFonts w:ascii="Times New Roman;Times;serif" w:hAnsi="Times New Roman;Times;serif"/>
                  <w:sz w:val="20"/>
                </w:rPr>
                <w:t>Chief Executive Officer—Certification pursuant to Rule13a-14(b)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pPr>
            <w:r>
              <w:rPr/>
              <w:t> </w:t>
            </w:r>
          </w:p>
        </w:tc>
      </w:tr>
      <w:tr>
        <w:trPr/>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hyperlink w:anchor="ex_895152.htm">
              <w:r>
                <w:rPr>
                  <w:rStyle w:val="InternetLink"/>
                  <w:rFonts w:ascii="Times New Roman;Times;serif" w:hAnsi="Times New Roman;Times;serif"/>
                  <w:sz w:val="20"/>
                </w:rPr>
                <w:t>Chief Financial Officer—Certification pursuant to Rule 13a-14(b) or Rule 15d-14(b) of the Securities Exchange Act of 1934 and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pPr>
            <w:r>
              <w:rPr/>
              <w:t> </w:t>
            </w:r>
          </w:p>
        </w:tc>
      </w:tr>
      <w:tr>
        <w:trPr/>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pPr>
            <w:r>
              <w:rPr/>
              <w:t> </w:t>
            </w:r>
          </w:p>
        </w:tc>
      </w:tr>
      <w:tr>
        <w:trPr/>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pPr>
            <w:r>
              <w:rPr/>
              <w:t> </w:t>
            </w:r>
          </w:p>
        </w:tc>
      </w:tr>
      <w:tr>
        <w:trPr/>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Calculation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pPr>
            <w:r>
              <w:rPr/>
              <w:t> </w:t>
            </w:r>
          </w:p>
        </w:tc>
      </w:tr>
      <w:tr>
        <w:trPr/>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Definition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pPr>
            <w:r>
              <w:rPr/>
              <w:t> </w:t>
            </w:r>
          </w:p>
        </w:tc>
      </w:tr>
      <w:tr>
        <w:trPr/>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Label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pPr>
            <w:r>
              <w:rPr/>
              <w:t> </w:t>
            </w:r>
          </w:p>
        </w:tc>
      </w:tr>
      <w:tr>
        <w:trPr/>
        <w:tc>
          <w:tcPr>
            <w:tcW w:w="71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57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Presentation Linkbase Document. </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7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7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r>
        <w:trPr/>
        <w:tc>
          <w:tcPr>
            <w:tcW w:w="717" w:type="dxa"/>
            <w:tcBorders/>
            <w:vAlign w:val="center"/>
          </w:tcPr>
          <w:p>
            <w:pPr>
              <w:pStyle w:val="TableContents"/>
              <w:bidi w:val="0"/>
              <w:spacing w:before="0" w:after="283"/>
              <w:jc w:val="center"/>
              <w:rPr/>
            </w:pPr>
            <w:r>
              <w:rPr/>
              <w:t>104 </w:t>
            </w:r>
          </w:p>
        </w:tc>
        <w:tc>
          <w:tcPr>
            <w:tcW w:w="60" w:type="dxa"/>
            <w:tcBorders/>
            <w:vAlign w:val="center"/>
          </w:tcPr>
          <w:p>
            <w:pPr>
              <w:pStyle w:val="TableContents"/>
              <w:bidi w:val="0"/>
              <w:spacing w:before="0" w:after="283"/>
              <w:jc w:val="left"/>
              <w:rPr/>
            </w:pPr>
            <w:r>
              <w:rPr/>
              <w:t> </w:t>
            </w:r>
          </w:p>
        </w:tc>
        <w:tc>
          <w:tcPr>
            <w:tcW w:w="5799" w:type="dxa"/>
            <w:tcBorders/>
            <w:vAlign w:val="center"/>
          </w:tcPr>
          <w:p>
            <w:pPr>
              <w:pStyle w:val="TableContents"/>
              <w:bidi w:val="0"/>
              <w:spacing w:before="0" w:after="283"/>
              <w:jc w:val="left"/>
              <w:rPr/>
            </w:pPr>
            <w:r>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left"/>
        <w:rPr/>
      </w:pPr>
      <w:r>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herewith</w:t>
            </w:r>
          </w:p>
        </w:tc>
      </w:tr>
    </w:tbl>
    <w:p>
      <w:pPr>
        <w:pStyle w:val="TextBody"/>
        <w:bidi w:val="0"/>
        <w:spacing w:before="0" w:after="0"/>
        <w:ind w:left="0" w:right="0" w:hanging="0"/>
        <w:jc w:val="left"/>
        <w:rPr/>
      </w:pPr>
      <w:r>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Furnished herewith</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Pr>
            <w:r>
              <w:rPr/>
              <w:t>^</w:t>
            </w:r>
          </w:p>
        </w:tc>
        <w:tc>
          <w:tcPr>
            <w:tcW w:w="10065" w:type="dxa"/>
            <w:tcBorders/>
            <w:vAlign w:val="center"/>
          </w:tcPr>
          <w:p>
            <w:pPr>
              <w:pStyle w:val="TableContents"/>
              <w:bidi w:val="0"/>
              <w:spacing w:before="0" w:after="283"/>
              <w:jc w:val="left"/>
              <w:rPr/>
            </w:pPr>
            <w:r>
              <w:rPr/>
              <w:t>Portions of the exhibit, marked by ***, have been omitted because the omitted information (i) is not material and (ii) is treated as confidential by the Company.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pPr>
            <w:r>
              <w:rPr/>
              <w:t>The annexes, schedules, and certain exhibits to this Exhibit have been omitted pursuant to Item 601(a)(5)(b)(2) of Regulation S-K. The Company hereby agrees to furnish supplementally a copy of any omitted annex, schedule or exhibit to the SEC upon request.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Attached as Exhibits 101 to this report are the following formatted in inline XBRL (Extensible Business Reporting Language): (i) Condensed Consolidated Balance Sheets as of </w:t>
      </w:r>
      <w:r>
        <w:rPr>
          <w:rFonts w:ascii="Times New Roman;Times;serif" w:hAnsi="Times New Roman;Times;serif"/>
          <w:sz w:val="20"/>
          <w:shd w:fill="FFFFFF" w:val="clear"/>
        </w:rPr>
        <w:t>December 31, 2025</w:t>
      </w:r>
      <w:r>
        <w:rPr>
          <w:rFonts w:ascii="Times New Roman;Times;serif" w:hAnsi="Times New Roman;Times;serif"/>
          <w:sz w:val="20"/>
        </w:rPr>
        <w:t xml:space="preserve"> and March 31, 2025 (ii) Statements of Operations for the three and nine months ended </w:t>
      </w:r>
      <w:r>
        <w:rPr>
          <w:rFonts w:ascii="Times New Roman;Times;serif" w:hAnsi="Times New Roman;Times;serif"/>
          <w:sz w:val="20"/>
          <w:shd w:fill="FFFFFF" w:val="clear"/>
        </w:rPr>
        <w:t>December 31, 2025</w:t>
      </w:r>
      <w:r>
        <w:rPr>
          <w:rFonts w:ascii="Times New Roman;Times;serif" w:hAnsi="Times New Roman;Times;serif"/>
          <w:sz w:val="20"/>
        </w:rPr>
        <w:t xml:space="preserve"> and 2024, (iii) Condensed Consolidated Statements of Comprehensive Income for the three and nine months ended </w:t>
      </w:r>
      <w:r>
        <w:rPr>
          <w:rFonts w:ascii="Times New Roman;Times;serif" w:hAnsi="Times New Roman;Times;serif"/>
          <w:sz w:val="20"/>
          <w:shd w:fill="FFFFFF" w:val="clear"/>
        </w:rPr>
        <w:t>December 31, 2025</w:t>
      </w:r>
      <w:r>
        <w:rPr>
          <w:rFonts w:ascii="Times New Roman;Times;serif" w:hAnsi="Times New Roman;Times;serif"/>
          <w:sz w:val="20"/>
        </w:rPr>
        <w:t xml:space="preserve"> and 2024, (iv) Condensed Consolidated Statements of Cash Flows for the nine months ended </w:t>
      </w:r>
      <w:r>
        <w:rPr>
          <w:rFonts w:ascii="Times New Roman;Times;serif" w:hAnsi="Times New Roman;Times;serif"/>
          <w:sz w:val="20"/>
          <w:shd w:fill="FFFFFF" w:val="clear"/>
        </w:rPr>
        <w:t>December 31, 2025</w:t>
      </w:r>
      <w:r>
        <w:rPr>
          <w:rFonts w:ascii="Times New Roman;Times;serif" w:hAnsi="Times New Roman;Times;serif"/>
          <w:sz w:val="20"/>
        </w:rPr>
        <w:t xml:space="preserve"> and 2024, and (v)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6" w:name="signature"/>
      <w:bookmarkEnd w:id="16"/>
      <w:r>
        <w:rPr>
          <w:rFonts w:ascii="Times New Roman;Times;serif" w:hAnsi="Times New Roman;Times;serif"/>
          <w:b/>
          <w:sz w:val="20"/>
        </w:rPr>
        <w:t>SIGNATURE</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6"/>
        <w:gridCol w:w="1548"/>
        <w:gridCol w:w="320"/>
        <w:gridCol w:w="7891"/>
      </w:tblGrid>
      <w:tr>
        <w:trPr/>
        <w:tc>
          <w:tcPr>
            <w:tcW w:w="446" w:type="dxa"/>
            <w:tcBorders/>
            <w:vAlign w:val="center"/>
          </w:tcPr>
          <w:p>
            <w:pPr>
              <w:pStyle w:val="TableContents"/>
              <w:bidi w:val="0"/>
              <w:spacing w:before="0" w:after="0"/>
              <w:ind w:left="0" w:right="0" w:hanging="0"/>
              <w:jc w:val="left"/>
              <w:rPr/>
            </w:pPr>
            <w:r>
              <w:rPr/>
              <w:t> </w:t>
            </w:r>
          </w:p>
        </w:tc>
        <w:tc>
          <w:tcPr>
            <w:tcW w:w="1548" w:type="dxa"/>
            <w:tcBorders/>
            <w:vAlign w:val="center"/>
          </w:tcPr>
          <w:p>
            <w:pPr>
              <w:pStyle w:val="TableContents"/>
              <w:bidi w:val="0"/>
              <w:spacing w:before="0" w:after="0"/>
              <w:ind w:left="0" w:right="0" w:hanging="0"/>
              <w:jc w:val="left"/>
              <w:rPr/>
            </w:pPr>
            <w:r>
              <w:rPr/>
              <w:t> </w:t>
            </w:r>
          </w:p>
        </w:tc>
        <w:tc>
          <w:tcPr>
            <w:tcW w:w="821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AMERICAN SUPERCONDUCTOR CORPORATION</w:t>
            </w:r>
          </w:p>
        </w:tc>
      </w:tr>
      <w:tr>
        <w:trPr/>
        <w:tc>
          <w:tcPr>
            <w:tcW w:w="446" w:type="dxa"/>
            <w:tcBorders/>
            <w:vAlign w:val="center"/>
          </w:tcPr>
          <w:p>
            <w:pPr>
              <w:pStyle w:val="TableContents"/>
              <w:bidi w:val="0"/>
              <w:spacing w:before="0" w:after="0"/>
              <w:ind w:left="0" w:right="0" w:hanging="0"/>
              <w:jc w:val="left"/>
              <w:rPr/>
            </w:pPr>
            <w:r>
              <w:rPr/>
              <w:t> </w:t>
            </w:r>
          </w:p>
        </w:tc>
        <w:tc>
          <w:tcPr>
            <w:tcW w:w="1548"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891" w:type="dxa"/>
            <w:tcBorders/>
            <w:vAlign w:val="center"/>
          </w:tcPr>
          <w:p>
            <w:pPr>
              <w:pStyle w:val="TableContents"/>
              <w:bidi w:val="0"/>
              <w:spacing w:before="0" w:after="0"/>
              <w:ind w:left="0" w:right="0" w:hanging="0"/>
              <w:jc w:val="left"/>
              <w:rPr/>
            </w:pPr>
            <w:r>
              <w:rPr/>
              <w:t> </w:t>
            </w:r>
          </w:p>
        </w:tc>
      </w:tr>
      <w:tr>
        <w:trPr/>
        <w:tc>
          <w:tcPr>
            <w:tcW w:w="446" w:type="dxa"/>
            <w:tcBorders/>
            <w:vAlign w:val="center"/>
          </w:tcPr>
          <w:p>
            <w:pPr>
              <w:pStyle w:val="TableContents"/>
              <w:bidi w:val="0"/>
              <w:spacing w:before="0" w:after="0"/>
              <w:ind w:left="0" w:right="0" w:hanging="0"/>
              <w:jc w:val="left"/>
              <w:rPr/>
            </w:pPr>
            <w:r>
              <w:rPr/>
              <w:t> </w:t>
            </w:r>
          </w:p>
        </w:tc>
        <w:tc>
          <w:tcPr>
            <w:tcW w:w="1548"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78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548" w:type="dxa"/>
            <w:tcBorders/>
            <w:vAlign w:val="center"/>
          </w:tcPr>
          <w:p>
            <w:pPr>
              <w:pStyle w:val="TableContents"/>
              <w:bidi w:val="0"/>
              <w:spacing w:before="0" w:after="283"/>
              <w:jc w:val="left"/>
              <w:rPr/>
            </w:pPr>
            <w:r>
              <w:rPr/>
              <w:t>February 4, 2026</w:t>
            </w:r>
          </w:p>
        </w:tc>
        <w:tc>
          <w:tcPr>
            <w:tcW w:w="320" w:type="dxa"/>
            <w:tcBorders/>
            <w:vAlign w:val="center"/>
          </w:tcPr>
          <w:p>
            <w:pPr>
              <w:pStyle w:val="TableContents"/>
              <w:bidi w:val="0"/>
              <w:spacing w:before="0" w:after="0"/>
              <w:ind w:left="0" w:right="0" w:hanging="0"/>
              <w:jc w:val="left"/>
              <w:rPr/>
            </w:pPr>
            <w:r>
              <w:rPr/>
              <w:t> </w:t>
            </w:r>
          </w:p>
        </w:tc>
        <w:tc>
          <w:tcPr>
            <w:tcW w:w="78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46" w:type="dxa"/>
            <w:tcBorders/>
            <w:vAlign w:val="center"/>
          </w:tcPr>
          <w:p>
            <w:pPr>
              <w:pStyle w:val="TableContents"/>
              <w:bidi w:val="0"/>
              <w:spacing w:before="0" w:after="0"/>
              <w:ind w:left="0" w:right="0" w:hanging="0"/>
              <w:jc w:val="left"/>
              <w:rPr/>
            </w:pPr>
            <w:r>
              <w:rPr/>
              <w:t> </w:t>
            </w:r>
          </w:p>
        </w:tc>
        <w:tc>
          <w:tcPr>
            <w:tcW w:w="1548"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78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Senior Vice President, Chief Financial Officer and Treasurer (Principal Financial and Accounting Officer)</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39 </w:t>
      </w:r>
    </w:p>
    <w:p>
      <w:pPr>
        <w:pStyle w:val="TextBody"/>
        <w:bidi w:val="0"/>
        <w:spacing w:before="0" w:after="0"/>
        <w:ind w:left="0" w:right="0" w:hanging="0"/>
        <w:jc w:val="right"/>
        <w:rPr>
          <w:rFonts w:ascii="Times New Roman;Times;serif" w:hAnsi="Times New Roman;Times;serif"/>
          <w:b/>
          <w:sz w:val="20"/>
        </w:rPr>
      </w:pPr>
      <w:bookmarkStart w:id="17" w:name="ex_915335.htm"/>
      <w:bookmarkStart w:id="18" w:name="ksex_915335"/>
      <w:bookmarkEnd w:id="17"/>
      <w:bookmarkEnd w:id="18"/>
      <w:r>
        <w:rPr>
          <w:rFonts w:ascii="Times New Roman;Times;serif" w:hAnsi="Times New Roman;Times;serif"/>
          <w:b/>
          <w:sz w:val="20"/>
        </w:rPr>
        <w:t>Exhibit 10.6</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January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Comtrafo Indústria de Transformadores Elétricos S.A. Irineu Minato, Stockholder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 Amendment No. 1 to Stock Exchange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Irineu: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Reference is made to that certain Stock Exchange Agreement by and among Comtrafo Indústria de Transformadores Elétricos S.A. (the “</w:t>
      </w:r>
      <w:r>
        <w:rPr>
          <w:rFonts w:ascii="Times New Roman" w:hAnsi="Times New Roman"/>
          <w:b/>
          <w:caps w:val="false"/>
          <w:smallCaps w:val="false"/>
          <w:sz w:val="20"/>
        </w:rPr>
        <w:t>Company</w:t>
      </w:r>
      <w:r>
        <w:rPr>
          <w:rFonts w:ascii="Times New Roman" w:hAnsi="Times New Roman"/>
          <w:caps w:val="false"/>
          <w:smallCaps w:val="false"/>
          <w:sz w:val="20"/>
        </w:rPr>
        <w:t>”), Mardin Participações Ltda. (the “</w:t>
      </w:r>
      <w:r>
        <w:rPr>
          <w:rFonts w:ascii="Times New Roman" w:hAnsi="Times New Roman"/>
          <w:b/>
          <w:caps w:val="false"/>
          <w:smallCaps w:val="false"/>
          <w:sz w:val="20"/>
        </w:rPr>
        <w:t>Buyer</w:t>
      </w:r>
      <w:r>
        <w:rPr>
          <w:rFonts w:ascii="Times New Roman" w:hAnsi="Times New Roman"/>
          <w:caps w:val="false"/>
          <w:smallCaps w:val="false"/>
          <w:sz w:val="20"/>
        </w:rPr>
        <w:t>”), the Stockholders, and the other parties named therein (the “</w:t>
      </w:r>
      <w:r>
        <w:rPr>
          <w:rFonts w:ascii="Times New Roman" w:hAnsi="Times New Roman"/>
          <w:b/>
          <w:caps w:val="false"/>
          <w:smallCaps w:val="false"/>
          <w:sz w:val="20"/>
        </w:rPr>
        <w:t>Agreement</w:t>
      </w:r>
      <w:r>
        <w:rPr>
          <w:rFonts w:ascii="Times New Roman" w:hAnsi="Times New Roman"/>
          <w:caps w:val="false"/>
          <w:smallCaps w:val="false"/>
          <w:sz w:val="20"/>
        </w:rPr>
        <w:t>”), pursuant to which the Buyer acquired from the Stockholders, directly or indirectly, all issued and outstanding equity interests of the Target Companies, including the Company. Capitalized terms used but not otherwise defined herein (this “</w:t>
      </w:r>
      <w:r>
        <w:rPr>
          <w:rFonts w:ascii="Times New Roman" w:hAnsi="Times New Roman"/>
          <w:b/>
          <w:caps w:val="false"/>
          <w:smallCaps w:val="false"/>
          <w:sz w:val="20"/>
        </w:rPr>
        <w:t>Amendment</w:t>
      </w:r>
      <w:r>
        <w:rPr>
          <w:rFonts w:ascii="Times New Roman" w:hAnsi="Times New Roman"/>
          <w:caps w:val="false"/>
          <w:smallCaps w:val="false"/>
          <w:sz w:val="20"/>
        </w:rPr>
        <w:t>”) have the meanings given to them in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Parties acknowledge that the Closing occurred on December 5, 2025, and desire to amend the Agreement as set forth below to reflect their mutual understanding regarding the financial accounting treatment of, and allocation of certain Taxes with respect to, transactions occurring in the Ordinary Course of Business as of or after 12:01am BRT on the Closing Date (collectively, “</w:t>
      </w:r>
      <w:r>
        <w:rPr>
          <w:rFonts w:ascii="Times New Roman" w:hAnsi="Times New Roman"/>
          <w:b/>
          <w:caps w:val="false"/>
          <w:smallCaps w:val="false"/>
          <w:sz w:val="20"/>
        </w:rPr>
        <w:t>Closing Date Transactions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Closing Date Transactions specifically excludes any one or more transactions arising from, related to, or otherwise consummated or effected in connection with or pursuant to the Agreement, including without limitation, (i) any transaction effected or executed respecting or as part of the Pre-Closing Reorganization, (ii) the capitalization and share subscription in the Company by AMSC Brazil under Section 1.5(a)(i) of the Agreement, (iii) the sale, acquisition, lease, transfer or disposition of any Real Property, Intellectual Property, or the Arim Assets, (iv) any transactions which are the subject of or relate to the payment of any Company Expenses, (v) the termination of any Affiliate Transactions, (vi) the retirement, extinguishment, forbearance or payment (whether partial or in full) of any Indebtedness, (vii) payments to, or consideration or compensation received by the Stockholders in connection with the Pre-Closing Reorganization, Closing or any of the transactions arising from, related to, or consummated in connection with, under or pursuant to the Agreement, or (vii) or any other transactions or tax elections made by, between, among or involving, the Stockholders, Stockholder Group Members, or their Affiliates.</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16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Accounting Cut-Off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expressly provided under the Agreement, and solely for purposes of Buyer preparing the Company’s financial statements, the books and records of the Company shall be treated as closed as of 12:01 a.m. BRT on December 5, 2025, and that the Closing Date Transactions shall be treated as occurring after the Closing solely for such purposes. For the avoidance of doubt, the Parties hereby agree and acknowledge that the Stockholders are not responsible nor have participated or rendered advice regarding the accounting treatment of the Closing Date Transactions or any aspect for preparing any financial statements of the Company covering any periods after the Closing.</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60"/>
        <w:gridCol w:w="170"/>
        <w:gridCol w:w="1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10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Tax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Section 5.4(a)(ii) of the Agreement, the Buyer acknowledges and agrees that (i) any sales, value added or similar Taxes which are imposed on the Company or for which the Company is liable in specific respect of any Closing Date Transaction, and (ii) Taxes payable by the Company on the Company’s revenue or income specifically attributable to the Closing Date Transactions (collectively, “</w:t>
      </w:r>
      <w:r>
        <w:rPr>
          <w:rFonts w:ascii="Times New Roman" w:hAnsi="Times New Roman"/>
          <w:b/>
          <w:caps w:val="false"/>
          <w:smallCaps w:val="false"/>
          <w:sz w:val="20"/>
        </w:rPr>
        <w:t>Closing Date Transaction Taxes</w:t>
      </w:r>
      <w:r>
        <w:rPr>
          <w:rFonts w:ascii="Times New Roman" w:hAnsi="Times New Roman"/>
          <w:caps w:val="false"/>
          <w:smallCaps w:val="false"/>
          <w:sz w:val="20"/>
        </w:rPr>
        <w:t>”) shall not constitute Unpaid Income Tax Liabilities and shall be excluded from the Special Reps and Indemnities. For the avoidance of doubt, (i)the allocation of responsibility and liability for all other Taxes (including Taxes attributable to the Pre-Closing Reorganization, any periods prior to Closing, or any taxable periods which commence prior to Closing but conclude thereafter) shall otherwise remain governed exclusively by the terms of the Agreement (including Section 5.4), which remain unchanged; and (ii) any other indemnity provisions under the Agreement not expressly amended hereby remain unchanged and effective pursuant to the Agreement.</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26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 Change to Other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avoidance of doubt, (i) this Amendment is intended only to address the accounting treatment and tax matters described above, and does not amend or modify the actual time at which the Closing occurred under the Agreement; (ii) nothing in this Amendment changes the time as of which any representation, warranty, or covenant in the Agreement is made or deemed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 except as expressly provided in Section 2 above, any matter to be determined or any calculation to be performed on or measured with respect to any specific date or time shall remain unchanged (including, without limitation, determination of Company Cash, or except as expressly provided under Section 2 above, allocation of responsibility or liability for any Taxes under the Agreement).</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0"/>
        <w:gridCol w:w="170"/>
        <w:gridCol w:w="1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12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Miscellaneous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Amendment shall be deemed to form part of, and be incorporated into, the Agreement. From and after the date hereof, any reference to the “Agreement” shall be deemed to be a reference to the Agreement as amended by this Amendment. Except as expressly amended hereby, the Agreement shall remain in full force and effect in accordance with its terms. In the event of any conflict between the terms of this Amendment and the Agreement, the terms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shall control solely with respect to the matters expressly set forth in Sections 1 and 2 above. This Amendment shall be governed by, and construed in accordance with, the laws governing the Agreement. This Amendment may be executed in counterparts (including by electronic or .pdf signature), each of which shall be deemed an original and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WITNESS WHEREOF, the Parties have executed this Amendment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/s/ Irineu Minato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Printed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Irineu Minato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 January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MARDIN PARTICIPA</w:t>
      </w:r>
      <w:r>
        <w:rPr>
          <w:rFonts w:ascii="Times New Roman" w:hAnsi="Times New Roman"/>
          <w:caps w:val="false"/>
          <w:smallCaps w:val="false"/>
          <w:sz w:val="20"/>
        </w:rPr>
        <w:t>ÇÕ</w:t>
      </w:r>
      <w:r>
        <w:rPr>
          <w:rFonts w:ascii="Times New Roman" w:hAnsi="Times New Roman"/>
          <w:b/>
          <w:caps w:val="false"/>
          <w:smallCaps w:val="false"/>
          <w:sz w:val="20"/>
        </w:rPr>
        <w:t>ES LTDA.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/s/ Felipe Gabriel Machado Cargnin /s/ Marco Antônio Junqueira de Arantes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Printed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Felipe Gabriel Machado Cargnin Marco Antônio Junqueira de Arantes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 January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COMTRAFO IND</w:t>
      </w:r>
      <w:r>
        <w:rPr>
          <w:rFonts w:ascii="Times New Roman" w:hAnsi="Times New Roman"/>
          <w:caps w:val="false"/>
          <w:smallCaps w:val="false"/>
          <w:sz w:val="20"/>
        </w:rPr>
        <w:t>Ú</w:t>
      </w:r>
      <w:r>
        <w:rPr>
          <w:rFonts w:ascii="Times New Roman" w:hAnsi="Times New Roman"/>
          <w:b/>
          <w:caps w:val="false"/>
          <w:smallCaps w:val="false"/>
          <w:sz w:val="20"/>
        </w:rPr>
        <w:t>STRIA DE TRANSFORMADORES EL</w:t>
      </w:r>
      <w:r>
        <w:rPr>
          <w:rFonts w:ascii="Times New Roman" w:hAnsi="Times New Roman"/>
          <w:caps w:val="false"/>
          <w:smallCaps w:val="false"/>
          <w:sz w:val="20"/>
        </w:rPr>
        <w:t>É</w:t>
      </w:r>
      <w:r>
        <w:rPr>
          <w:rFonts w:ascii="Times New Roman" w:hAnsi="Times New Roman"/>
          <w:b/>
          <w:caps w:val="false"/>
          <w:smallCaps w:val="false"/>
          <w:sz w:val="20"/>
        </w:rPr>
        <w:t>TRICOS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/s/ Ademar Minato /s/ Irineu Minato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Printed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Ademar Minato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Irineu Minato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30 January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19" w:name="ex_895149.htm"/>
      <w:bookmarkStart w:id="20" w:name="ksex_895149"/>
      <w:bookmarkEnd w:id="19"/>
      <w:bookmarkEnd w:id="20"/>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Daniel P. McGahn, certify that: </w:t>
      </w:r>
    </w:p>
    <w:p>
      <w:pPr>
        <w:pStyle w:val="TextBody"/>
        <w:bidi w:val="0"/>
        <w:spacing w:before="0" w:after="283"/>
        <w:jc w:val="left"/>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44" w:right="144" w:hanging="0"/>
        <w:jc w:val="left"/>
        <w:rPr/>
      </w:pPr>
      <w:r>
        <w:rPr/>
        <w:t> </w:t>
      </w:r>
    </w:p>
    <w:p>
      <w:pPr>
        <w:pStyle w:val="TextBody"/>
        <w:bidi w:val="0"/>
        <w:spacing w:before="0" w:after="0"/>
        <w:ind w:left="144" w:right="144" w:hanging="0"/>
        <w:jc w:val="left"/>
        <w:rPr/>
      </w:pPr>
      <w:r>
        <w:rPr/>
        <w:t> </w:t>
      </w:r>
    </w:p>
    <w:tbl>
      <w:tblPr>
        <w:tblW w:w="4145" w:type="dxa"/>
        <w:jc w:val="left"/>
        <w:tblInd w:w="0" w:type="dxa"/>
        <w:tblLayout w:type="fixed"/>
        <w:tblCellMar>
          <w:top w:w="0" w:type="dxa"/>
          <w:left w:w="0" w:type="dxa"/>
          <w:bottom w:w="28" w:type="dxa"/>
          <w:right w:w="0" w:type="dxa"/>
        </w:tblCellMar>
      </w:tblPr>
      <w:tblGrid>
        <w:gridCol w:w="470"/>
        <w:gridCol w:w="1400"/>
        <w:gridCol w:w="320"/>
        <w:gridCol w:w="1955"/>
      </w:tblGrid>
      <w:tr>
        <w:trP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0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21" w:name="led11849F20246121720812513565"/>
            <w:bookmarkEnd w:id="21"/>
            <w:r>
              <w:rPr>
                <w:rFonts w:ascii="Times New Roman;Times;serif" w:hAnsi="Times New Roman;Times;serif"/>
                <w:sz w:val="20"/>
              </w:rPr>
              <w:t>February 4,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b/>
                <w:sz w:val="20"/>
              </w:rPr>
              <w:t>Daniel P. McGahn</w:t>
            </w:r>
          </w:p>
        </w:tc>
      </w:tr>
      <w:tr>
        <w:trPr/>
        <w:tc>
          <w:tcPr>
            <w:tcW w:w="470"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Daniel P. McGahn</w:t>
            </w:r>
          </w:p>
        </w:tc>
      </w:tr>
      <w:tr>
        <w:trPr/>
        <w:tc>
          <w:tcPr>
            <w:tcW w:w="470"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2" w:name="ex_895150.htm"/>
      <w:bookmarkStart w:id="23" w:name="ksex_895150"/>
      <w:bookmarkEnd w:id="22"/>
      <w:bookmarkEnd w:id="23"/>
      <w:r>
        <w:rPr>
          <w:rFonts w:ascii="Times New Roman;Times;serif" w:hAnsi="Times New Roman;Times;serif"/>
          <w:b/>
          <w:sz w:val="20"/>
        </w:rPr>
        <w:t>Exhibit 31.2</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John W. Kosiba, Jr., certify that:</w:t>
      </w:r>
    </w:p>
    <w:p>
      <w:pPr>
        <w:pStyle w:val="TextBody"/>
        <w:bidi w:val="0"/>
        <w:spacing w:before="0" w:after="0"/>
        <w:ind w:left="0" w:right="0" w:hanging="0"/>
        <w:jc w:val="both"/>
        <w:rPr/>
      </w:pPr>
      <w:r>
        <w:rPr/>
        <w:t> </w:t>
      </w:r>
    </w:p>
    <w:tbl>
      <w:tblPr>
        <w:tblW w:w="7855" w:type="dxa"/>
        <w:jc w:val="left"/>
        <w:tblInd w:w="0" w:type="dxa"/>
        <w:tblLayout w:type="fixed"/>
        <w:tblCellMar>
          <w:top w:w="0" w:type="dxa"/>
          <w:left w:w="0" w:type="dxa"/>
          <w:bottom w:w="0" w:type="dxa"/>
          <w:right w:w="0" w:type="dxa"/>
        </w:tblCellMar>
      </w:tblPr>
      <w:tblGrid>
        <w:gridCol w:w="170"/>
        <w:gridCol w:w="768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7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American Superconductor Corporation;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45" w:type="dxa"/>
        <w:jc w:val="left"/>
        <w:tblInd w:w="0" w:type="dxa"/>
        <w:tblLayout w:type="fixed"/>
        <w:tblCellMar>
          <w:top w:w="0" w:type="dxa"/>
          <w:left w:w="0" w:type="dxa"/>
          <w:bottom w:w="28" w:type="dxa"/>
          <w:right w:w="0" w:type="dxa"/>
        </w:tblCellMar>
      </w:tblPr>
      <w:tblGrid>
        <w:gridCol w:w="470"/>
        <w:gridCol w:w="1400"/>
        <w:gridCol w:w="320"/>
        <w:gridCol w:w="1955"/>
      </w:tblGrid>
      <w:tr>
        <w:trP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0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24" w:name="led11849F20246121720812542421"/>
            <w:bookmarkEnd w:id="24"/>
            <w:r>
              <w:rPr>
                <w:rFonts w:ascii="Times New Roman;Times;serif" w:hAnsi="Times New Roman;Times;serif"/>
                <w:sz w:val="20"/>
              </w:rPr>
              <w:t>February 4,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70"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70"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5" w:name="ex_895151.htm"/>
      <w:bookmarkStart w:id="26" w:name="ksex_895151"/>
      <w:bookmarkEnd w:id="25"/>
      <w:bookmarkEnd w:id="26"/>
      <w:r>
        <w:rPr>
          <w:rFonts w:ascii="Times New Roman;Times;serif" w:hAnsi="Times New Roman;Times;serif"/>
          <w:b/>
          <w:sz w:val="20"/>
        </w:rPr>
        <w:t>Exhibit 32.1</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Quarterly Report on Form 10-Q of American Superconductor Corporation (the “Company”) for the period ended </w:t>
      </w:r>
      <w:bookmarkStart w:id="27" w:name="led11848F20218221632321164177"/>
      <w:bookmarkEnd w:id="27"/>
      <w:r>
        <w:rPr>
          <w:rFonts w:ascii="Times New Roman;Times;serif" w:hAnsi="Times New Roman;Times;serif"/>
          <w:sz w:val="20"/>
        </w:rPr>
        <w:t>December 31, 2025,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p>
      <w:pPr>
        <w:pStyle w:val="TextBody"/>
        <w:bidi w:val="0"/>
        <w:spacing w:before="0" w:after="283"/>
        <w:jc w:val="left"/>
        <w:rPr/>
      </w:pPr>
      <w:r>
        <w:rPr/>
        <w:t> </w:t>
      </w:r>
    </w:p>
    <w:tbl>
      <w:tblPr>
        <w:tblW w:w="4145" w:type="dxa"/>
        <w:jc w:val="left"/>
        <w:tblInd w:w="0" w:type="dxa"/>
        <w:tblLayout w:type="fixed"/>
        <w:tblCellMar>
          <w:top w:w="0" w:type="dxa"/>
          <w:left w:w="0" w:type="dxa"/>
          <w:bottom w:w="28" w:type="dxa"/>
          <w:right w:w="0" w:type="dxa"/>
        </w:tblCellMar>
      </w:tblPr>
      <w:tblGrid>
        <w:gridCol w:w="470"/>
        <w:gridCol w:w="1400"/>
        <w:gridCol w:w="320"/>
        <w:gridCol w:w="1955"/>
      </w:tblGrid>
      <w:tr>
        <w:trP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0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28" w:name="led11849F20246121720812578499"/>
            <w:bookmarkEnd w:id="28"/>
            <w:r>
              <w:rPr>
                <w:rFonts w:ascii="Times New Roman;Times;serif" w:hAnsi="Times New Roman;Times;serif"/>
                <w:sz w:val="20"/>
              </w:rPr>
              <w:t>February 4,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 Daniel</w:t>
            </w:r>
            <w:r>
              <w:rPr>
                <w:rFonts w:ascii="Times New Roman;Times;serif" w:hAnsi="Times New Roman;Times;serif"/>
                <w:sz w:val="20"/>
              </w:rPr>
              <w:t> </w:t>
            </w:r>
            <w:r>
              <w:rPr>
                <w:rFonts w:ascii="Times New Roman;Times;serif" w:hAnsi="Times New Roman;Times;serif"/>
                <w:b/>
                <w:sz w:val="20"/>
              </w:rPr>
              <w:t>P. McGahn</w:t>
            </w:r>
          </w:p>
        </w:tc>
      </w:tr>
      <w:tr>
        <w:trPr/>
        <w:tc>
          <w:tcPr>
            <w:tcW w:w="470" w:type="dxa"/>
            <w:tcBorders/>
            <w:tcMar>
              <w:bottom w:w="0" w:type="dxa"/>
            </w:tcMar>
            <w:vAlign w:val="center"/>
          </w:tcPr>
          <w:p>
            <w:pPr>
              <w:pStyle w:val="TableContents"/>
              <w:bidi w:val="0"/>
              <w:spacing w:before="0" w:after="0"/>
              <w:ind w:left="0" w:right="0" w:hanging="0"/>
              <w:jc w:val="left"/>
              <w:rPr/>
            </w:pPr>
            <w:r>
              <w:rPr/>
              <w:t> </w:t>
            </w:r>
          </w:p>
        </w:tc>
        <w:tc>
          <w:tcPr>
            <w:tcW w:w="140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Daniel P. McGahn</w:t>
            </w:r>
          </w:p>
        </w:tc>
      </w:tr>
      <w:tr>
        <w:trPr/>
        <w:tc>
          <w:tcPr>
            <w:tcW w:w="470" w:type="dxa"/>
            <w:tcBorders/>
            <w:tcMar>
              <w:bottom w:w="0" w:type="dxa"/>
            </w:tcMar>
            <w:vAlign w:val="center"/>
          </w:tcPr>
          <w:p>
            <w:pPr>
              <w:pStyle w:val="TableContents"/>
              <w:bidi w:val="0"/>
              <w:spacing w:before="0" w:after="0"/>
              <w:ind w:left="0" w:right="0" w:hanging="0"/>
              <w:jc w:val="left"/>
              <w:rPr/>
            </w:pPr>
            <w:r>
              <w:rPr/>
              <w:t> </w:t>
            </w:r>
          </w:p>
        </w:tc>
        <w:tc>
          <w:tcPr>
            <w:tcW w:w="140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9" w:name="ex_895152.htm"/>
      <w:bookmarkStart w:id="30" w:name="ksex_895152"/>
      <w:bookmarkEnd w:id="29"/>
      <w:bookmarkEnd w:id="30"/>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AMERICAN SUPERCONDUCTOR CORPORATION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American Superconductor Corporation (the “Company”) for the period ended </w:t>
      </w:r>
      <w:bookmarkStart w:id="31" w:name="led11848F20217171629241168204"/>
      <w:bookmarkEnd w:id="31"/>
      <w:r>
        <w:rPr>
          <w:rFonts w:ascii="Times New Roman;Times;serif" w:hAnsi="Times New Roman;Times;serif"/>
          <w:sz w:val="20"/>
        </w:rPr>
        <w:t>December 31, 2025,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145" w:type="dxa"/>
        <w:jc w:val="left"/>
        <w:tblInd w:w="0" w:type="dxa"/>
        <w:tblLayout w:type="fixed"/>
        <w:tblCellMar>
          <w:top w:w="0" w:type="dxa"/>
          <w:left w:w="0" w:type="dxa"/>
          <w:bottom w:w="28" w:type="dxa"/>
          <w:right w:w="0" w:type="dxa"/>
        </w:tblCellMar>
      </w:tblPr>
      <w:tblGrid>
        <w:gridCol w:w="470"/>
        <w:gridCol w:w="1400"/>
        <w:gridCol w:w="320"/>
        <w:gridCol w:w="1955"/>
      </w:tblGrid>
      <w:tr>
        <w:trPr/>
        <w:tc>
          <w:tcPr>
            <w:tcW w:w="4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1400"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bookmarkStart w:id="32" w:name="led11849F20246121720812606251"/>
            <w:bookmarkEnd w:id="32"/>
            <w:r>
              <w:rPr>
                <w:rFonts w:ascii="Times New Roman;Times;serif" w:hAnsi="Times New Roman;Times;serif"/>
                <w:sz w:val="20"/>
              </w:rPr>
              <w:t>February 4, 2026</w:t>
            </w:r>
          </w:p>
        </w:tc>
        <w:tc>
          <w:tcPr>
            <w:tcW w:w="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 John W. Kosiba, Jr.</w:t>
            </w:r>
          </w:p>
        </w:tc>
      </w:tr>
      <w:tr>
        <w:trPr/>
        <w:tc>
          <w:tcPr>
            <w:tcW w:w="470" w:type="dxa"/>
            <w:tcBorders/>
            <w:tcMar>
              <w:bottom w:w="0" w:type="dxa"/>
            </w:tcMar>
            <w:vAlign w:val="center"/>
          </w:tcPr>
          <w:p>
            <w:pPr>
              <w:pStyle w:val="TableContents"/>
              <w:bidi w:val="0"/>
              <w:spacing w:before="0" w:after="0"/>
              <w:ind w:left="0" w:right="0" w:hanging="0"/>
              <w:jc w:val="left"/>
              <w:rPr/>
            </w:pPr>
            <w:r>
              <w:rPr/>
              <w:t> </w:t>
            </w:r>
          </w:p>
        </w:tc>
        <w:tc>
          <w:tcPr>
            <w:tcW w:w="140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John W. Kosiba, Jr.</w:t>
            </w:r>
          </w:p>
        </w:tc>
      </w:tr>
      <w:tr>
        <w:trPr/>
        <w:tc>
          <w:tcPr>
            <w:tcW w:w="470" w:type="dxa"/>
            <w:tcBorders/>
            <w:tcMar>
              <w:bottom w:w="0" w:type="dxa"/>
            </w:tcMar>
            <w:vAlign w:val="center"/>
          </w:tcPr>
          <w:p>
            <w:pPr>
              <w:pStyle w:val="TableContents"/>
              <w:bidi w:val="0"/>
              <w:spacing w:before="0" w:after="0"/>
              <w:ind w:left="0" w:right="0" w:hanging="0"/>
              <w:jc w:val="left"/>
              <w:rPr/>
            </w:pPr>
            <w:r>
              <w:rPr/>
              <w:t> </w:t>
            </w:r>
          </w:p>
        </w:tc>
        <w:tc>
          <w:tcPr>
            <w:tcW w:w="1400" w:type="dxa"/>
            <w:tcBorders/>
            <w:tcMar>
              <w:bottom w:w="0" w:type="dxa"/>
            </w:tcMar>
            <w:vAlign w:val="center"/>
          </w:tcPr>
          <w:p>
            <w:pPr>
              <w:pStyle w:val="TableContents"/>
              <w:bidi w:val="0"/>
              <w:spacing w:before="0" w:after="0"/>
              <w:ind w:left="0" w:right="0" w:hanging="0"/>
              <w:jc w:val="left"/>
              <w:rPr/>
            </w:pPr>
            <w:r>
              <w:rPr/>
              <w:t> </w:t>
            </w:r>
          </w:p>
        </w:tc>
        <w:tc>
          <w:tcPr>
            <w:tcW w:w="320" w:type="dxa"/>
            <w:tcBorders/>
            <w:tcMar>
              <w:bottom w:w="0" w:type="dxa"/>
            </w:tcMar>
            <w:vAlign w:val="center"/>
          </w:tcPr>
          <w:p>
            <w:pPr>
              <w:pStyle w:val="TableContents"/>
              <w:bidi w:val="0"/>
              <w:spacing w:before="0" w:after="0"/>
              <w:ind w:left="0" w:right="0" w:hanging="0"/>
              <w:jc w:val="left"/>
              <w:rPr/>
            </w:pPr>
            <w:r>
              <w:rPr/>
              <w:t> </w:t>
            </w:r>
          </w:p>
        </w:tc>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0807/000119312525314153/d24846dex101.htm" TargetMode="External"/><Relationship Id="rId3" Type="http://schemas.openxmlformats.org/officeDocument/2006/relationships/hyperlink" Target="http://www.sec.gov/Archives/edgar/data/880807/000119312525314153/d24846dex102.htm" TargetMode="External"/><Relationship Id="rId4" Type="http://schemas.openxmlformats.org/officeDocument/2006/relationships/hyperlink" Target="http://www.sec.gov/Archives/edgar/data/880807/000119312525314153/d24846dex103.htm" TargetMode="External"/><Relationship Id="rId5" Type="http://schemas.openxmlformats.org/officeDocument/2006/relationships/hyperlink" Target="http://www.sec.gov/Archives/edgar/data/880807/000119312525314153/d24846dex104.htm" TargetMode="External"/><Relationship Id="rId6" Type="http://schemas.openxmlformats.org/officeDocument/2006/relationships/hyperlink" Target="http://www.sec.gov/Archives/edgar/data/880807/000119312525314153/d24846dex105.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22957</Words>
  <Characters>127066</Characters>
  <CharactersWithSpaces>153096</CharactersWithSpaces>
  <Paragraphs>8416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