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29845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163830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ind w:left="812" w:right="100" w:hanging="812"/>
        <w:spacing w:after="0" w:line="262" w:lineRule="auto"/>
        <w:tabs>
          <w:tab w:leader="none" w:pos="81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59"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2025</w:t>
      </w:r>
    </w:p>
    <w:p>
      <w:pPr>
        <w:spacing w:after="0" w:line="225"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812" w:hanging="812"/>
        <w:spacing w:after="0" w:line="262" w:lineRule="auto"/>
        <w:tabs>
          <w:tab w:leader="none" w:pos="81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752"/>
        <w:spacing w:after="0"/>
        <w:tabs>
          <w:tab w:leader="none" w:pos="6732"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40"/>
          <w:szCs w:val="40"/>
          <w:b w:val="1"/>
          <w:bCs w:val="1"/>
          <w:color w:val="auto"/>
        </w:rPr>
        <w:t>American Superconductor Corporation</w:t>
      </w:r>
    </w:p>
    <w:p>
      <w:pPr>
        <w:spacing w:after="0" w:line="4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0972"/>
          </w:cols>
          <w:pgMar w:left="328" w:top="1154" w:right="599" w:bottom="1440" w:gutter="0" w:footer="0" w:header="0"/>
        </w:sectPr>
      </w:pPr>
    </w:p>
    <w:p>
      <w:pPr>
        <w:spacing w:after="0" w:line="215" w:lineRule="exact"/>
        <w:rPr>
          <w:sz w:val="24"/>
          <w:szCs w:val="24"/>
          <w:color w:val="auto"/>
        </w:rPr>
      </w:pPr>
    </w:p>
    <w:p>
      <w:pPr>
        <w:ind w:left="2452"/>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04-2959321</w:t>
      </w:r>
    </w:p>
    <w:p>
      <w:pPr>
        <w:spacing w:after="0" w:line="43" w:lineRule="exact"/>
        <w:rPr>
          <w:sz w:val="24"/>
          <w:szCs w:val="24"/>
          <w:color w:val="auto"/>
        </w:rPr>
      </w:pPr>
    </w:p>
    <w:p>
      <w:pPr>
        <w:sectPr>
          <w:pgSz w:w="11900" w:h="16838" w:orient="portrait"/>
          <w:cols w:equalWidth="0" w:num="2">
            <w:col w:w="7272" w:space="720"/>
            <w:col w:w="2980"/>
          </w:cols>
          <w:pgMar w:left="328" w:top="1154" w:right="599" w:bottom="1440" w:gutter="0" w:footer="0" w:header="0"/>
          <w:type w:val="continuous"/>
        </w:sectPr>
      </w:pPr>
    </w:p>
    <w:p>
      <w:pPr>
        <w:jc w:val="center"/>
        <w:ind w:right="1268"/>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p>
      <w:pPr>
        <w:spacing w:after="0" w:line="13" w:lineRule="exact"/>
        <w:rPr>
          <w:sz w:val="24"/>
          <w:szCs w:val="24"/>
          <w:color w:val="auto"/>
        </w:rPr>
      </w:pPr>
    </w:p>
    <w:p>
      <w:pPr>
        <w:jc w:val="center"/>
        <w:ind w:right="1268"/>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1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892" w:space="720"/>
            <w:col w:w="3360"/>
          </w:cols>
          <w:pgMar w:left="328" w:top="1154" w:right="599" w:bottom="1440" w:gutter="0" w:footer="0" w:header="0"/>
          <w:type w:val="continuous"/>
        </w:sectPr>
      </w:pPr>
    </w:p>
    <w:p>
      <w:pPr>
        <w:spacing w:after="0" w:line="5" w:lineRule="exact"/>
        <w:rPr>
          <w:sz w:val="24"/>
          <w:szCs w:val="24"/>
          <w:color w:val="auto"/>
        </w:rPr>
      </w:pPr>
    </w:p>
    <w:p>
      <w:pPr>
        <w:ind w:left="2012"/>
        <w:spacing w:after="0"/>
        <w:rPr>
          <w:sz w:val="20"/>
          <w:szCs w:val="20"/>
          <w:color w:val="auto"/>
        </w:rPr>
      </w:pPr>
      <w:r>
        <w:rPr>
          <w:rFonts w:ascii="Times New Roman" w:cs="Times New Roman" w:eastAsia="Times New Roman" w:hAnsi="Times New Roman"/>
          <w:sz w:val="17"/>
          <w:szCs w:val="17"/>
          <w:b w:val="1"/>
          <w:bCs w:val="1"/>
          <w:color w:val="auto"/>
        </w:rPr>
        <w:t>114 East Main Street</w:t>
      </w:r>
    </w:p>
    <w:p>
      <w:pPr>
        <w:spacing w:after="0" w:line="43" w:lineRule="exact"/>
        <w:rPr>
          <w:sz w:val="24"/>
          <w:szCs w:val="24"/>
          <w:color w:val="auto"/>
        </w:rPr>
      </w:pPr>
    </w:p>
    <w:p>
      <w:pPr>
        <w:ind w:left="2032"/>
        <w:spacing w:after="0"/>
        <w:rPr>
          <w:sz w:val="20"/>
          <w:szCs w:val="20"/>
          <w:color w:val="auto"/>
        </w:rPr>
      </w:pPr>
      <w:r>
        <w:rPr>
          <w:rFonts w:ascii="Times New Roman" w:cs="Times New Roman" w:eastAsia="Times New Roman" w:hAnsi="Times New Roman"/>
          <w:sz w:val="17"/>
          <w:szCs w:val="17"/>
          <w:b w:val="1"/>
          <w:bCs w:val="1"/>
          <w:color w:val="auto"/>
        </w:rPr>
        <w:t>Ayer, Massachusetts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01432</w:t>
      </w:r>
    </w:p>
    <w:p>
      <w:pPr>
        <w:spacing w:after="0" w:line="31" w:lineRule="exact"/>
        <w:rPr>
          <w:sz w:val="24"/>
          <w:szCs w:val="24"/>
          <w:color w:val="auto"/>
        </w:rPr>
      </w:pPr>
    </w:p>
    <w:p>
      <w:pPr>
        <w:sectPr>
          <w:pgSz w:w="11900" w:h="16838" w:orient="portrait"/>
          <w:cols w:equalWidth="0" w:num="2">
            <w:col w:w="7472" w:space="720"/>
            <w:col w:w="2780"/>
          </w:cols>
          <w:pgMar w:left="328" w:top="1154" w:right="599" w:bottom="1440" w:gutter="0" w:footer="0" w:header="0"/>
          <w:type w:val="continuous"/>
        </w:sectPr>
      </w:pPr>
    </w:p>
    <w:p>
      <w:pPr>
        <w:ind w:left="143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29" w:lineRule="exact"/>
        <w:rPr>
          <w:sz w:val="24"/>
          <w:szCs w:val="24"/>
          <w:color w:val="auto"/>
        </w:rPr>
      </w:pPr>
    </w:p>
    <w:p>
      <w:pPr>
        <w:sectPr>
          <w:pgSz w:w="11900" w:h="16838" w:orient="portrait"/>
          <w:cols w:equalWidth="0" w:num="2">
            <w:col w:w="7332" w:space="720"/>
            <w:col w:w="2920"/>
          </w:cols>
          <w:pgMar w:left="328" w:top="1154" w:right="599" w:bottom="1440" w:gutter="0" w:footer="0" w:header="0"/>
          <w:type w:val="continuous"/>
        </w:sectPr>
      </w:pPr>
    </w:p>
    <w:p>
      <w:pPr>
        <w:jc w:val="center"/>
        <w:ind w:right="-251"/>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43"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6"/>
          <w:szCs w:val="16"/>
          <w:b w:val="1"/>
          <w:bCs w:val="1"/>
          <w:color w:val="auto"/>
        </w:rPr>
        <w:t>(978) 842-3000</w:t>
      </w:r>
    </w:p>
    <w:p>
      <w:pPr>
        <w:sectPr>
          <w:pgSz w:w="11900" w:h="16838" w:orient="portrait"/>
          <w:cols w:equalWidth="0" w:num="1">
            <w:col w:w="10972"/>
          </w:cols>
          <w:pgMar w:left="328" w:top="1154" w:right="599" w:bottom="1440" w:gutter="0" w:footer="0" w:header="0"/>
          <w:type w:val="continuous"/>
        </w:sectPr>
      </w:pPr>
    </w:p>
    <w:p>
      <w:pPr>
        <w:spacing w:after="0" w:line="200" w:lineRule="exact"/>
        <w:rPr>
          <w:sz w:val="24"/>
          <w:szCs w:val="24"/>
          <w:color w:val="auto"/>
        </w:rPr>
      </w:pPr>
    </w:p>
    <w:p>
      <w:pPr>
        <w:spacing w:after="0" w:line="215" w:lineRule="exact"/>
        <w:rPr>
          <w:sz w:val="24"/>
          <w:szCs w:val="24"/>
          <w:color w:val="auto"/>
        </w:rPr>
      </w:pPr>
    </w:p>
    <w:p>
      <w:pPr>
        <w:ind w:left="1232"/>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ind w:left="1292"/>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p>
      <w:pPr>
        <w:ind w:left="84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280"/>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AMSC</w:t>
      </w:r>
      <w:r>
        <w:rPr>
          <w:sz w:val="20"/>
          <w:szCs w:val="20"/>
          <w:color w:val="auto"/>
        </w:rPr>
        <w:tab/>
      </w:r>
      <w:r>
        <w:rPr>
          <w:rFonts w:ascii="Times New Roman" w:cs="Times New Roman" w:eastAsia="Times New Roman" w:hAnsi="Times New Roman"/>
          <w:sz w:val="18"/>
          <w:szCs w:val="18"/>
          <w:b w:val="1"/>
          <w:bCs w:val="1"/>
          <w:color w:val="auto"/>
        </w:rPr>
        <w:t>Nasdaq Global Select Market</w:t>
      </w:r>
    </w:p>
    <w:p>
      <w:pPr>
        <w:spacing w:after="0" w:line="9" w:lineRule="exact"/>
        <w:rPr>
          <w:sz w:val="24"/>
          <w:szCs w:val="24"/>
          <w:color w:val="auto"/>
        </w:rPr>
      </w:pPr>
    </w:p>
    <w:p>
      <w:pPr>
        <w:sectPr>
          <w:pgSz w:w="11900" w:h="16838" w:orient="portrait"/>
          <w:cols w:equalWidth="0" w:num="2">
            <w:col w:w="2692" w:space="720"/>
            <w:col w:w="7560"/>
          </w:cols>
          <w:pgMar w:left="328" w:top="1154" w:right="599" w:bottom="1440" w:gutter="0" w:footer="0" w:header="0"/>
          <w:type w:val="continuous"/>
        </w:sectPr>
      </w:pPr>
    </w:p>
    <w:p>
      <w:pPr>
        <w:ind w:left="932"/>
        <w:spacing w:after="0"/>
        <w:rPr>
          <w:sz w:val="20"/>
          <w:szCs w:val="20"/>
          <w:color w:val="auto"/>
        </w:rPr>
      </w:pPr>
      <w:r>
        <w:rPr>
          <w:rFonts w:ascii="Times New Roman" w:cs="Times New Roman" w:eastAsia="Times New Roman" w:hAnsi="Times New Roman"/>
          <w:sz w:val="18"/>
          <w:szCs w:val="18"/>
          <w:b w:val="1"/>
          <w:bCs w:val="1"/>
          <w:color w:val="auto"/>
        </w:rPr>
        <w:t>$0.01 par value per share</w:t>
      </w:r>
    </w:p>
    <w:p>
      <w:pPr>
        <w:spacing w:after="0" w:line="203"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ind w:left="5572" w:right="740" w:hanging="5084"/>
        <w:spacing w:after="0" w:line="353" w:lineRule="exact"/>
        <w:rPr>
          <w:sz w:val="20"/>
          <w:szCs w:val="20"/>
          <w:color w:val="auto"/>
        </w:rPr>
      </w:pPr>
      <w:r>
        <w:rPr>
          <w:rFonts w:ascii="Times New Roman" w:cs="Times New Roman" w:eastAsia="Times New Roman" w:hAnsi="Times New Roman"/>
          <w:sz w:val="18"/>
          <w:szCs w:val="18"/>
          <w:color w:val="auto"/>
        </w:rPr>
        <w:t>Indicate by checkmark if the registrant is a well-known seasoned issuer, as defined in Rule 405 of the Securities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2"/>
          </w:cols>
          <w:pgMar w:left="328" w:top="1154" w:right="599" w:bottom="1440" w:gutter="0" w:footer="0" w:header="0"/>
          <w:type w:val="continuous"/>
        </w:sectPr>
      </w:pPr>
    </w:p>
    <w:bookmarkStart w:id="1" w:name="page2"/>
    <w:bookmarkEnd w:id="1"/>
    <w:p>
      <w:pPr>
        <w:ind w:left="500"/>
        <w:spacing w:after="0" w:line="207" w:lineRule="exact"/>
        <w:tabs>
          <w:tab w:leader="none" w:pos="9220" w:val="left"/>
          <w:tab w:leader="none" w:pos="9900" w:val="left"/>
        </w:tabs>
        <w:rPr>
          <w:sz w:val="20"/>
          <w:szCs w:val="20"/>
          <w:color w:val="auto"/>
        </w:rPr>
      </w:pPr>
      <w:r>
        <w:rPr>
          <w:rFonts w:ascii="Times New Roman" w:cs="Times New Roman" w:eastAsia="Times New Roman" w:hAnsi="Times New Roman"/>
          <w:sz w:val="18"/>
          <w:szCs w:val="18"/>
          <w:color w:val="auto"/>
        </w:rPr>
        <w:t>Indicate by checkmark if the registrant is not required to file reports pursuant to Section 13 or Section 15(d)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500"/>
        <w:spacing w:after="0" w:line="207" w:lineRule="exact"/>
        <w:tabs>
          <w:tab w:leader="none" w:pos="8020" w:val="left"/>
          <w:tab w:leader="none" w:pos="8720" w:val="left"/>
        </w:tabs>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September 30, 2024, based on the closing price of the shares of Common Stock on the Nasdaq Global Select Market on that date ($23.60 per share) was $888.1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Number of shares outstanding of the registrant’s Common Stock, as of May 16, 2025 was 39,502,666.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for the annual meeting of stockholders scheduled to be held on July 25, 2025, to be filed with the Securities and Exchange Commission (the “SEC”), are incorporated by reference in answer 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gridSpan w:val="1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AMERICAN SUPERCONDUCTOR CORPORATION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0"/>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920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2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Unresolved Staff Comments</w:t>
            </w:r>
          </w:p>
        </w:tc>
        <w:tc>
          <w:tcPr>
            <w:tcW w:w="806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1C.</w:t>
            </w: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910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9380" w:type="dxa"/>
            <w:vAlign w:val="bottom"/>
            <w:gridSpan w:val="19"/>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20"/>
        </w:trPr>
        <w:tc>
          <w:tcPr>
            <w:tcW w:w="4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400" w:type="dxa"/>
            <w:vAlign w:val="bottom"/>
            <w:tcBorders>
              <w:top w:val="single" w:sz="8" w:color="0000EE"/>
            </w:tcBorders>
            <w:gridSpan w:val="19"/>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7A.</w:t>
            </w:r>
          </w:p>
        </w:tc>
        <w:tc>
          <w:tcPr>
            <w:tcW w:w="64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3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24"/>
                <w:szCs w:val="24"/>
                <w:color w:val="auto"/>
              </w:rPr>
            </w:pPr>
          </w:p>
        </w:tc>
        <w:tc>
          <w:tcPr>
            <w:tcW w:w="57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5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6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86</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9A.</w:t>
            </w: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83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87</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9B.</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20"/>
        </w:trPr>
        <w:tc>
          <w:tcPr>
            <w:tcW w:w="4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9C.</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33"/>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5"/>
          </w:tcPr>
          <w:p>
            <w:pPr>
              <w:spacing w:after="0"/>
              <w:rPr>
                <w:sz w:val="24"/>
                <w:szCs w:val="24"/>
                <w:color w:val="auto"/>
              </w:rPr>
            </w:pPr>
          </w:p>
        </w:tc>
        <w:tc>
          <w:tcPr>
            <w:tcW w:w="602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8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4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47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90</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5"/>
          </w:tcPr>
          <w:p>
            <w:pPr>
              <w:spacing w:after="0"/>
              <w:rPr>
                <w:sz w:val="24"/>
                <w:szCs w:val="24"/>
                <w:color w:val="auto"/>
              </w:rPr>
            </w:pPr>
          </w:p>
        </w:tc>
        <w:tc>
          <w:tcPr>
            <w:tcW w:w="696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90</w:t>
            </w:r>
          </w:p>
        </w:tc>
      </w:tr>
      <w:tr>
        <w:trPr>
          <w:trHeight w:val="453"/>
        </w:trPr>
        <w:tc>
          <w:tcPr>
            <w:tcW w:w="460" w:type="dxa"/>
            <w:vAlign w:val="bottom"/>
          </w:tcPr>
          <w:p>
            <w:pPr>
              <w:spacing w:after="0"/>
              <w:rPr>
                <w:sz w:val="24"/>
                <w:szCs w:val="24"/>
                <w:color w:val="auto"/>
              </w:rPr>
            </w:pPr>
          </w:p>
        </w:tc>
        <w:tc>
          <w:tcPr>
            <w:tcW w:w="5420" w:type="dxa"/>
            <w:vAlign w:val="bottom"/>
            <w:gridSpan w:val="17"/>
          </w:tcPr>
          <w:p>
            <w:pPr>
              <w:jc w:val="center"/>
              <w:ind w:left="4810"/>
              <w:spacing w:after="0"/>
              <w:rPr>
                <w:sz w:val="20"/>
                <w:szCs w:val="20"/>
                <w:color w:val="auto"/>
              </w:rPr>
            </w:pPr>
            <w:r>
              <w:rPr>
                <w:rFonts w:ascii="Times New Roman" w:cs="Times New Roman" w:eastAsia="Times New Roman" w:hAnsi="Times New Roman"/>
                <w:sz w:val="18"/>
                <w:szCs w:val="18"/>
                <w:color w:val="auto"/>
                <w:w w:val="88"/>
              </w:rPr>
              <w:t>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2882900</wp:posOffset>
            </wp:positionH>
            <wp:positionV relativeFrom="page">
              <wp:posOffset>448945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t>This Annual Report on Form 10-K contains forward-looking statements within the meaning of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our addressable markets, our competitive position, macroeconomic conditions and their anticipated effect on our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benefits of our acquisitions, financial results and financial condition, expectations for when our products become operational,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1. Item 1A of this Form 10-K for the fiscal year ended March 31, 2025,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American Superconductor®, Amperium®, AMSC®, D-VAR®, PowerModule™, D-VAR VVO®, PQ-IVR®, SeaTitan®, Gridtec™ Solutions, Windtec™ Solutions, Smarter, Cleaner...Better Energy™, orchestrate the rhythm and harmony of power on the grid™, actiVAR®, armorVAR™, NEPSI™, Neeltran® and SafetyLOCK™ are trademarks or registered trademarks of American Superconductor Corporation or our subsidiaries. We reserve all of our rights with respect to our trademarks or registered trademarks regardless of whether they are so designated in this Annual Report on Form 10-K by an ® or ™ symbol. All other brand names, product names, trademarks or service marks appearing in this Annual Report on Form 10-K are the property of their respective holders.</w:t>
      </w:r>
    </w:p>
    <w:p>
      <w:pPr>
        <w:spacing w:after="0" w:line="187" w:lineRule="exact"/>
        <w:rPr>
          <w:sz w:val="20"/>
          <w:szCs w:val="20"/>
          <w:color w:val="auto"/>
        </w:rPr>
      </w:pPr>
    </w:p>
    <w:p>
      <w:pPr>
        <w:ind w:left="160" w:firstLine="324"/>
        <w:spacing w:after="0" w:line="282" w:lineRule="auto"/>
        <w:rPr>
          <w:sz w:val="20"/>
          <w:szCs w:val="20"/>
          <w:color w:val="auto"/>
        </w:rPr>
      </w:pPr>
      <w:r>
        <w:rPr>
          <w:rFonts w:ascii="Times New Roman" w:cs="Times New Roman" w:eastAsia="Times New Roman" w:hAnsi="Times New Roman"/>
          <w:sz w:val="18"/>
          <w:szCs w:val="18"/>
          <w:color w:val="auto"/>
        </w:rPr>
        <w:t>The Company no longer qualifies as a smaller reporting company, but is relying on applicable exemptions from disclosure as a former smaller reporting company for the fiscal year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At AMSC, we believe that our creativity can meet today’s challenges and help us progress to a better future. That means using future-facing technologies to harmonize the world’s desire for sustainable progress with the need for more reliable, effective and efficient power delivery. Already, our transformative power solutions are moving the world forward.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 leading system provider of megawatt-scale power resiliency solutions that orchestrate the rhythm and harmony of power on the grid™, and protect and expand the capability of the Navy’s fleet. Our system level products leverage the Company’s proprietary “smart materials” and “smart software and controls” to provide enhanced resiliency and improved performance of megawatt-scale power flow.</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Right now, we are powering the evolution of a grid that is fit for the future: a more reliable and resilient grid built to support and incorporate a broad mix of energy sources. Our pioneering products, software and control solutions are creating more cost-effective and efficient ways to deliver power across a mix of energy sources to ensure a reliable grid that meets the rising demand of power and supports critical infrastructure. This exciting energy future also depends on computer chips, batteries and fuel cells that are built from silicon, lithium and carbon. All of these building blocks must be mined, processed and assembled. Industrial manufacturers of these essential materials as well as semiconductor manufacturers must be able to power their factories in ways that scale without adding complexity or size. Our voltage compensators, capacitors, transformers and rectifiers can power the energy-intensive factories of the future while reducing the risk of costly power interruptions that could hinder this journey to a better future.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What's more, in an age of increasing global tensions, we are helping to move U.S. Navy and Royal Canadian Navy ships into the future by installing protection systems that help them stay hidden from our enemies. We help protect and expand the capability of the Navies' surface fleet with advanced superconductor-based systems that provide superior performance advantages to the traditional methods of mine field protection. We see the nascent business serving the Navies as an extension of what we do with our Grid business – this ship is a microcosm of the grid. Our products help manage power with a purpose.</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power system solutions help to improve energy efficiency, alleviate power capacity and other constraints, improve system resiliency, and increase the adoption of renewable energy generation. Demand for our solutions is driven by: the growing needs for modernized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We estimate that the total annual addressable global market for our products and solutions is over $9 billion as of the fiscal year ended March 31, 2025.</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Company’s addressable market is driven by (i) the nearly $500 billion investment in renewables to update the aging grid for better support in the adoption of intermittent renewable power sources, (ii) the nearly $100 billion investment in the mining and processing of materials as well as the $160 billion investment in semiconductor capacity—both of which are driven by the electrification of transportation, the need to prioritize energy security and bolster domestic supply chains—and (iii) the over $30 billion investment by the U.S. federal government in U.S. military ship systems and capabilities to help ensure performance and security amid geopolitical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August 1, 2024, we entered into a Stock Purchase Agreement with the selling stockholders named therein. Pursuant to the terms of the Stock Purchase Agreement and concurrently with entering into such agreement, we acquired all of the issued and outstanding shares of Megatran Industries, Inc. Megatran is now a wholly-owned subsidiary of the Company. Megatran's, wholly-owned subsidiary, NWL, Inc., ("NWL") is a U.S.-based global producer of engineered power conversion solutions for demanding industrial and military applications. Megatran, together with NWL and its other wholly-owned subsidiaries and affiliates, is operated and reported as a component of its Grid business segment. We refer to this transaction as the "acquisition of NWL".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solutions that address four key drivers of our business:</w:t>
      </w:r>
    </w:p>
    <w:p>
      <w:pPr>
        <w:spacing w:after="0" w:line="206"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global demand for renewable and traditional energy;</w:t>
      </w:r>
    </w:p>
    <w:p>
      <w:pPr>
        <w:spacing w:after="0" w:line="111"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global demand for critical materials for the electrification of transportation and industrial modernization;</w:t>
      </w:r>
    </w:p>
    <w:p>
      <w:pPr>
        <w:spacing w:after="0" w:line="111"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global demand for semiconductors, driven by the electrification of everything; and</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electrification of Naval fleets to enhance capability.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all requires an electric grid that is fit for the future.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Global Demand for Renewables: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design wind turbines and provide electrical control systems for inside the turbine that control the wind turbine’s voltage, current, frequency, pitch and yaw. At the substation level, we provide interconnection solutions that allow wind farms to meet utility’s grid code requirements for voltage, power factor and dynamic performance of the plant during unforeseen system disturbances, by utilizing our dynamic voltage management solutions as well as our static voltage management solutions and harmonic filters. We provide field service and spare parts to our global installed base of over 18 Gigawatts ("GW").</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Global Demand for Critical Materials for the Electrification of Transportation and Industrial Modernization:</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provide transformation, rectification, voltage management and harmonic filtering systems at the substation level that manage input power from the grid and control power for the operation of large-scale industrial equipment such as furnaces, chemical plants, or semiconductor fabrication plants. Our capabilities to control and convert power help ensure continuous flow of stable high-quality power for our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Global Demand for Semiconductors: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provide sag mitigation systems, which are a substation level power conditioning system. These systems protect and isolate the factory’s critical processes from power system events that could otherwise trip these sensitive processes causing severe disruptions and loss of a customer’s manufactured products. These systems monitor the semiconductor fabrication plant’s incoming electric supply very closely and react in sub-cycle time frames to mitigate voltage sags and swells to provide a conditioned power to the processes. These sag mitigation systems can include both our dynamic and static voltage management as well as our harmonic filter solutions which are specifically designed to improve the facility's overall power factor and harmonic compliance needs.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8"/>
          <w:szCs w:val="18"/>
          <w:color w:val="auto"/>
        </w:rPr>
        <w:t>The Electrification of the Navy Fleet:</w:t>
      </w:r>
    </w:p>
    <w:p>
      <w:pPr>
        <w:spacing w:after="0" w:line="22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provide advanced ship protection systems, that are designed to help fleets increase system efficiencies, enhance warfare capabilities, and boost reliability, performance, and security. We are developing additional solutions for this important market which may include power management and power generation similar to what we do for electric grids.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power system products address the renewable power generation and electrical grid and power infrastructure markets:</w:t>
      </w:r>
    </w:p>
    <w:p>
      <w:pPr>
        <w:spacing w:after="0" w:line="223" w:lineRule="exact"/>
        <w:rPr>
          <w:sz w:val="20"/>
          <w:szCs w:val="20"/>
          <w:color w:val="auto"/>
        </w:rPr>
      </w:pPr>
    </w:p>
    <w:p>
      <w:pPr>
        <w:jc w:val="both"/>
        <w:ind w:left="820" w:hanging="326"/>
        <w:spacing w:after="0" w:line="243"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Transmission grid. </w:t>
      </w:r>
      <w:r>
        <w:rPr>
          <w:rFonts w:ascii="Times New Roman" w:cs="Times New Roman" w:eastAsia="Times New Roman" w:hAnsi="Times New Roman"/>
          <w:sz w:val="18"/>
          <w:szCs w:val="18"/>
          <w:color w:val="auto"/>
        </w:rPr>
        <w:t>We provide complete systems that enable electric utilities and renewable energy project developers to connect and transmit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with exceptional efficiency, reliability, security and affordability. We provide planning services that allow us to identify power grid congestion, poor power quality, and other risks, which help us determine how our solutions can improve network performance. These services often lead to sales of our grid interconnection solutions and power quality systems for wind farms and solar power plants.</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Distribution grid. </w:t>
      </w:r>
      <w:r>
        <w:rPr>
          <w:rFonts w:ascii="Times New Roman" w:cs="Times New Roman" w:eastAsia="Times New Roman" w:hAnsi="Times New Roman"/>
          <w:sz w:val="18"/>
          <w:szCs w:val="18"/>
          <w:color w:val="auto"/>
        </w:rPr>
        <w:t>We provide a direct-connect power quality system that is installed on the primary distribution network in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parks, or wherever enhanced power quality is beneficial and is designed to increase the reliability and resiliency of the distribution grid to serve the needs of modern energy consumers. Our systems save utilities time and money by avoiding costly options to strengthen the distribution grid. Our offerings also serve industrial customers looking to power the energy-intensive factories of the future without the risk of costly power interruptions. These industrial customers utilize our voltage compensators, capacitors, harmonic filters, transformers and rectifiers.</w:t>
      </w:r>
    </w:p>
    <w:p>
      <w:pPr>
        <w:spacing w:after="0" w:line="98" w:lineRule="exact"/>
        <w:rPr>
          <w:rFonts w:ascii="Times New Roman" w:cs="Times New Roman" w:eastAsia="Times New Roman" w:hAnsi="Times New Roman"/>
          <w:sz w:val="22"/>
          <w:szCs w:val="22"/>
          <w:color w:val="auto"/>
        </w:rPr>
      </w:pPr>
    </w:p>
    <w:p>
      <w:pPr>
        <w:jc w:val="both"/>
        <w:ind w:left="820" w:hanging="326"/>
        <w:spacing w:after="0" w:line="246"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Urban Grid Infrastructure. </w:t>
      </w:r>
      <w:r>
        <w:rPr>
          <w:rFonts w:ascii="Times New Roman" w:cs="Times New Roman" w:eastAsia="Times New Roman" w:hAnsi="Times New Roman"/>
          <w:sz w:val="18"/>
          <w:szCs w:val="18"/>
          <w:color w:val="auto"/>
        </w:rPr>
        <w:t>We design systems to increase the reliability, security and capacity of the urban grid infrastructure. Today,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urban substations are not networked and can only power a small section of a city. Our power dense technology based on proprietary smart materials allows for the inter-connection of substations, controlling the high fault currents that naturally result from such interconnections. If one substation is compromised, other substations help increase capacity and reliability. Our system allows instantaneous power outage recovery, potentially doubling to quadrupling a city’s reliability and resiliency while minimizing grid investment. We design systems that leverage existing grid assets while protecting cities against storms, outages, and cyber- and physical attacks.</w:t>
      </w:r>
    </w:p>
    <w:p>
      <w:pPr>
        <w:spacing w:after="0" w:line="97"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Marine protection systems</w:t>
      </w:r>
      <w:r>
        <w:rPr>
          <w:rFonts w:ascii="Times New Roman" w:cs="Times New Roman" w:eastAsia="Times New Roman" w:hAnsi="Times New Roman"/>
          <w:sz w:val="18"/>
          <w:szCs w:val="18"/>
          <w:color w:val="auto"/>
        </w:rPr>
        <w:t>. We sell advanced degaussing systems to the U.S. Navy and the Royal Canadian Navy. Degaussing systems reduce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naval ship's magnetic signature, making it much more difficult for a mine to detect and damage a ship. Our degaussing system is comprised of much smaller, lighter and higher performing HTS cable coils eliminating an estimated 50-80% of the system weight and reducing overall energy consumption versus copper-based degaussing systems.</w:t>
      </w:r>
    </w:p>
    <w:p>
      <w:pPr>
        <w:spacing w:after="0" w:line="100" w:lineRule="exact"/>
        <w:rPr>
          <w:rFonts w:ascii="Times New Roman" w:cs="Times New Roman" w:eastAsia="Times New Roman" w:hAnsi="Times New Roman"/>
          <w:sz w:val="22"/>
          <w:szCs w:val="22"/>
          <w:color w:val="auto"/>
        </w:rPr>
      </w:pPr>
    </w:p>
    <w:p>
      <w:pPr>
        <w:ind w:left="820" w:hanging="326"/>
        <w:spacing w:after="0" w:line="236"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Solar Power. </w:t>
      </w:r>
      <w:r>
        <w:rPr>
          <w:rFonts w:ascii="Times New Roman" w:cs="Times New Roman" w:eastAsia="Times New Roman" w:hAnsi="Times New Roman"/>
          <w:sz w:val="18"/>
          <w:szCs w:val="18"/>
          <w:color w:val="auto"/>
        </w:rPr>
        <w:t>Our solutions enable the grid to handle more distributed generation in the form of rooftop solar. Our products are designed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existing grid to handle more renewable capacity.</w:t>
      </w:r>
    </w:p>
    <w:p>
      <w:pPr>
        <w:spacing w:after="0" w:line="101"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Wind Power. </w:t>
      </w:r>
      <w:r>
        <w:rPr>
          <w:rFonts w:ascii="Times New Roman" w:cs="Times New Roman" w:eastAsia="Times New Roman" w:hAnsi="Times New Roman"/>
          <w:sz w:val="18"/>
          <w:szCs w:val="18"/>
          <w:color w:val="auto"/>
        </w:rPr>
        <w:t>Our solutions enable manufacturers to field wind turbines with exceptional power output, reliability, and affordability. We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9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beginning on April 1 of that same year. For example, fiscal 2024 refers to the fiscal year that began on April 1, 2024. Other fiscal years follow similarly.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execute on our growth plans in the markets we serve.</w:t>
      </w:r>
    </w:p>
    <w:p>
      <w:pPr>
        <w:spacing w:after="0" w:line="223" w:lineRule="exact"/>
        <w:rPr>
          <w:sz w:val="20"/>
          <w:szCs w:val="20"/>
          <w:color w:val="auto"/>
        </w:rPr>
      </w:pPr>
    </w:p>
    <w:p>
      <w:pPr>
        <w:jc w:val="both"/>
        <w:ind w:left="820" w:hanging="326"/>
        <w:spacing w:after="0" w:line="248"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Differentiated technologies. </w:t>
      </w:r>
      <w:r>
        <w:rPr>
          <w:rFonts w:ascii="Times New Roman" w:cs="Times New Roman" w:eastAsia="Times New Roman" w:hAnsi="Times New Roman"/>
          <w:sz w:val="18"/>
          <w:szCs w:val="18"/>
          <w:color w:val="auto"/>
        </w:rPr>
        <w:t>Our products leverage the Company’s proprietary smart materials and smart software and controls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resiliency and improved performance of megawatt-scale power flow. Conventional conductors of electricity, such as aluminum and copper wire, lose energy due to resistance. Using a compound of yttrium barium copper oxide (“YBCO”), we manufacture and provide high-temperature superconductor ("HTS") wire that can conduct many times more electricity than conventional conductors with minimal power loss.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Our PowerModule™ power converters are based on proprietary software and hardware combinations and are used in a broad array of applications, including our D-VAR® grid interconnection and voltage control systems, as well as our wind turbine electrical control systems. Our unique proprietary cooler technology enables our ship protection systems ("SPS") to perform in harsh environmental conditions in a quiet and efficient manner.</w:t>
      </w:r>
    </w:p>
    <w:p>
      <w:pPr>
        <w:spacing w:after="0" w:line="95"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Turnkey systems. </w:t>
      </w:r>
      <w:r>
        <w:rPr>
          <w:rFonts w:ascii="Times New Roman" w:cs="Times New Roman" w:eastAsia="Times New Roman" w:hAnsi="Times New Roman"/>
          <w:sz w:val="18"/>
          <w:szCs w:val="18"/>
          <w:color w:val="auto"/>
        </w:rPr>
        <w:t>We have developed full system solutions that we sell directly to customers. This business model leverages our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drives value beyond our power electronic and our superconductor-based products, and enables us to recognize revenue and take ownership over the marketing and sales of the full systems. Industrial manufacturers of these essential materials must be able to power their factories in ways that scale without adding complexity or size.</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Scalable, low-cost manufacturing platform. </w:t>
      </w:r>
      <w:r>
        <w:rPr>
          <w:rFonts w:ascii="Times New Roman" w:cs="Times New Roman" w:eastAsia="Times New Roman" w:hAnsi="Times New Roman"/>
          <w:sz w:val="18"/>
          <w:szCs w:val="18"/>
          <w:color w:val="auto"/>
        </w:rPr>
        <w:t>Our manufacturing of proprietary wind turbine electrical control systems and power electronics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primarily assembly operations with minimal fixed costs. We can increase the production of these products at costs that we believe are low relative to our competitors. Our proprietary manufacturing technique for Amperium superconductor wire is modular in nature, which allows us to expand manufacturing capacity at a relatively low incremental cost and differentiate ourselves from solutions assembled in the field.</w:t>
      </w:r>
    </w:p>
    <w:p>
      <w:pPr>
        <w:spacing w:after="0" w:line="98" w:lineRule="exact"/>
        <w:rPr>
          <w:rFonts w:ascii="Times New Roman" w:cs="Times New Roman" w:eastAsia="Times New Roman" w:hAnsi="Times New Roman"/>
          <w:sz w:val="22"/>
          <w:szCs w:val="22"/>
          <w:color w:val="auto"/>
        </w:rPr>
      </w:pPr>
    </w:p>
    <w:p>
      <w:pPr>
        <w:jc w:val="both"/>
        <w:ind w:left="820" w:hanging="326"/>
        <w:spacing w:after="0"/>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Robust patent position and engineering expertise. </w:t>
      </w:r>
      <w:r>
        <w:rPr>
          <w:rFonts w:ascii="Times New Roman" w:cs="Times New Roman" w:eastAsia="Times New Roman" w:hAnsi="Times New Roman"/>
          <w:sz w:val="18"/>
          <w:szCs w:val="18"/>
          <w:color w:val="auto"/>
        </w:rPr>
        <w:t>We have a robust portfolio of awarded patents and patent applications worldwide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through exclusive and non-exclusive licenses to additional patents and patent applications worldwide. We believe our technology and manufacturing knowledge base, customer and product expertise and patent portfolio provide a strong competitive position.</w:t>
      </w:r>
    </w:p>
    <w:p>
      <w:pPr>
        <w:spacing w:after="0" w:line="102" w:lineRule="exact"/>
        <w:rPr>
          <w:rFonts w:ascii="Times New Roman" w:cs="Times New Roman" w:eastAsia="Times New Roman" w:hAnsi="Times New Roman"/>
          <w:sz w:val="22"/>
          <w:szCs w:val="22"/>
          <w:color w:val="auto"/>
        </w:rPr>
      </w:pPr>
    </w:p>
    <w:p>
      <w:pPr>
        <w:jc w:val="both"/>
        <w:ind w:left="820" w:hanging="326"/>
        <w:spacing w:after="0" w:line="258"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Unique solutions for the markets we serve. </w:t>
      </w:r>
      <w:r>
        <w:rPr>
          <w:rFonts w:ascii="Times New Roman" w:cs="Times New Roman" w:eastAsia="Times New Roman" w:hAnsi="Times New Roman"/>
          <w:sz w:val="18"/>
          <w:szCs w:val="18"/>
          <w:color w:val="auto"/>
        </w:rPr>
        <w:t>We believe we provide wind turbine manufacturers with a unique and integrated approach for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distribution systems for power grid operators. This unique scope of supply provides us with greater insight into our customers’ evolving needs and greater cross-selling opportunities.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Building on these competitive strengths, we plan to focus on driving revenue growth and enhancing our operating results through the objectives defined below.</w:t>
      </w:r>
    </w:p>
    <w:p>
      <w:pPr>
        <w:spacing w:after="0" w:line="160" w:lineRule="exact"/>
        <w:rPr>
          <w:sz w:val="20"/>
          <w:szCs w:val="20"/>
          <w:color w:val="auto"/>
        </w:rPr>
      </w:pPr>
    </w:p>
    <w:p>
      <w:pPr>
        <w:ind w:left="820" w:hanging="326"/>
        <w:spacing w:after="0" w:line="23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Provide solutions from power generation to delivery. </w:t>
      </w:r>
      <w:r>
        <w:rPr>
          <w:rFonts w:ascii="Times New Roman" w:cs="Times New Roman" w:eastAsia="Times New Roman" w:hAnsi="Times New Roman"/>
          <w:sz w:val="18"/>
          <w:szCs w:val="18"/>
          <w:color w:val="auto"/>
        </w:rPr>
        <w:t>From the generation source to the distribution system, we focus on providing best-in-class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support services, technologies and solutions that make the world’s power supplies smarter, cleaner and more resilient.</w:t>
      </w:r>
    </w:p>
    <w:p>
      <w:pPr>
        <w:spacing w:after="0" w:line="101" w:lineRule="exact"/>
        <w:rPr>
          <w:rFonts w:ascii="Times New Roman" w:cs="Times New Roman" w:eastAsia="Times New Roman" w:hAnsi="Times New Roman"/>
          <w:sz w:val="22"/>
          <w:szCs w:val="22"/>
          <w:color w:val="auto"/>
        </w:rPr>
      </w:pPr>
    </w:p>
    <w:p>
      <w:pPr>
        <w:jc w:val="both"/>
        <w:ind w:left="820" w:hanging="326"/>
        <w:spacing w:after="0"/>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Focus on “megawatt-scale” power offerings. </w:t>
      </w:r>
      <w:r>
        <w:rPr>
          <w:rFonts w:ascii="Times New Roman" w:cs="Times New Roman" w:eastAsia="Times New Roman" w:hAnsi="Times New Roman"/>
          <w:sz w:val="18"/>
          <w:szCs w:val="18"/>
          <w:color w:val="auto"/>
        </w:rPr>
        <w:t>Our research, product development, and sales efforts focus on megawatt-scale offerings ranging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designs of power electronics for large wind turbine platforms to systems that stabilize power flows, integrate renewable power into the grid and carry power to and from transmission and distribution substations.</w:t>
      </w:r>
    </w:p>
    <w:p>
      <w:pPr>
        <w:spacing w:after="0" w:line="102"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Product innovation. </w:t>
      </w:r>
      <w:r>
        <w:rPr>
          <w:rFonts w:ascii="Times New Roman" w:cs="Times New Roman" w:eastAsia="Times New Roman" w:hAnsi="Times New Roman"/>
          <w:sz w:val="18"/>
          <w:szCs w:val="18"/>
          <w:color w:val="auto"/>
        </w:rPr>
        <w:t>We have a strong record of developing unique solutions for megawatt-scale power applications and intend to continue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on investing in innovation. Recently, our product development efforts have included our Resilient Electric Grid ("REG") system for the transmission electricity grid, SPS for the U.S. Navy and the Royal Canadian Navy, and D-VAR Volt Var Optimization (“VVO”) for the distribution electricity grid.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left="820" w:right="200" w:hanging="326"/>
        <w:spacing w:after="0" w:line="284"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resiliency and protection capabilities. </w:t>
      </w:r>
      <w:r>
        <w:rPr>
          <w:rFonts w:ascii="Times New Roman" w:cs="Times New Roman" w:eastAsia="Times New Roman" w:hAnsi="Times New Roman"/>
          <w:sz w:val="18"/>
          <w:szCs w:val="18"/>
          <w:color w:val="auto"/>
        </w:rPr>
        <w:t>Our products provide resiliency and protection capabilities that support an evolving power grid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protect the navy fleet from rising global threats.</w:t>
      </w:r>
    </w:p>
    <w:p>
      <w:pPr>
        <w:spacing w:after="0" w:line="63"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Pursue Emerging Overseas Markets and Serve Key Markets Locally. </w:t>
      </w:r>
      <w:r>
        <w:rPr>
          <w:rFonts w:ascii="Times New Roman" w:cs="Times New Roman" w:eastAsia="Times New Roman" w:hAnsi="Times New Roman"/>
          <w:sz w:val="18"/>
          <w:szCs w:val="18"/>
          <w:color w:val="auto"/>
        </w:rPr>
        <w:t>We focus our sales efforts on overseas markets that are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aggressively in renewable energy and power grid projects.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Canada, Chile, France, India, Japan, Mexico, New Zealand, Singapore, South Africa, South Korea, Taiwan, the United Kingdom, and the United States.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Grid market overview</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Modernizing the global electric grid is widely recognized as essential to maintaining reliability and meeting emerging challenges. These include the increasing frequency of severe weather events, physical and cybersecurity threats, the rapid expansion of renewable energy—both utility-scale and distributed—and the rise of new customer load types. As electric distribution networks become more complex with the integration of distributed energy resources, automation, and bidirectional power flows, there is a critical need for more accurate, dynamic, and resilient grid systems. Additionally, the rapid growth of data centers, projected to more than double global electricity demand by 2026, presents additional grid planning challenges. Available data further indicate that the existing U.S. electrical grid has been stressed by U.S. wind power generation increasing from 6 GW in 2003 to more than 156 GW in 2024, and photovoltaics ("PV") power generation increasing from almost zero in 2003 to approximately 223 GW as of the end of 2024.</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electric grid is under increasing strain due to a combination of factors: the aging infrastructure, with 70% of transmission lines over 25 years old, the surge in electricity demand driven by data centers, artificial intelligence, and the electrification of transportation, and the rising frequency of extreme weather events exacerbated by climate change. These challenges are compounded by delays in connecting new renewable energy sources to the grid, threatening the stability and reliability of the nation's power supply. These factors, along with the essential role the grid plays in economic resilience, public safety, and national security, have prompted widespread recognition of the urgent need to modernize and fortify the reliability, flexibility, and security of the electric grid.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Trump administration’s energy policy—focused on boosting domestic energy production, revitalizing U.S. manufacturing, and strengthening military readiness—presents potential opportunities for AMSC’s power systems and naval solutions. The push for traditional power production is fueling industrial growth, which in turn increases demand for a high-performing power grid. This shift has major implications for power quality, capacity and reliability, especially as an aging infrastructure is pushed to meet new demands from energy-intensive sectors like artificial intelligence, cloud computing, and semiconductor manufacturing.</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April 2025, the administration issued an executive order titled "Strengthening the Reliability and Security of the United States Electric Grid," invoking emergency authority to address increasing electricity demand and capacity constraints. This directive empowers the Department of Energy ("DOE") to utilize all available power generation resources to ensure the reliable delivery of electricity, especially in response to the growth of technology-driven sectors. Our Grid product solutions, including capacitor banks, harmonic filters, and STATCOMs, are well-positioned to support power quality in energy-intensive industries such as artificial intelligence, data centers, steel, automotive, chemicals, and semiconductors, among others.</w:t>
      </w:r>
    </w:p>
    <w:p>
      <w:pPr>
        <w:spacing w:after="0" w:line="183"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At the same time, the administration's focus on revitalizing U.S. manufacturing is expected to increase advanced manufacturing in the United States. Our Grid products are designed to ensure uptime, maximize throughput, and enhance power quality in distribution networks affected by industrial loads. We are well positioned to help power facilities in ways that scale without adding complexity or size and see this as a potentially favorable opportunity.</w:t>
      </w:r>
    </w:p>
    <w:p>
      <w:pPr>
        <w:spacing w:after="0" w:line="40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administration’s focus on revitalizing the defense sector and maintaining a world-class Navy further amplifies demand for reliable power supplies in military applications and mission-critical solutions. AMSC’s transformers and power supplies for motor drives are actively supporting the rigorous requirements of critical military infrastructure and equipping the U.S. naval fleet with technologies that enhance performance and protection— enhancing operational readiness both domestically and globally.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we are well positioned to seize the numerous opportunities presented by these policies.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8"/>
          <w:szCs w:val="18"/>
          <w:color w:val="auto"/>
        </w:rPr>
        <w:t>Power grid operators worldwide face various challenges, including:</w:t>
      </w:r>
    </w:p>
    <w:p>
      <w:pPr>
        <w:spacing w:after="0" w:line="223" w:lineRule="exact"/>
        <w:rPr>
          <w:sz w:val="20"/>
          <w:szCs w:val="20"/>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Resiliency. </w:t>
      </w:r>
      <w:r>
        <w:rPr>
          <w:rFonts w:ascii="Times New Roman" w:cs="Times New Roman" w:eastAsia="Times New Roman" w:hAnsi="Times New Roman"/>
          <w:sz w:val="18"/>
          <w:szCs w:val="18"/>
          <w:color w:val="auto"/>
        </w:rPr>
        <w:t>As our electricity mix changes with the proliferation of renewables and distributed generation, so does the need to strengthen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grid. New technologies such as the addition of electric vehicles on U.S. roads and urbanization create new challenges for power grid operators.</w:t>
      </w:r>
    </w:p>
    <w:p>
      <w:pPr>
        <w:spacing w:after="0" w:line="78" w:lineRule="exact"/>
        <w:rPr>
          <w:rFonts w:ascii="Times New Roman" w:cs="Times New Roman" w:eastAsia="Times New Roman" w:hAnsi="Times New Roman"/>
          <w:sz w:val="18"/>
          <w:szCs w:val="18"/>
          <w:color w:val="auto"/>
        </w:rPr>
      </w:pPr>
    </w:p>
    <w:p>
      <w:pPr>
        <w:ind w:left="82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Stability</w:t>
      </w:r>
      <w:r>
        <w:rPr>
          <w:rFonts w:ascii="Times New Roman" w:cs="Times New Roman" w:eastAsia="Times New Roman" w:hAnsi="Times New Roman"/>
          <w:sz w:val="18"/>
          <w:szCs w:val="18"/>
          <w:color w:val="auto"/>
        </w:rPr>
        <w:t>. Power grid operators are confronting power quality and stability issues arising from intermittent renewable energy sources 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capacity limitations of transmission and overhead distribution lines and underground cables.</w:t>
      </w:r>
    </w:p>
    <w:p>
      <w:pPr>
        <w:spacing w:after="0" w:line="6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Reliability</w:t>
      </w:r>
      <w:r>
        <w:rPr>
          <w:rFonts w:ascii="Times New Roman" w:cs="Times New Roman" w:eastAsia="Times New Roman" w:hAnsi="Times New Roman"/>
          <w:sz w:val="18"/>
          <w:szCs w:val="18"/>
          <w:color w:val="auto"/>
        </w:rPr>
        <w:t>. Traditional transmission lines and cables often reach their reliable voltage stability limit well below their thermal threshold.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78"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Capacity</w:t>
      </w:r>
      <w:r>
        <w:rPr>
          <w:rFonts w:ascii="Times New Roman" w:cs="Times New Roman" w:eastAsia="Times New Roman" w:hAnsi="Times New Roman"/>
          <w:sz w:val="18"/>
          <w:szCs w:val="18"/>
          <w:color w:val="auto"/>
        </w:rPr>
        <w:t>. The traditional way to enable increases in power grid capacity without losing voltage stability is to install more overhead power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87"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Efficiency</w:t>
      </w:r>
      <w:r>
        <w:rPr>
          <w:rFonts w:ascii="Times New Roman" w:cs="Times New Roman" w:eastAsia="Times New Roman" w:hAnsi="Times New Roman"/>
          <w:sz w:val="18"/>
          <w:szCs w:val="18"/>
          <w:color w:val="auto"/>
        </w:rPr>
        <w:t>. Most overhead lines and underground cables use traditional conductors such as copper and aluminum, which lose power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electrical resistance. At transmission voltage, electrical losses average about 7% in the United States and other developed nations, but can exceed 20% in some locations due to the distance of the line, quality of the conductor, and the power grid’s architecture and characteristics, among other factors.</w:t>
      </w:r>
    </w:p>
    <w:p>
      <w:pPr>
        <w:spacing w:after="0" w:line="85"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Catastrophic equipment failures caused by aging equipment, physical and cyber events, and weather-related disasters can leave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of an urban environment without power for hours or days. It can be difficult to recover from extended power outages in urban load centers, worsening situations where the personal safety of residents and the economic health of businesses are threatened.</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power quality and grid infrastructure market</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address these challenges in the grid market by providing services and solutions designed to increase the power grid’s capacity, resiliency, reliability, security and efficiency. Our solutions orchestrate the rhythm of power on the grid. Our solutions include:</w:t>
      </w:r>
    </w:p>
    <w:p>
      <w:pPr>
        <w:spacing w:after="0" w:line="160" w:lineRule="exact"/>
        <w:rPr>
          <w:sz w:val="20"/>
          <w:szCs w:val="20"/>
          <w:color w:val="auto"/>
        </w:rPr>
      </w:pPr>
    </w:p>
    <w:p>
      <w:pPr>
        <w:jc w:val="both"/>
        <w:ind w:left="820" w:hanging="326"/>
        <w:spacing w:after="0" w:line="254"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D-VAR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Systems</w:t>
      </w:r>
      <w:r>
        <w:rPr>
          <w:rFonts w:ascii="Times New Roman" w:cs="Times New Roman" w:eastAsia="Times New Roman" w:hAnsi="Times New Roman"/>
          <w:sz w:val="18"/>
          <w:szCs w:val="18"/>
          <w:color w:val="auto"/>
        </w:rPr>
        <w:t>. Our D-VAR system consists of power electronics and other static components used for controlling power flow and voltage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 transmission system. Our D-VAR system aims to increase controllability and power transferability of a network, which allows more effective utilization of existing assets, and reduces the need for new transmission lines and facilities to increase electricity availability. The power that flows through AC networks comprises both real power, measured in watts, and reactive 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Our D-VAR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and power quality systems for utilities and heavy industrial operations.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left="326" w:hanging="326"/>
        <w:spacing w:after="0" w:line="254" w:lineRule="auto"/>
        <w:tabs>
          <w:tab w:leader="none" w:pos="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actiVAR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Systems</w:t>
      </w:r>
      <w:r>
        <w:rPr>
          <w:rFonts w:ascii="Times New Roman" w:cs="Times New Roman" w:eastAsia="Times New Roman" w:hAnsi="Times New Roman"/>
          <w:sz w:val="18"/>
          <w:szCs w:val="18"/>
          <w:color w:val="auto"/>
        </w:rPr>
        <w:t>. Our actiVAR system is a fast-switching medium-voltage reactive compensation solution that utilizes passive, fast-switching,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transient-free switching devices. The actiVAR mitigates voltage sags and reduces large inrush currents associated with starting large medium-voltage motors across-the-line. Large motors require significant amounts of reactive power to start. The flow of VARs across the power system network results in voltage sags which cause power quality issues to nearby utility customers, as well as a reduction in the motors ability to start. Traditional solutions to solve these problems utilize complex and costly adjustable speed drives and synchronous transfer switchgear solutions. The actiVAR replaces these items at a fraction of the cost. The solution is prevalent in the pump and compressors stations utilized in industrial trades. Our actiVAR sales process begins with the engineering and procurement companies during feasibility studies. We identify viable projects for this solution and assist with performance and rating calculations, which eventually lead to the adaption and purchase of the actiVAR solution.</w:t>
      </w:r>
    </w:p>
    <w:p>
      <w:pPr>
        <w:spacing w:after="0" w:line="93" w:lineRule="exact"/>
        <w:rPr>
          <w:rFonts w:ascii="Times New Roman" w:cs="Times New Roman" w:eastAsia="Times New Roman" w:hAnsi="Times New Roman"/>
          <w:sz w:val="18"/>
          <w:szCs w:val="18"/>
          <w:color w:val="auto"/>
        </w:rPr>
      </w:pPr>
    </w:p>
    <w:p>
      <w:pPr>
        <w:jc w:val="both"/>
        <w:ind w:left="326" w:hanging="326"/>
        <w:spacing w:after="0" w:line="257" w:lineRule="auto"/>
        <w:tabs>
          <w:tab w:leader="none" w:pos="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armorVAR™ Systems</w:t>
      </w:r>
      <w:r>
        <w:rPr>
          <w:rFonts w:ascii="Times New Roman" w:cs="Times New Roman" w:eastAsia="Times New Roman" w:hAnsi="Times New Roman"/>
          <w:sz w:val="18"/>
          <w:szCs w:val="18"/>
          <w:color w:val="auto"/>
        </w:rPr>
        <w:t>. Our armorVAR system consists of conventionally switched medium-voltage metal-enclosed capacitor banks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harmonic filter banks. These systems are installed for reactive compensation, power factor correction, loss reduction, utility bill savings, and mitigation of common power quality concerns related to power converter-based generation and load devices. They are utilized in all industries including renewables, industrial, utility, commercial, mining, and petro-chemical industries. Our armorVAR systems also support the base VAR requirements of renewable power plants and can include fully integrated D-VAR and D-VAR VVO® solutions to form more advanced hybrid solutions that are more economical and easier to install.</w:t>
      </w:r>
    </w:p>
    <w:p>
      <w:pPr>
        <w:spacing w:after="0" w:line="87" w:lineRule="exact"/>
        <w:rPr>
          <w:rFonts w:ascii="Times New Roman" w:cs="Times New Roman" w:eastAsia="Times New Roman" w:hAnsi="Times New Roman"/>
          <w:sz w:val="18"/>
          <w:szCs w:val="18"/>
          <w:color w:val="auto"/>
        </w:rPr>
      </w:pPr>
    </w:p>
    <w:p>
      <w:pPr>
        <w:jc w:val="both"/>
        <w:ind w:left="326" w:hanging="326"/>
        <w:spacing w:after="0" w:line="257" w:lineRule="auto"/>
        <w:tabs>
          <w:tab w:leader="none" w:pos="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Transformers and DC Rectifiers. </w:t>
      </w:r>
      <w:r>
        <w:rPr>
          <w:rFonts w:ascii="Times New Roman" w:cs="Times New Roman" w:eastAsia="Times New Roman" w:hAnsi="Times New Roman"/>
          <w:sz w:val="18"/>
          <w:szCs w:val="18"/>
          <w:color w:val="auto"/>
        </w:rPr>
        <w:t>Our custom transformers and rectifiers combine to form power electronic systems which consists of heavy-duty industrial rectifier transformers and direct current (DC) rectifiers. These systems are installed to produce DC power for electrolytic, furnace, and special processes. They are utilized in all industries including renewables, industrial, chemical, mining, and petro-chemical industries. Our power electronic systems also support renewable wind/solar power plants and can include fully integrated D-VAR, D-VAR VVO, actiVAR®, and armorVAR™ solutions that are more economical and easier to install to form a complete power solution engineered to the client's specification.</w:t>
      </w:r>
    </w:p>
    <w:p>
      <w:pPr>
        <w:spacing w:after="0" w:line="87" w:lineRule="exact"/>
        <w:rPr>
          <w:rFonts w:ascii="Times New Roman" w:cs="Times New Roman" w:eastAsia="Times New Roman" w:hAnsi="Times New Roman"/>
          <w:sz w:val="18"/>
          <w:szCs w:val="18"/>
          <w:color w:val="auto"/>
        </w:rPr>
      </w:pPr>
    </w:p>
    <w:p>
      <w:pPr>
        <w:jc w:val="both"/>
        <w:ind w:left="326" w:hanging="326"/>
        <w:spacing w:after="0" w:line="255" w:lineRule="auto"/>
        <w:tabs>
          <w:tab w:leader="none" w:pos="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D-VAR VVO®. </w:t>
      </w:r>
      <w:r>
        <w:rPr>
          <w:rFonts w:ascii="Times New Roman" w:cs="Times New Roman" w:eastAsia="Times New Roman" w:hAnsi="Times New Roman"/>
          <w:sz w:val="18"/>
          <w:szCs w:val="18"/>
          <w:color w:val="auto"/>
        </w:rPr>
        <w:t>Our D-VAR VVO serves the distribution power grid market. VVO is designed to be a direct-connect 15 kilovolt class reactive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system for a utility's distribution network to optimally control voltage as distribution networks are increasingly impacted by distributed generation, such as roof top and community solar, and to correct disturbances caused by heavy transient loads. We believe VVO has the potential to save utilities time and money by avoiding costly options to increase the reliability and resiliency of the distribution grid and to allow utilities to build a “plug 'n play” network to serve the demands of modern energy consumers. Our VVO target markets are electric distribution grids incorporating distributed generation, including where utility grid modernization attributes such as the following are applicable: mandated efficiency upgrades, mass adoption of rooftop solar, community solar, utility-owned micro-grids, variable load conditions on the distribution grid and voltage regulations alternatives.</w:t>
      </w:r>
    </w:p>
    <w:p>
      <w:pPr>
        <w:spacing w:after="0" w:line="90" w:lineRule="exact"/>
        <w:rPr>
          <w:rFonts w:ascii="Times New Roman" w:cs="Times New Roman" w:eastAsia="Times New Roman" w:hAnsi="Times New Roman"/>
          <w:sz w:val="18"/>
          <w:szCs w:val="18"/>
          <w:color w:val="auto"/>
        </w:rPr>
      </w:pPr>
    </w:p>
    <w:p>
      <w:pPr>
        <w:jc w:val="both"/>
        <w:ind w:left="326" w:hanging="326"/>
        <w:spacing w:after="0" w:line="258" w:lineRule="auto"/>
        <w:tabs>
          <w:tab w:leader="none" w:pos="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Supplies and Military-Grade Magnetics Applications. </w:t>
      </w:r>
      <w:r>
        <w:rPr>
          <w:rFonts w:ascii="Times New Roman" w:cs="Times New Roman" w:eastAsia="Times New Roman" w:hAnsi="Times New Roman"/>
          <w:sz w:val="18"/>
          <w:szCs w:val="18"/>
          <w:color w:val="auto"/>
        </w:rPr>
        <w:t>Our Power Supplies play a vital role in electrostatic precipitator systems ("ESP"),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helping utility and industrial customers reduce airborne particulate emissions and meet environmental compliance standards. In the defense sector, our Military Application Magnetics—such as transformers and inductors—are engineered for performance and durability across shipboard, land-based, and airborne electrical systems supporting U.S. and allied operations. We also provide high-capacity transformers designed for megawatt-scale industrial motor drives, ensuring reliable power for demanding industrial applications.</w:t>
      </w:r>
    </w:p>
    <w:p>
      <w:pPr>
        <w:spacing w:after="0" w:line="88" w:lineRule="exact"/>
        <w:rPr>
          <w:rFonts w:ascii="Times New Roman" w:cs="Times New Roman" w:eastAsia="Times New Roman" w:hAnsi="Times New Roman"/>
          <w:sz w:val="18"/>
          <w:szCs w:val="18"/>
          <w:color w:val="auto"/>
        </w:rPr>
      </w:pPr>
    </w:p>
    <w:p>
      <w:pPr>
        <w:jc w:val="both"/>
        <w:ind w:left="326" w:hanging="326"/>
        <w:spacing w:after="0" w:line="253" w:lineRule="auto"/>
        <w:tabs>
          <w:tab w:leader="none" w:pos="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 Systems</w:t>
      </w:r>
      <w:r>
        <w:rPr>
          <w:rFonts w:ascii="Times New Roman" w:cs="Times New Roman" w:eastAsia="Times New Roman" w:hAnsi="Times New Roman"/>
          <w:sz w:val="18"/>
          <w:szCs w:val="18"/>
          <w:color w:val="auto"/>
        </w:rPr>
        <w:t>. Our REG system has two primary applications that increase the reliability and the capacity of the urban infrastructure.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focused on reliability improvement, the REG system is used in a “ring” or “loop” configuration to interconnect nearby urban 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We believe a utility installing our REG system could double or quadruple its reliability (e.g. N-1 to N-2, or greater) by networking substations, which is a solution that utilities would generally not consider when using conventional technology in urban settings due to its disruptive nature and economic disadvantages. For applications focused on capacity improvement, the REG system can be used in a “branch” configuration. In this application, the REG system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high-power handling capacity with fault current limiting characteristics - features that are attributable to our proprietary Amperium HTS wire.</w:t>
      </w:r>
    </w:p>
    <w:p>
      <w:pPr>
        <w:spacing w:after="0" w:line="192"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578" w:right="3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Marine market overview</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Defense spending has increased over the past seven years as the U.S. military moves to rebuild and retool for competition against other great powers. In January 2025, the U.S. Navy’s 2025 shipbuilding plan covering government fiscal years 2025 to 2054, calls for a larger and more distributed fleet. To achieve that goal, the Navy would buy 364 ships over the 2025–2054 period: 293 combat ships and 71 combat logistics and support ships. For a description of risks related to our government contracts, see Part I, Item" 1A, “Risk Factors –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2025, the Navy included 364 battle force ships—aircraft carriers, submarines, surface combatants, amphibious ships, combat logistics ships, and some support ship.</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Since WWII, the Navy fleet has protected its warfare vessels with copper-based degaussing systems. Our HTS-based degaussing system provides world class mine protection while reducing the weight of the degaussing system by an estimated 50-80%, and reducing energy consumption.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HTS systems are an enabling technology for the U.S. Navy in its mission to create an all-electric ship (Super Ship). Our HTS-based SPS degaussing system has been designed into the San Antonio-class amphibious warfare ship platform, with the first system delivered in January 2022 deployed on the USS Fort Lauderdale. AMSC and the U.S. Navy continue to collaborate on AMSC’s advanced HTS-based ship protection systems. The core components of the ship protection system are common and transferable to other applications being targeted for ship implementation.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Navy fleets worldwide face various challenges, including:</w:t>
      </w:r>
    </w:p>
    <w:p>
      <w:pPr>
        <w:spacing w:after="0" w:line="223" w:lineRule="exact"/>
        <w:rPr>
          <w:sz w:val="20"/>
          <w:szCs w:val="20"/>
          <w:color w:val="auto"/>
        </w:rPr>
      </w:pPr>
    </w:p>
    <w:p>
      <w:pPr>
        <w:jc w:val="both"/>
        <w:ind w:left="820" w:hanging="326"/>
        <w:spacing w:after="0" w:line="246" w:lineRule="auto"/>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Power Capacity. </w:t>
      </w:r>
      <w:r>
        <w:rPr>
          <w:rFonts w:ascii="Times New Roman" w:cs="Times New Roman" w:eastAsia="Times New Roman" w:hAnsi="Times New Roman"/>
          <w:sz w:val="18"/>
          <w:szCs w:val="18"/>
          <w:color w:val="auto"/>
        </w:rPr>
        <w:t>Today’s Navy continues to see increased demand for more power applied from both on and off the ship (shore power).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is driven by many factors, including the continued development of high-power density advanced weapons systems and sensors. Many power dense applications that naval engineers are working on today are already relying on the independent development of improved power distribution systems for their implementation. Free Electron Lasers, High Power Radar, Laser Self Defense Systems, and Active Denial (Directed Energy) systems are just a few of the Navy applications that we believe will demand higher capacity and more efficient energy transfer before deployment to a platform in the fleet can be realized.</w:t>
      </w:r>
    </w:p>
    <w:p>
      <w:pPr>
        <w:spacing w:after="0" w:line="97" w:lineRule="exact"/>
        <w:rPr>
          <w:rFonts w:ascii="Times New Roman" w:cs="Times New Roman" w:eastAsia="Times New Roman" w:hAnsi="Times New Roman"/>
          <w:sz w:val="22"/>
          <w:szCs w:val="22"/>
          <w:color w:val="auto"/>
        </w:rPr>
      </w:pPr>
    </w:p>
    <w:p>
      <w:pPr>
        <w:jc w:val="both"/>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Space and Weight Limitations. </w:t>
      </w:r>
      <w:r>
        <w:rPr>
          <w:rFonts w:ascii="Times New Roman" w:cs="Times New Roman" w:eastAsia="Times New Roman" w:hAnsi="Times New Roman"/>
          <w:sz w:val="18"/>
          <w:szCs w:val="18"/>
          <w:color w:val="auto"/>
        </w:rPr>
        <w:t>Advances in sensors and weapons for modern ship applications are expected to drive the need for new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to be light and compact, for weapons’ power draw to be more efficiently cooled and for easing installation on new ships and enabling upgrades on existing ones.</w:t>
      </w:r>
    </w:p>
    <w:p>
      <w:pPr>
        <w:spacing w:after="0" w:line="102"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Efficiency. </w:t>
      </w:r>
      <w:r>
        <w:rPr>
          <w:rFonts w:ascii="Times New Roman" w:cs="Times New Roman" w:eastAsia="Times New Roman" w:hAnsi="Times New Roman"/>
          <w:sz w:val="18"/>
          <w:szCs w:val="18"/>
          <w:color w:val="auto"/>
        </w:rPr>
        <w:t>Increased power demands for routine (peacetime) operations are straining the conventional copper-based power cable systems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currently used. The copper cables are very heavy, cumbersome, and hard to handle. The weight of the cables requires a coordinated effort between a crew on the pier and a crew on the ship. In many instances, handling these cables requires the use of a crane or a boom truck to extend them from the pier-side power substations up to the ship’s connection point. More efficient, compact, lighter weight power transfer and distribution systems are expected to be required for tomorrow’s Navy to satisfy its future mission requirements.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marine market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Navy ship can be thought of as having its own power grid. We provide advanced ship protection systems, power management, and power generation systems that are designed to help fleets increase system efficiencies, enhance warfare capabilities, and boost reliability, performance and security. Our systems support the U.S. Navy’s mission to “electrify the fleet”. Our systems allow for the ship to generate a large amount of electrical power and distribute the power through an onboard power system to a propulsion motor by way of a much smaller, lighter, and higher performing HTS cable system, enabling a more advanced, reliable, and secure solution with a smaller footprint. Our solutions include:</w:t>
      </w:r>
    </w:p>
    <w:p>
      <w:pPr>
        <w:spacing w:after="0" w:line="181" w:lineRule="exact"/>
        <w:rPr>
          <w:sz w:val="20"/>
          <w:szCs w:val="20"/>
          <w:color w:val="auto"/>
        </w:rPr>
      </w:pPr>
    </w:p>
    <w:p>
      <w:pPr>
        <w:jc w:val="both"/>
        <w:ind w:left="980" w:hanging="324"/>
        <w:spacing w:after="0" w:line="263" w:lineRule="auto"/>
        <w:tabs>
          <w:tab w:leader="none" w:pos="9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Ship Protection Systems</w:t>
      </w:r>
      <w:r>
        <w:rPr>
          <w:rFonts w:ascii="Times New Roman" w:cs="Times New Roman" w:eastAsia="Times New Roman" w:hAnsi="Times New Roman"/>
          <w:sz w:val="17"/>
          <w:szCs w:val="17"/>
          <w:color w:val="auto"/>
        </w:rPr>
        <w:t>. The primary focus of our SPS has been degaussing systems. These systems reduce a naval ship’s magnetic signature,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making it much more difficult for a mine to detect and damage a ship. Traditionally made of heavy copper wire, degaussing is required on all U.S. Navy combat ships. Our HTS advanced degaussing system is lightweight, compact, and often outperforms its conventional counterpart. This HTS system is estimated to enable 50-80% reduction in total degaussing system weight, offering significant potential for fuel savings or options to add different payloads. The core components of a degaussing system are transferable to other applications being targeted for ship implementation. Our SPS has been designed into the San Antonio class of amphibious assault vessels, with the first system delivered in January 2022 deployed on the USS Fort Lauderdale. We are also providing SPS systems to the Royal Canadian Navy and seeking opportunities to propagate SPS throughout other allied navies, creating the potential for a relatively long-term revenue stream. Additionally, we are developing a deployable mine countermeasure solution to enhance U.S. Navy capability to manage the threat of minefields.</w:t>
      </w:r>
    </w:p>
    <w:p>
      <w:pPr>
        <w:spacing w:after="0" w:line="87" w:lineRule="exact"/>
        <w:rPr>
          <w:rFonts w:ascii="Times New Roman" w:cs="Times New Roman" w:eastAsia="Times New Roman" w:hAnsi="Times New Roman"/>
          <w:sz w:val="21"/>
          <w:szCs w:val="21"/>
          <w:color w:val="auto"/>
        </w:rPr>
      </w:pPr>
    </w:p>
    <w:p>
      <w:pPr>
        <w:jc w:val="both"/>
        <w:ind w:left="980" w:hanging="324"/>
        <w:spacing w:after="0"/>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Onboard Power Delivery Systems</w:t>
      </w:r>
      <w:r>
        <w:rPr>
          <w:rFonts w:ascii="Times New Roman" w:cs="Times New Roman" w:eastAsia="Times New Roman" w:hAnsi="Times New Roman"/>
          <w:sz w:val="18"/>
          <w:szCs w:val="18"/>
          <w:color w:val="auto"/>
        </w:rPr>
        <w:t>. We are working on expanding HTS technology into the fleet through a variety of applications,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onboard power flow and management. Our HTS power cables enable high density energy transfer at unsurpassed efficiency levels in a compact, lightweight package.</w:t>
      </w:r>
    </w:p>
    <w:p>
      <w:pPr>
        <w:spacing w:after="0" w:line="102" w:lineRule="exact"/>
        <w:rPr>
          <w:rFonts w:ascii="Times New Roman" w:cs="Times New Roman" w:eastAsia="Times New Roman" w:hAnsi="Times New Roman"/>
          <w:sz w:val="22"/>
          <w:szCs w:val="22"/>
          <w:color w:val="auto"/>
        </w:rPr>
      </w:pPr>
    </w:p>
    <w:p>
      <w:pPr>
        <w:jc w:val="both"/>
        <w:ind w:left="980" w:hanging="324"/>
        <w:spacing w:after="0" w:line="245"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Power Generation Systems</w:t>
      </w:r>
      <w:r>
        <w:rPr>
          <w:rFonts w:ascii="Times New Roman" w:cs="Times New Roman" w:eastAsia="Times New Roman" w:hAnsi="Times New Roman"/>
          <w:sz w:val="18"/>
          <w:szCs w:val="18"/>
          <w:color w:val="auto"/>
        </w:rPr>
        <w:t>. We are also working on expanding HTS technology into the fleet through a variety of applications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generation and electric propulsion. The same HTS technology used in SPS and onboard power delivery systems when applied to rotating machines results in high power generators. This enables dramatically more power to be produced in the same machinery space used for conventional systems, which in turn affords the Navy additional power for high energy density weapons without significant structural changes to the ship.</w:t>
      </w:r>
    </w:p>
    <w:p>
      <w:pPr>
        <w:spacing w:after="0" w:line="98" w:lineRule="exact"/>
        <w:rPr>
          <w:rFonts w:ascii="Times New Roman" w:cs="Times New Roman" w:eastAsia="Times New Roman" w:hAnsi="Times New Roman"/>
          <w:sz w:val="22"/>
          <w:szCs w:val="22"/>
          <w:color w:val="auto"/>
        </w:rPr>
      </w:pPr>
    </w:p>
    <w:p>
      <w:pPr>
        <w:jc w:val="both"/>
        <w:ind w:left="980" w:hanging="324"/>
        <w:spacing w:after="0" w:line="243"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Propulsion systems. </w:t>
      </w:r>
      <w:r>
        <w:rPr>
          <w:rFonts w:ascii="Times New Roman" w:cs="Times New Roman" w:eastAsia="Times New Roman" w:hAnsi="Times New Roman"/>
          <w:sz w:val="18"/>
          <w:szCs w:val="18"/>
          <w:color w:val="auto"/>
        </w:rPr>
        <w:t>Our development work in power generation systems for the U.S. Navy extends to HTS-based electric power propulsion.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Onboard power delivery systems and power generation systems, when applied to propulsion motors, enable the transition to high power dense electric propulsion systems. This is expected to make new ships more fuel-efficient and allow the Navy to free up space for additional war-fighting capability.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 market overview</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global energy mix has been transitioning towards an increasing amount of renewable energy, including wind power. Wind power is unlimited in supply and its generation is a zero-emission process. Wind power has become a major pillar of power supply throughout the world.</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According to GlobalData, a research firm, approximately 118 GW of wind generation capacity were added worldwide in calendar 2024, as compared to nearly 117 GW in calendar 2023. GlobalData anticipates that more than 136 GW of additional capacity will be added in 2025.</w:t>
      </w:r>
    </w:p>
    <w:p>
      <w:pPr>
        <w:spacing w:after="0" w:line="16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According to GlobalData, annual wind installations in India for calendar 2024 were 3.4 GW and for calendar 2025 are estimated to be above 4 GW.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wind market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160" w:lineRule="exact"/>
        <w:rPr>
          <w:sz w:val="20"/>
          <w:szCs w:val="20"/>
          <w:color w:val="auto"/>
        </w:rPr>
      </w:pPr>
    </w:p>
    <w:p>
      <w:pPr>
        <w:jc w:val="both"/>
        <w:ind w:left="820" w:hanging="326"/>
        <w:spacing w:after="0" w:line="243" w:lineRule="auto"/>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Electrical Control Systems. </w:t>
      </w:r>
      <w:r>
        <w:rPr>
          <w:rFonts w:ascii="Times New Roman" w:cs="Times New Roman" w:eastAsia="Times New Roman" w:hAnsi="Times New Roman"/>
          <w:sz w:val="18"/>
          <w:szCs w:val="18"/>
          <w:color w:val="auto"/>
        </w:rPr>
        <w:t>We provide full electrical control systems (“ECS”) to manufacturers of wind turbines designed by us. Our 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voltage, control power flows and maximize wind turbine efficiency, among other functions. To date, we have shipped core electrical components and complete ECS sufficient to power over 18,000 MWs of wind power. We believe our ECS represent approximately 5-10% of a wind turbine’s bill of materials.</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Wind Turbine Designs. </w:t>
      </w:r>
      <w:r>
        <w:rPr>
          <w:rFonts w:ascii="Times New Roman" w:cs="Times New Roman" w:eastAsia="Times New Roman" w:hAnsi="Times New Roman"/>
          <w:sz w:val="18"/>
          <w:szCs w:val="18"/>
          <w:color w:val="auto"/>
        </w:rPr>
        <w:t>We design and develop entire state-of-the-art onshore and offshore wind turbines with power ratings of 2 MWs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ECS needed to operate the wind turbines.</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Customer Support Services</w:t>
      </w:r>
      <w:r>
        <w:rPr>
          <w:rFonts w:ascii="Times New Roman" w:cs="Times New Roman" w:eastAsia="Times New Roman" w:hAnsi="Times New Roman"/>
          <w:sz w:val="18"/>
          <w:szCs w:val="18"/>
          <w:color w:val="auto"/>
        </w:rPr>
        <w:t>. We provide extensive customer support services to wind turbine manufacturers. These services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1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approach to the wind energy markets allows our customers to use our world-class turbine engineering capabilities while minimizing their research and development costs. These services and our advanced ECS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serve customers globally through a localized sales and field service presence in our core target markets. We have served over 100 customers in the grid market since our inception, including Commonwealth Edison, Huntington Ingalls Shipbuilding, Innomotics LLC, the U.S. Navy, Capital Power Corp., Targa Resources Corp., Micron Technology Inc., SSE plc in the United Kingdom, Consolidated Power Projects (Pty) Ltd in South Africa, Fuji Bridex in Singapore, and Ergon Energy in Australia. Additionally, our sales personnel in the United States are supported by manufacturers' sales representatives. We have designed wind turbines for and licensed wind turbine designs to wind turbine manufacturing customers including Inox Wind Limited ("Inox") in India and Doosan Heavy Industries (“Doosan”) in South Korea.</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fiscal 2024, Inox accounted for 14% of our total revenues. In fiscal 2023, Inox accounted for 13% of our total revenues. No other customer accounted for more than 10% of our total revenues in each of fiscal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Facilities and Manufacturing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primary facilities and their primary functions are as follows:</w:t>
      </w:r>
    </w:p>
    <w:p>
      <w:pPr>
        <w:spacing w:after="0" w:line="225"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Ayer, Massachusetts — Corporate headquarters; Grid segment manufacturing, and research and development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Bordentown, New Jersey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Klagenfurt, Austria —Wind segment engineering, research and development, and customer support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Milford, Connecticut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Pewaukee, Wisconsin — Grid segment research and development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Queensbury, New York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Richland, Washington — Grid segment research and development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Roebling, New Jersey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Silesian, Poland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Massachusetts — Grid segment manufacturing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global footprint also includes sales and/or field service offices in Australia, India, South Korea, the United Kingdom and McLean, VA.</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principal raw materials used in the manufacture of the Company’s products are nickel, silver, yttruim, copper, brass, and stainless steel. Major components are insulated gate bi-polar transistors, heatsinks, inductors, enclosures, transformers, and printed circuit boards. Most of these raw materials are available from multiple sources in the United States and world markets. Generally, the Company believes that adequate alternative sources are available for the majority of its key raw material and purchased component needs, however, the Company is dependent on a single or limited number of suppliers for certain materials and components. In addition, new or proposed tariff increases on our raw materials, in particular stainless steel, may increase prices for such raw materials and/or may create shortages as customers seek alternative suppliers.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strategy is to serve customers locally in our core target markets through a direct sales force operating out of sales offices worldwide. In addition, we utilize manufacturers’ sales representatives in the United States and Canada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segment our operations into two market-facing business segments: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face competition from other companies offering FACTS systems similar to our D-VAR products. These include adaptive VAR compensators, Dynamic voltage restorers (“DVRs”), and STATCOMs produced by ABB, Hitachi, Ingeteam, Mitsubishi, RXHK and Siemens, and battery-based uninterruptable power supply (“UPS”) systems offered by various companies around the world.</w:t>
      </w:r>
    </w:p>
    <w:p>
      <w:pPr>
        <w:spacing w:after="0" w:line="176" w:lineRule="exact"/>
        <w:rPr>
          <w:sz w:val="20"/>
          <w:szCs w:val="20"/>
          <w:color w:val="auto"/>
        </w:rPr>
      </w:pPr>
    </w:p>
    <w:p>
      <w:pPr>
        <w:jc w:val="both"/>
        <w:ind w:firstLine="486"/>
        <w:spacing w:after="0" w:line="213" w:lineRule="auto"/>
        <w:rPr>
          <w:sz w:val="20"/>
          <w:szCs w:val="20"/>
          <w:color w:val="auto"/>
        </w:rPr>
      </w:pPr>
      <w:r>
        <w:rPr>
          <w:rFonts w:ascii="Times New Roman" w:cs="Times New Roman" w:eastAsia="Times New Roman" w:hAnsi="Times New Roman"/>
          <w:sz w:val="18"/>
          <w:szCs w:val="18"/>
          <w:color w:val="auto"/>
        </w:rPr>
        <w:t>We face competition from other companies offering medium-voltage metal-enclosed power capacitor banks and harmonic filter banks for use on electric power systems similar to our NEPSI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products. These include Southern States, Controllix, Powerside, Elgin Power Solutions, Scott Manufacturing Solutions and QVARx.</w:t>
      </w:r>
    </w:p>
    <w:p>
      <w:pPr>
        <w:spacing w:after="0" w:line="201" w:lineRule="exact"/>
        <w:rPr>
          <w:sz w:val="20"/>
          <w:szCs w:val="20"/>
          <w:color w:val="auto"/>
        </w:rPr>
      </w:pPr>
    </w:p>
    <w:p>
      <w:pPr>
        <w:jc w:val="both"/>
        <w:ind w:firstLine="486"/>
        <w:spacing w:after="0" w:line="199" w:lineRule="auto"/>
        <w:rPr>
          <w:sz w:val="20"/>
          <w:szCs w:val="20"/>
          <w:color w:val="auto"/>
        </w:rPr>
      </w:pPr>
      <w:r>
        <w:rPr>
          <w:rFonts w:ascii="Times New Roman" w:cs="Times New Roman" w:eastAsia="Times New Roman" w:hAnsi="Times New Roman"/>
          <w:sz w:val="18"/>
          <w:szCs w:val="18"/>
          <w:color w:val="auto"/>
        </w:rPr>
        <w:t>We face competition from other companies offering DC power supply systems similar to our Neeltran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products. These include SCR Controlled Rectifiers, IGBT-controlled choppers produced by ABB, Siemens, Friem, Dynapower, and Nidec offering systems around the world.</w:t>
      </w:r>
    </w:p>
    <w:p>
      <w:pPr>
        <w:spacing w:after="0" w:line="20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face competition from other companies offering transformers and power supplies similar to our NWL products. These include industrial and military transformers produced by Espey Manufacturing &amp; Electronics Corp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Hammond and Ocrev, and power supplies offered by Kraft Powercon, Andritz, Lonking Holdings, and Rico.</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Maritime, L3 Harris, and Raytheon have the bulk of the copper-based business today.</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power module conversion equipment and our electrical control systems are designed and integrated into our wind turbine designs in a way to achieve maximum performance of the turbine. Typically, we are the exclusive provider of the power module conversion equipment and electrical control systems for our wind turbine designs. As a result, our power conversion equipment and electrical control systems see limited competition. Other companies that serve the wind turbine components industry include ABB and Hopewind. We also face indirect competition in the wind energy market from global manufacturers of wind turbines, such as Siemens Gamesa, Vestas, Envision and Suzlon. We face competition for the supply of wind turbine engineering design services from design engineering firms such as Aerovide and W2E.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trade secrets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Patent Background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Together with the international counterparts of our patents and patent applications, we own a robust portfolio of patents and patent applications worldwide and have rights through exclusive and non-exclusive licenses. We believe that our current patent position, together with our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products as necessary. If companies holding patents or patent applications that we need to license are competitors, we believe our patent portfolio will improve our ability to enter into license or cross-license arrangements with these companies. We have already successfully negotiated cross-licenses with several competitors.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Grid Patents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received patents and filed numerous additional patent applications on power quality and reliability systems, including our D-VAR products. Our products are covered by patents and patents pending worldwide on both our systems and power converter products. The patents and applications focus on inventions that significantly improve product performance and reduce product costs, thereby providing a competitive advantage. Our grid patents will begin to expire in 2027, with the latest set to expire in 2040.</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HTS Patents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currently have non-exclusive rights to a fundamental U.S. patent (U.S. 8,060,169 B1) covering 2G and similar HTS wire and applications and may elect in the future to allow our rights under this license to lapse. In addition to our owned patents and patent applications in 2G HTS wire, we have obtained licenses from</w:t>
      </w:r>
    </w:p>
    <w:p>
      <w:pPr>
        <w:spacing w:after="0" w:line="3" w:lineRule="exact"/>
        <w:rPr>
          <w:sz w:val="20"/>
          <w:szCs w:val="20"/>
          <w:color w:val="auto"/>
        </w:rPr>
      </w:pPr>
    </w:p>
    <w:p>
      <w:pPr>
        <w:ind w:firstLine="8"/>
        <w:spacing w:after="0" w:line="260"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 for the MOD process we use to deposit the YBCO layer, and (ii) Alcatel-Lucent on the YBCO material. However, we may have to obtain additional licenses to HTS materials. Our HTS wire patents began to expire in 2024, with the latest set to expire in 2041.</w:t>
      </w:r>
    </w:p>
    <w:p>
      <w:pPr>
        <w:spacing w:after="0" w:line="1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HTS wire patents, we have extensive patents and patents pending covering applications of HTS wire, such as HTS fault current limiting technology including our fault current limiting cable, HTS rotating machines and ship protection systems. Our HTS application patents will begin to expire in 2027, with the latest set to expire in 2040. Since the superconductor rotating machine and the fault current limiting cable applications are relatively new, we believe that we have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Wind Patents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our Windtec™ Solutions brand, we design a variety of wind turbine systems and license these designs, including expertise and patent rights, to third parties for an upfront fee, plus in some cases, future royalties. Our wind turbine designs are covered by patents and patents pending worldwide on wind turbine technology. We have patent coverage on the unique design features of our blade pitch control system, which ensures optimal aerodynamic flow conditions on the turbine blades and improves system efficiency and performance. Our wind patents will begin to expire in 2025, with the latest set to expire in 2039.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In addition, we cannot provide any assurance that others, including our competitors, will not independently develop the same or comparable technology that is one of our trade secrets.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aim to provide a safe and positive work environment for our employees that emphasizes respect for individuals and high standards of integrity. The health and safety of our employees is of utmost importance to us. Recognizing and respecting our global presence, we strive to maintain an inclusive workforce, where anyone can reach their potential regardless of background, everywhere we operate. As of March 31, 2025, we employed 569 persons. None of our employees are represented by a labor union.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employees are the foundation of our success and that our future growth depends, in part, on our ability to continue to attract and retain the best and brightest talent, including key management professionals, scientists, engineers, researchers, manufacturing personnel, and marketing and sales professionals. In order for us to attract the best talent, we provide a collaborative, inclusive and innovative work environment, competitive compensation, and opportunities for our employees to grow. We are focused on continuing to build an inclusive culture that inspires leadership, encourages innovative thinking, and supports the development and advancement of all.</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human capital management objectives include attracting, incentivizing, and integrating our existing and future employees. We strive to attract and retain talented employees by offering competitive compensation and benefits that support their health and financial well-being.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internet address is www.amsc.com. We are not including the information contained in our website as part of, or incorporating it by reference into, this document. We make available, free of charge, through our website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intend to disclose on our website any amendments to, or waivers of, our Code of Business Conduct and Ethics that are required to be disclosed pursuant to the SEC or the rules of the Nasdaq Stock Market, LLC.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and biographical summaries set forth below contain information with respect to our executive officers as of the date of this filing: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John W. Kosiba, Jr.</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pacing w:after="0" w:line="17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Daniel P. McGahn </w:t>
      </w:r>
      <w:r>
        <w:rPr>
          <w:rFonts w:ascii="Times New Roman" w:cs="Times New Roman" w:eastAsia="Times New Roman" w:hAnsi="Times New Roman"/>
          <w:sz w:val="18"/>
          <w:szCs w:val="18"/>
          <w:color w:val="auto"/>
        </w:rPr>
        <w:t>joined us in December 2006 and has been chief executive officer and a member of our board of directors since June 2011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since July 2018. He previously 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W. Kosiba, Jr. </w:t>
      </w:r>
      <w:r>
        <w:rPr>
          <w:rFonts w:ascii="Times New Roman" w:cs="Times New Roman" w:eastAsia="Times New Roman" w:hAnsi="Times New Roman"/>
          <w:sz w:val="18"/>
          <w:szCs w:val="18"/>
          <w:color w:val="auto"/>
        </w:rPr>
        <w:t>has served as senior vice president, chief financial officer and treasurer since April 4, 2017. Mr. Kosiba joined us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finance operations, in June 2010. He then served as vice president, finance operations, from September 2011 to May 2013. Prior to his appointment as senior vice president and chief financial officer, Mr. Kosiba served most recently as senior vice president, Gridtec solutions and finance operations, where he was responsible for (i) overseeing finance and accounting operations, budgeting, strategic planning and financial planning and analysis for the company, and (ii) managing the day-to-day business operations of our Gridtec solutions’ business segment. From January 2008 until June 2010, Mr. Kosiba served as division director and controller of Amphenol Aerospace, a division of Amphenol Corporation and a manufacturer of interconnect products for the military, commercial aerospace and industrial markets. In this role, Mr. Kosiba was responsible for overseeing finance, accounting, budgeting, audit and all aspects of financial planning and analysis for the division.</w:t>
      </w:r>
    </w:p>
    <w:p>
      <w:pPr>
        <w:spacing w:after="0" w:line="18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w:t>
      </w:r>
    </w:p>
    <w:p>
      <w:pPr>
        <w:spacing w:after="0" w:line="225"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been historically profitable, which may recur in the future. Our operating results may fluctuate significantly from quarter to quarter and may fall below expectations in any particular fiscal quarter.</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were profitable in fiscal 2024, however, we have recorded net losses for the prior three fiscal years. We may not be profitable in fiscal 2025 or future years. While we achieved profitable results in fiscal 2024, we cannot be certain that we will sustain profitability in future years.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remains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In addition, we have in the past provided, and may continue to, provide public guidance on our expected operating and financial results for future periods. Such guidance is comprised of forward-looking statements subject to the risks and uncertainties described in this Annual Report on Form 10-K and in our other public filings and statements. Our actual results may not always be in line with or exceed the guidance we have provided. If our revenue or operating results fall below the expectations of investors or any securities analysts that follow our company in any period or we do not meet our guidance, the trading price of our common stock would likely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72"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generated positive operating cash flow in fiscal 2024 and the prior year, we have a history of negative operating cash flows, and we may require additional financing in the future, which may not be available to us.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March 31, 2025, we had approximately $85.4 million of cash, cash equivalents and restricted cash, and during the fiscal year ended March 31, 2025, $28.3 million in cash was provided by our operating activities. In the current period, we experienced net income and positive operating cash flows. In prior years, we have experienced net losses and negative operating cash flows. We plan to continue to closely monitor our expenses and, if required, will further reduce operating costs and capital spending to enhance liquidity.</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liquidity is highly dependent on our ability to profitably grow our revenues, control our operating costs, and secure additional financing, if required. We may require additional capital to conduct our business and adequately respond to future business challenges or opportunities, including, but not limited to, the need to develop new products or enhance existing products, maintain or expand research and development projects, collateralize performance bonds or letters of credit, acquire new businesses or assets, and the need to build inventory or to invest other cash to support business growth. In order to raise additional capital, we may offer shares of our common stock or other securities convertible into or exchangeable for our common stock. To the extent that we raise additional capital through the sale of equity or convertible debt securities, the ownership interest of each of our existing stockholders will be diluted, and the terms of these securities may include liquidation or other preferences that adversely affect the rights of our common stockholders.</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event that additional liquidity is required, there can be no assurance that such financing would be available or, if available, that such financing could be obtained upon terms acceptable to us, which would have a material adverse effect on our business, financial condition and prospects.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Company maintains the majority of its cash and cash equivalents in accounts with major U.S. and multi-national financial institutions, and our deposits at certain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7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exchange rates could adversely affect our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Currency exchange rate fluctuations could have an adverse effect on our revenues and results of operations, and we could experience losses with respect to hedging activities. In fiscal 2024, 31% of our revenues were recognized from sales outside of the United States. In addition, approximately 16% of our revenues in fiscal 2024 were derived under sales contracts where prices were denominated in the Euro. Unfavorable currency fluctuations could require us to increase prices to foreign customers, which could result in a lesser value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However, we cannot be certain that our efforts will be adequate to protect us against significant currency fluctuations or that such efforts will not expose us to additional exchange rate risks.</w:t>
      </w:r>
    </w:p>
    <w:p>
      <w:pPr>
        <w:spacing w:after="0" w:line="184"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and may lead investors and other users to lose confidence in our financial data.</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If material weaknesses or significant deficiencies in our internal control over financial reporting are discovered or occur in the future, our consolidated financial statements may contain material misstatements and we could be required to restate our financial results.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an investigation by regulatory authorities. Any such action or other negative results caused by our inability to meet our reporting requirements or to comply with legal and regulatory requirements or by our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issue performance bonds, which restricts our ability to access any cash used as collateral for the bonds.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and to deliver letters of credit of significant magnitude. Similarly, in many other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all of the sales expected from our backlog of orders and contracts.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cannot assure you that we will realize the revenue we expect to generate from our backlog in the periods we expect to realize such revenue, or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has had, and may continue to have, an adverse effect on our ability to grow our revenues. In addition, current and future suppliers may be less likely to grant us credit, resulting in a negative impact on our working capital and cash flows.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successfully, our financial performance could be harmed.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and system-level products.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could also be affected by a number of factors beyond our control, such as increased competition, legal developments, government regulation, general economic conditions, including as a result of the ongoing wars between Russia and Ukraine and Israel and Hamas and trade conflicts, or increased operating costs or expenses.</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suppliers for the components and subassemblies of many of our Grid and Wind products, making us vulnerable to supply shortages and price fluctuations, which could harm our business.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 Moreover, if the costs of acquiring components and subassemblies from these suppliers significantly increase, we may not be able to identify alternative suppliers, which could adversely impact our business and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minimize costs and time to market, we have and will continue to identify local suppliers that meet our quality standards to produce certain of our subassemblies and components. These efforts may not be successful including as quality standards evolve. For example, there are increasing expectations in various jurisdictions that companies monitor the environmental, social, and/or geographic provenance of their supply chain; complying with such expectations may cause us to incur additional costs, subject us to increased scrutiny, reduce the number of acceptable suppliers, or otherwise impact our business or operations. In addition, any event that negatively impacts our supply, including, among others, wars, terrorist activities, cyberattacks,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84"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company that contracts with the U.S. and Canadian governments, we are subject to financial audits and other reviews by such governments of our costs and performance, accounting, and general business practices relating to these contracts. Based on the results of these audits, such governments may adjust our contract-related costs and fees. We cannot be certain that adjustments arising from government audits and reviews would not have a material adverse effect on our results of operations.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government contracts customarily contain other provisions that give the government substantial rights and remedies, many of which are not typically found in commercial contracts, including provisions that allow the applicable government to:</w:t>
      </w:r>
    </w:p>
    <w:p>
      <w:pPr>
        <w:spacing w:after="0" w:line="162" w:lineRule="exact"/>
        <w:rPr>
          <w:sz w:val="20"/>
          <w:szCs w:val="20"/>
          <w:color w:val="auto"/>
        </w:rPr>
      </w:pPr>
    </w:p>
    <w:p>
      <w:pPr>
        <w:ind w:left="500" w:hanging="195"/>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certain rights to the intellectual property that we develop under the contract;</w:t>
      </w:r>
    </w:p>
    <w:p>
      <w:pPr>
        <w:spacing w:after="0" w:line="225" w:lineRule="exact"/>
        <w:rPr>
          <w:rFonts w:ascii="Times New Roman" w:cs="Times New Roman" w:eastAsia="Times New Roman" w:hAnsi="Times New Roman"/>
          <w:sz w:val="18"/>
          <w:szCs w:val="18"/>
          <w:color w:val="auto"/>
        </w:rPr>
      </w:pPr>
    </w:p>
    <w:p>
      <w:pPr>
        <w:ind w:left="500" w:hanging="195"/>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161" w:lineRule="exact"/>
        <w:rPr>
          <w:rFonts w:ascii="Times New Roman" w:cs="Times New Roman" w:eastAsia="Times New Roman" w:hAnsi="Times New Roman"/>
          <w:sz w:val="18"/>
          <w:szCs w:val="18"/>
          <w:color w:val="auto"/>
        </w:rPr>
      </w:pPr>
    </w:p>
    <w:p>
      <w:pPr>
        <w:ind w:left="500" w:hanging="195"/>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doing business with the government or a specific government agency; and</w:t>
      </w:r>
    </w:p>
    <w:p>
      <w:pPr>
        <w:spacing w:after="0" w:line="225" w:lineRule="exact"/>
        <w:rPr>
          <w:rFonts w:ascii="Times New Roman" w:cs="Times New Roman" w:eastAsia="Times New Roman" w:hAnsi="Times New Roman"/>
          <w:sz w:val="18"/>
          <w:szCs w:val="18"/>
          <w:color w:val="auto"/>
        </w:rPr>
      </w:pPr>
    </w:p>
    <w:p>
      <w:pPr>
        <w:ind w:left="500" w:hanging="195"/>
        <w:spacing w:after="0"/>
        <w:tabs>
          <w:tab w:leader="none" w:pos="5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criminal or civil remedies under the False Claims Act, False Statements Act and similar remedy provisions unique to government contracting.</w:t>
      </w:r>
    </w:p>
    <w:p>
      <w:pPr>
        <w:spacing w:after="0" w:line="23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All of our U.S. and Canadian government contracts, as well as certain of our contracts with third parties that are dependent on such government contracts, can be terminated by the applicable government for its convenience. Termination-for-convenience provisions typically provide only for our recovery of costs incurred or committed, and for settlement of expenses and profit on work completed prior to termination. In addition to the right of the government to terminate its contracts with us, these government contracts are conditioned upon the continuing approval by the applicable legislature of the necessary spending to honor such contracts. The U.S. Congress often appropriates funds for a program on a fiscal 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or other applicable body for future fiscal years. In addition, government shutdowns could prevent or delay such contracts from being funded. Failure by the U.S. Congress to further suspend or increase the debt ceiling could delay or result in the loss of contracts for the procurement of our products and services, and we may be asked or required to continue to perform for some period of time on certain of our U.S. government contracts, even if the U.S. government is unable to make timely payments. Moreover, the U.S. executive branch has recently created the Department of Government Efficiency, which is identifying ways to cut federal spending. There can be no assurance that we will not be adversely affected by such cost-cutting measures.</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be certain that our U.S. government contracts, or our contracts with third parties that relate to projects for the U.S. government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U.S. government defense spending could negatively impact our financial position, results of operations, liquidity and overall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several contracts with the U.S. government, including defense-related programs with the U.S. Department of Defense. Changes in U.S. government defense spending for various reasons, including as a result of potential changes in policy positions or priorities that may result from the U.S. presidential and congressional elections, could negatively impact our results of operations, financial condition and liquidity. Our programs are subject to U.S. government policies, budget decisions and appropriation processes which are driven by numerous factors including: (1) geopolitical events; (2) macroeconomic conditions; (3) the ability of the U.S. government to enact relevant legislation, such as appropriations bills; and (4) the spending priorities of the U.S. Presidential Administration. In recent years, U.S. government appropriations have been affected by larger U.S. government budgetary issues and related legislation. In prior years, the U.S. government has been unable to timely complete its budget process before the end of its fiscal year, resulting in governmental shut-downs or providing only enough funds for U.S. government agencies to continue operating at prior-year levels. Significant changes in U.S. government defense spending or changes in U.S. government priorities, policies and requirements could have a material adverse effect on our results of operations, financial condition and liquidity.</w:t>
      </w:r>
    </w:p>
    <w:p>
      <w:pPr>
        <w:spacing w:after="0" w:line="190"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materially adversely impacted in the event of a failure or security breach of our or any critical third parties' IT Systems or Confidential Information.</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information technology hardware and software infrastructure and networks (collectively, "IT Systems"), and our ability to expand and update such IT Systems in response to our changing needs. We manage certain IT Systems but also rely on IT Systems and various products and services provided by critical third-party vendors and others in the supply chain. We also collect and store sensitive, personal and confidential information ("Confidential Information") in the ordinary course of our business. Any failure to manage, expand, or update our IT Systems or Confidential Information or any disruption to or failure in the operation of such IT Systems or Confidential Information could harm our business. In addition, the costs associated with updating and securing our IT Systems or Confidential Information are likely to increase as such security measures become more complex, which may harm our operating results and financial condition.</w:t>
      </w:r>
    </w:p>
    <w:p>
      <w:pPr>
        <w:spacing w:after="0" w:line="18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IT Systems and Confidential Information. Our IT Systems, and those of the third-party vendors we rely on, as well as our Confidential Information, are vulnerable to disruption, compromise and damage from computer viruses (including malware and ransomware), bugs, misconfigurations or vulnerabilities, social engineering/phishing, natural disasters, human or technical error, intentional conduct, cyberattacks, unauthorized access and other similar disruptions. Because we rely on certain third party vendors that support our operations, successful cyberattacks that disrupt or result in unauthorized access to third party IT Systems can materially impact our operations and financial results. There can also be no assurance that our cybersecurity risk management program and processes, including our policies, controls or procedures, or the processes of third-party vendors we rely on, will be fully implemented, complied with or effective in protecting our IT Systems and Confidential Information. Our business is also subject to break-ins, sabotage, and intentional acts of vandalism by third parties as well as employees. We cannot guarantee the security or protection of any IT Systems or Confidential Information. Cyberattacks are expected to accelerate on a global basis in frequency and magnitude, particularly as threat actors, such as ransomware groups, are becoming increasingly sophisticated in using techniques and tools including artificial intelligence that are designed to circumvent controls, evade detection and remove or obfuscate forensic evidence. As a result, we and our third-party providers may be unable to timely or effectively anticipate, detect, investigate, remediate or recover from cyberattacks in the future or avoid material impact to our IT Systems, Confidential Information, and our business. We also face increased cyber risk due to the number of our and others' employees who are (and may continue to be) working remotely due to the challenges associated with managing remote computing assets and security vulnerabilities that are present in many non-corporate and home networks.</w:t>
      </w:r>
    </w:p>
    <w:p>
      <w:pPr>
        <w:spacing w:after="0" w:line="19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those of third parties upon which we rely could result in disruptions to our operations, loss, damage or compromise to our data, or inappropriate disclosure of Confidential Information. Any or all of the foregoing could harm our reputation, result in substantial remediation, incident response, system restoration and compliance costs, lead to lost revenues and business opportunities, lead to regulatory investigations and enforcement and/or litigation (such as class actions), and related fines or penalties, increase our insurance premiums and have other materially adverse effects on our business and results. Our insurance policies may not cover, or may be insufficient to cover, any or all costs, losses and liability associated with any cyberattacks, security incidents or other disruptions and we cannot guarantee that applicable insurance will be available to us in the future on economically reasonable terms or at all. Any or all of the foregoing could materially adversely affect our business, operating results, and financial condition.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evolving data privacy and data protection laws and regulations or to otherwise protect personal data, may adversely impact our business and financial results.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Data”).We are therefore subject to many rapidly evolving privacy and data protection laws and regulations in the United States, Europe and around the world. These laws require us to operate in a complex environment where there are significant constraints on how we can process Personal Data across our business. The scope of these laws are changing, subject to differing interpretations, and may be inconsistent among jurisdictions. For example, the European and United Kingdom General Data Protection Regulation, the California Consumer Privacy Act, and the data protection and security laws of other jurisdictions impose onerous obligations — including around transparency, data subject rights, contractual requirements, data breach reporting, and international data transfers — with respect to our processing Personal Data. We are also subject to certain contractual obligations related to privacy, data protection and data security that may also impose onerous obligations. The legal and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our other legal obligations or our practices. Any failure or perceived failure by us to comply with our privacy, data protection and data security obligations may result in substantial fines, regulatory investigations or enforcement, reputational damage, orders to cease/change our use of data, as well as potential civil claims, including class action litigation, and could result in significant liability (including monetary penalties or requirements to alter our operations), any of which could materially and adversely affect our business, results of operations, and financial condition. Further, any significant change to applicable laws, regulations or industry practices regarding privacy, data protection, and data security could increase our costs and require us to modify our operations, possibly in a material manner.</w:t>
      </w:r>
    </w:p>
    <w:p>
      <w:pPr>
        <w:spacing w:after="0" w:line="189"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83" w:lineRule="exact"/>
        <w:rPr>
          <w:sz w:val="20"/>
          <w:szCs w:val="20"/>
          <w:color w:val="auto"/>
        </w:rPr>
      </w:pPr>
    </w:p>
    <w:p>
      <w:pPr>
        <w:ind w:left="1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recent acquisitions have required substantial integration and management efforts. As a result of any additional acquisition we pursue, management’s attention and resources may be further diverted from our other businesses. An acquisition may also involve the payment of a significant purchase price, which could reduce our cash position or dilute our stockholders and require significant transaction-related expenses.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Achieving the benefits of any acquisition involves additional risks, including:</w:t>
      </w:r>
    </w:p>
    <w:p>
      <w:pPr>
        <w:spacing w:after="0" w:line="225" w:lineRule="exact"/>
        <w:rPr>
          <w:sz w:val="20"/>
          <w:szCs w:val="20"/>
          <w:color w:val="auto"/>
        </w:rPr>
      </w:pPr>
    </w:p>
    <w:p>
      <w:pPr>
        <w:ind w:left="480" w:hanging="18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acquired operations, technologies and personnel;</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management and other key personnel of the acquired business;</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or other key personnel that may harm relationships with the acquired business’s customers and employees;</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liabilities of the acquired business;</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and employees’ attention from other business matters as a result of the integration process;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ind w:left="480" w:hanging="18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volumes, revenues and costs associated with the acquired business, including synergies;</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indemnification from the seller;</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 used to finance the acquisition; and</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operating in new product areas, with new customers, or in new geographic areas.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we will realize any of the anticipated benefits of any acquisition, including our acquisition of Megatran Industries, Inc. including its subsidiaries, completed in August 2024, and if we fail to realize these anticipated benefits, our operating performance could suffer.</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Wind segment revenues are derived from a single customer. If this customer’s business is negatively affected, it could adversely impact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significant portion of our Wind segment revenues have historically been derived from Inox and a significant decrease in revenues from Inox could adversely impact our Wind segment. Revenues from Inox are supported by supply contracts to purchase wind turbine ECS, and licenses to make, use and supply, wind turbines based on our designs. Inox has been active in the new central and state government auction regime in India and has a cumulative order book of over 2.6 GW. However,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 Inox has historically failed to post letters of credit and take delivery of forecasted ECS quantities.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success in addressing the wind energy market is dependent on the manufacturers that license our designs.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Many of our revenue opportunities are dependent upon subcontractors and other business collaborators.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Many of the revenue opportunities for our business involve projects, such as the installation of our ship protection systems and electrical system hardware in wind turbines, in which we collaborate with other companies, including suppliers of cryogenic systems, manufacturers of electric power cables and manufacturers of wind turbines. As a result, many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83" w:lineRule="exact"/>
        <w:rPr>
          <w:sz w:val="20"/>
          <w:szCs w:val="20"/>
          <w:color w:val="auto"/>
        </w:rPr>
      </w:pPr>
    </w:p>
    <w:p>
      <w:pPr>
        <w:ind w:left="1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Consistent with customary practice in our industry, we provide various warranties or guarantees relating to our products, such as that our products and/or services will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potentially in excess of our reserves. Furthermore, widespread product failures may damage our market reputation and reduce our market share and cause sales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left="1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85" w:lineRule="exact"/>
        <w:rPr>
          <w:sz w:val="20"/>
          <w:szCs w:val="20"/>
          <w:color w:val="auto"/>
        </w:rPr>
      </w:pPr>
    </w:p>
    <w:p>
      <w:pPr>
        <w:ind w:left="1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had limited success marketing and selling our superconductor products and system-level solutions, and our failure to more broadly market and sell our products and solutions could lower our revenue and cash flow.</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date, we have had limited success marketing and selling our superconductor products and system-level solutions. Once our products and solutions are ready for widespread commercial use, we will have to develop a marketing and sales organization that will effectively demonstrate the advantages of our products over more traditional products, competing superconductor products and other technologies. We may not be successful in our efforts to market this technology and we may not be able to establish an effective sales and distribution organization.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spacing w:after="0" w:line="172" w:lineRule="exact"/>
        <w:rPr>
          <w:sz w:val="20"/>
          <w:szCs w:val="20"/>
          <w:color w:val="auto"/>
        </w:rPr>
      </w:pPr>
    </w:p>
    <w:p>
      <w:pPr>
        <w:ind w:left="1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 parties on whom we depend may be adversely affected by natural disasters, including events resulting from climate change, and our business continuity and disaster recovery plans may not adequately protect us or our value chain from such events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Natural disasters (including, but not limited to tornadoes, earthquakes, fires, storms, floods, droughts and extreme temperatures) and chronic changes in the physical environment, such as changes to meteorological or hydrological patterns, could severely disrupt our operations and have a material adverse effect on our business, results of operations, financial condition and prospects. Climate change may increase the frequency or intensity of such events, as well as contribute to chronic changes (such as changes in meteorological or hydrological patterns) that may result in similar risk. If a natural disaster, power outage, or other event, including human acts such as terrorism, occurred that prevented us from fully utilizing our value chain or facilities,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changes in climate change-related laws or regulations, including laws relating to greenhouse gas emissions, could lead to new or additional compliance requirements and expenditures, and subject us to additional operational costs and restrictions, including increased energy and raw material costs and other compliance requirements which could negatively impact our reputation, business, capital expenditures, results of operations and financial position. For more information, please refer to our risk factor titled “The increasing focus on environmental sustainability and social initiatives could increase our costs, and inaction could harm our reputation and adversely impact our financial results."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Uncertainty surrounding our prospects and financial condition may have an adverse effect on our customer and supplier relationships.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support working capital needs of large-scale projects.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or other public health crises may adversely impact our business, financial condition and results of operations .</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occurrence or reoccurrence of regional epidemics, a global pandemic or other public health crises, such as COVID-19, may adversely affect our operations, financial condition, and results of operations. The extent to which a public health crisis impacts our business going forward will depend on factors such as the duration and scope; governmental, business, and individuals' actions in response to the public health crisis; and the impact on economic activity, including the possibility of recession or financial market instability. Measures to contain a public health crisis may intensify other risks described in these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domestic and global economic conditions could adversely affect our operating results.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become increasingly subject to the risks arising from adverse changes in domestic and global economic conditions, including as a result of governmental policies and actions in the United States. In recent years, financial markets have been volatile and the state of both the domestic and global economies has been uncertain. Governmental policies and actions in the United States, such as new tariffs, trade restrictions and resulting trade conflicts, cuts in government spending or the failure to increase the federal debt ceiling, could lead to further financial market volatility and harm the economy. Adverse credit conditions in the future could have a negative impact on our ability to execute on future strategic activities. In addition, if credit is difficult to obtain in the future, some customers may delay or reduce purchases. Similarly, inflationary pressures have increased and may increase our costs or force us to increase prices for our products. In particular, in fiscal 2023, we experienced substantial inflationary pressure in our supply chain. Sustained higher prices continued throughout fiscal 2024, although we believe inflationary pressures were more stable. These events have resulted or could in the future result in higher product costs, reductions in sales of our products, longer sales cycles, slower adoption of new technologies, increased accounts receivable and inventory write-offs and increased price competition. If recessionary conditions exist and continue for an extended period of time, our business and results of operations may be materially adversely affected. We also purchase large amounts of commodity-based raw materials. Prevailing prices for such commodities are subject to fluctuations due to changes in supply and demand, tariffs, and a variety of additional factors beyond our control, such as global political and economic conditions. Any of these events would likely harm our business, results of operations and financial condition.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are subject to risks that we do not face in the United States, which could have an adverse effect on our operating results.</w:t>
      </w:r>
    </w:p>
    <w:p>
      <w:pPr>
        <w:spacing w:after="0" w:line="24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recent years, a substantial amount of our consolidated revenues were recognized from customers outside of the United States. For example, 31% of our revenues in fiscal 2024 and 37% of our revenues in fiscal 2023 were recognized from sales outside the United States. We also manufacture certain of our products and purchase a portion of our raw materials and components from suppliers in other foreign countries. The ongoing wars between Ukraine and Russia and Israel and Hamas have caused increased raw material costs and material shortages and, as a result, adversely impacted certain of our suppliers. Our international operations are subject to a variety of risks that we do not face in the United States, including:</w:t>
      </w:r>
    </w:p>
    <w:p>
      <w:pPr>
        <w:spacing w:after="0" w:line="183"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payment cycles for sales in foreign countries and difficulties in collecting accounts receivable;</w:t>
      </w:r>
    </w:p>
    <w:p>
      <w:pPr>
        <w:spacing w:after="0" w:line="130"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foreign offices and the increased travel, infrastructure and legal compliance costs associated with multiple international locations;</w:t>
      </w:r>
    </w:p>
    <w:p>
      <w:pPr>
        <w:spacing w:after="0" w:line="6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unexpected adverse changes in, foreign laws or regulatory requirements;</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foreign currency exchange rate risk;</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 and</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political unrest, war or acts of terrorism.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Trade tensions between the U.S. and China, the U.S. and Russia, as well as those between the U.S. and Canada, Mexico and other countries have been escalating in recent years. Increased tariffs, sanctions, and other trade restrictions, as well as the existing and potential further responses from countries subject to such tariffs, sanctions, and other trade restrictions, could adversely affect the global economy and financial markets and could adversely affect our business, financial condition and results of operations.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the effect that new quotas, tariffs, taxes or other trade barriers upon the importation or exportation of our products or gauge the effect that new barriers would have on our financial position or results of operations. These new tariffs or any additional tariffs or other trade barriers may cause our costs to increase, our products to be less competitive, and our business, results of operations and financial position to be materially adversely affected.</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increasing losses.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products face competition, which could limit our ability to acquire or retain customers.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competitive and many of our competitors have substantially greater financial resources and research and development, manufacturing and marketing capabilities than we do. In addition, as our target markets develop, other large industrial companies may enter these fields and compete with us.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face competition from other companies offering FACTS systems similar to our D-VAR products. These include adaptive VAR compensators, Dynamic voltage restorers (“DVRs”), and STATCOMs produced by ABB, Hitachi, Ingeteam, Mitsubishi, RXHK, and Siemens, and battery-based uninterruptable power supply (“UPS”) systems offered by various companies around the world.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face competition from other companies offering medium-voltage metal-enclosed power capacitor banks and harmonic filter banks for use on electric power systems similar to our NEPSI products. These include Southern States, Controllix, Powerside, Elgin Power Solutions (formally Gilbert), Scott Manufacturing Solutions, and QVARx.</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face competition from other companies offering DC power supply systems similar to our Neeltran products. These include SCR Controlled Rectifiers, IGBT-controlled choppers produced by ABB, Siemens, Friem, Dynapower, and Nidec offering systems around the world.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face competition from other companies offering transformers and power supplies similar to our NWL products. These include industrial and military transformers produced by Espey Manufacturing &amp; Electronics Corp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Hammond and Ocrev, and power supplies offered by Kraft Powercon, Andritz, Lonking Holdings, and Rico.</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Maritime, L3 Harris, and Raytheon have the bulk of the copper-based business today.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the HTS systems markets develop, other large industrial companies may enter those fields and compete with us. If we are unable to compete successfully, it may harm our business, which in turn may limit our ability to acquire or retain customers.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respect to our Wind business, other companies that serve the wind turbine components industry include ABB and Hopewind. We also face indirect competition in the wind energy market from global manufacturers of wind turbines, such as Siemens Gamesa, Vestas, Envision and Suzlon. We face competition for the supply of wind turbine engineering design services from design engineering firms such as Aerovide and W2E.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competition in these markets could adversely affect our operating results by reducing the volume of the products we sell or the prices we can charge. These competitors may be able to respond more rapidly than us to new or emerging technologies or changes in customer requirements. They may also devote greater resources to the development, promotion and sale of their products than we do. Our success depends significantly upon our ability to enhance our products and technologies and to develop and introduce, on a timely and cost-effective basis, new products and features that meet changing customer requirements and incorporate technological enhancements. If we are unable to develop new products and enhance functionalities or technologies to adapt to these changes, our business will suffer. We can provide no assurance that we will continue to effectively compete against our current competitors or additional companies that may enter our markets.</w:t>
      </w:r>
    </w:p>
    <w:p>
      <w:pPr>
        <w:spacing w:after="0" w:line="18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operations in India. Our financial performance depends upon our ability to carry on our operations and sell our products in markets such as India,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public health emergencies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financial performance could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Operations in foreign countries also expose us to risks relating to difficulties in enforcing our proprietary rights, currency fluctuations and adverse or deteriorating economic conditions. For example, the ongoing war between Ukraine and Russia has caused increased raw material costs and material shortages for, and adversely impacted, certain of our suppliers.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could result in more powerful competitors and fewer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Competitors in the industries in which we operate are consolidating. If our competitors consolidate, they likely will increase their market share, gain economies of scale that enhance their ability to compete with us and/or acquire additional products and technologies that could displace our product offerings. Our customer base also is undergoing consolidation. Consolidation within our customers’ industries could affect our customers and their relationships with us. If one of our competitors’ customers acquires any of our customers, we may lose that business. Additionally, if our customers become larger and more concentrated, they could exert pricing pressure on all suppliers, including us. If we were to lose market share or customers or face pricing pressure due to consolidation of our customers, our results of operations and financial condition could be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could depend upon the commercial adoption of the REG system, which is currently limited, and a widespread commercial market for our REG products may not develop.</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date, there has been no widespread commercial use of the REG system. It is uncertain whether a robust commercial market for those new and unproven products will ever develop.</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we believe in-grid demonstrations of REG systems are necessary to convince utilities and power grid operators of the benefits of this technology. Even if a project is funded, completion of projects can be delayed as a result of other factors. It is possible that the market demands we currently anticipate for our REG system will not develop and that they will never achieve widespread commercial acceptance. In such event, we would not be able to implement our strategy, and our results of operations could be adversely affected. Even if a commercial market for our REG systems were to develop, commercial terms requested by utilities and power grid operators relating to bonding requirements, limitations of liability, warranty periods, or other contractual provisions, may not be acceptable to us, which could impede our ability to enter into contractual arrangements for the sale of our REG system.</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Increasing focus and scrutiny on environmental sustainability and social initiatives could adversely impact our business and financial results.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climate, human capital, and other environmental, social and similar sustainability matters. If we are not effective in addressing environmental, social and other sustainability matters affecting our business, including any relevant sustainability goals, our reputation and financial results may suffer. While we may at times engage in voluntary initiatives (such as voluntary disclosures, certifications, or goals, among others) to improve our environmental, social, and governance ("ESG") profile or respond to stakeholder expectations, such initiatives may be costly and may not have the desired effect. For example, methodologies and data relevant to many ESG matters are evolving, in some cases quite rapidly; as a result, actions or statements that we may take based on information or processes we currently believe to be reasonable may subsequently be determined to be erroneous or not in keeping with current or future best practice. Moreover, we may not be able to successfully complete such initiatives due to factors that are within or outside of our control. Even if this is not the case, we cannot guarantee that our approaches or results will align with the expectations of any particular stakeholder. Stakeholder expectations are not uniform, and both advocates and opponents to certain ESG matters are increasingly resorting to a range of activism forms, including media campaigns and litigation, to advance their perspectives. There are also increasing regulatory requirements related to various ESG matters. For example, various policymakers have adopted, or are considering adopting, requirements for the disclosure of climate- or other ESG-related information, or certain substantive considerations regarding ESG in operations, which may require significant additional costs to comply. As with other stakeholder expectations, such regulations are divergent and, at times, conflict, which may increase the costs and complexity of compliance and any associated risks. Any failure to successfully navigate regulatory developments and other stakeholder expectations may result in additional costs, difficulties in attracting or retaining customers or employees, reputational harm, regulatory or investor engagement, or other adverse impacts. Additionally, many of our customers and suppliers may be subject to similar expectations, which may augment or create additional risks, including risks that may not be known to us.</w:t>
      </w:r>
    </w:p>
    <w:p>
      <w:pPr>
        <w:spacing w:after="0" w:line="18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of the wind energy market depends largely on the availability and size of government subsidies, economic incentives and legislative programs designed to support the growth of wind energy.</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In the United States, various legislation and regulations designed to support the growth of wind energy have been implemented or proposed by the federal government, such as the Inflation Reduction Act, Production Tax Credit for Renewable Energy (“PTC”) and the Clean Power Plan. Governments, including the U.S. government, may decide to reduce or eliminate these economic incentives, or curtail legislative programs supportive of wind energy technologies for political, financial or other reasons. Any reductions in, or eliminations of, government subsidies, economic incentives or favorable legislative programs before the wind energy industry reaches a sufficient scale to be cost-effective in a non-subsidized marketplace could reduce demand for our products and adversely affect our business prospects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Lower prices for other energy sources may reduce the demand for wind energy development, which could have a material adverse effect on our ability to grow our Wind business.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wind energy market is affected by the price and availability of other energy sources, including nuclear, coal, natural gas and oil, as well as other sources of renewable energy. To the extent renewable energy, particularly wind energy, becomes less cost-competitive due to reduced government targets, increases in the cost of wind energy, new regulations, incentives that favor alternative renewable energy, cheaper alternatives or otherwise, demand for wind energy and other forms of renewable energy could decrease. Slow growth or a long-term reduction in the demand for renewable energy could have a material adverse effect on our ability to grow our Wind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8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may not provide meaningful or long-term protection for our technology, which could result in us losing some or all of our market position.</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own or have licensing rights under many patents and pending patent applications. However, the patents that we own or license may not provide us with meaningful or long-term protection of our technologies and may not prevent our competitors from using similar technologies for a variety of reasons, such as:</w:t>
      </w:r>
    </w:p>
    <w:p>
      <w:pPr>
        <w:spacing w:after="0" w:line="176"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result in patents being issued;</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patents may expire;</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may be challenged by third parties; and</w:t>
      </w:r>
    </w:p>
    <w:p>
      <w:pPr>
        <w:spacing w:after="0" w:line="157"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technologies not protected by our patents or design around the patented aspects of any technologies we develop.</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particular, if any material patents expire, we may not be able to prevent competitors from producing products similar to ours, possibly at lower prices, which could adversely impact our business, results of operations, and financial condition.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we could incur substantial litigation costs in defending the validity of or enforcing our own patents. We also rely on trade secrets and proprietary know-how to protect our intellectual property. However, our confidentiality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83"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experienced, and may continue to experience, market price and volume fluctuations, which may prevent our stockholders from selling our common stock at a profit and could lead to costly litigation against us that could divert our management’s attention.</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broad market fluctuations have and could continue to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litigation costs, a damages award against us and the further diversion of our management’s attention.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have a material adverse effect on our business, operating results and financial condition.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and claims that arise in or outside the ordinary course of business. Results of legal proceedings cannot be predicted with certainty.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legal proceedings could have a material adverse effect on our business, operating results or financial condition. Regardless of merit, legal proceedings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technologies, systems and networks may be subject to cybersecurity threats. Our business, like others within the energy technologies industry, is faced with growing cybersecurity threats as we increasingly rely on digital technologies across our business, some of which are managed by third-party service providers on whom we rely to help us collect, host or process information.</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recognize the significance of these threats, sometimes referred to as hacking, cybersecurity fraud, and cyberattacks, and maintains processes and procedures designed to protect our critical systems and sensitive information from unauthorized access. However, there can be no assurance that a cyber-attack would timely be detected or thwarted. To date, we are not aware of any material cybersecurity incidents that have materially affected or are reasonably likely to materially affect us, and we have not incurred significant operating expenses related to cybersecurity incidents. For more information on risks related to cybersecurity, please see the section titled “Risk Factors” included under Item 1A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includes operational, technical and physical controls to protect against and respond timely to cybersecurity threats. To address evolving cybersecurity risks and corresponding regulations, our policies and procedures are benchmarked to industry, regulatory and cybersecurity frameworks (including the National Institute of Standards and Technology). This does not imply that we meet any particular technical standards, specifications, or requirements, only that we may use industry, regulatory, and cybersecurity frameworks as a guide to help us identify, assess, and manage cybersecurity risks relevant to our business.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has engaged third-party vendors to assist in monitoring our cybersecurity risk management programs and identifying and responding to any incidents. Additionally, third-party vendors are routinely engaged to evaluate how effectively management as a whole manages cybersecurity risk. This includes annual testing of our incident response plan through tabletop exercises and simulations to ensure readiness as well as penetration testing and security assessments. We also utilize third-party cybersecurity vendors to assess our protections against identified vulnerabilities, and we have implemented a third-party risk management process for key service providers, based on our assessment of their criticality to our operations.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developed cybersecurity training for employees concerning cybersecurity risk. This training provides information on security awareness and phishing simulations. All employees are required to attend periodic cybersecurity training. On a regular basis, our IT team shares news and articles related to cybersecurity awareness with all employees.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is performed annually and includes external and internal penetration testing performed by third party vendors to test for vulnerabilities in the Company’s environment.</w:t>
      </w:r>
    </w:p>
    <w:p>
      <w:pPr>
        <w:spacing w:after="0" w:line="15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Our business and operations may be materially adversely impacted in the event of a failure or security breach of our or any critical third parties' IT Systems or Confidential Information."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Board of Directors has delegated the oversight of risks from cybersecurity threats to the Audit Committee, which has delegated authority to the Chief Financial Officer to oversee the Company’s day-to-day cybersecurity risk management, including prevention, detection and responding to any suspected cybersecurity incident.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Audit Committee is updated at least annually by the CFO on the status of cybersecurity matters. Contemporaneous reporting is provided on an as needed basis to the Audit Committee and to the full Board of Directors on significant cyber events including response, legal obligations, and outreach and notification to regulators, and third parties when needed.</w:t>
      </w:r>
    </w:p>
    <w:p>
      <w:pPr>
        <w:spacing w:after="0" w:line="16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Director, Global Information Technology and Financial Systems (the “IT Director”), leads an internal team who work directly with our third-party vendors to manage our cybersecurity risk management program and activities. The internal team monitors our information systems for cybersecurity threats, reviews cybersecurity incidents, analyzes emerging threats, and develops and implements risk mitigation strategies. Under our CFO’s authority, the IT Director periodically reports on the cybersecurity program to our executive leadership team, including by providing the team with updates on cybersecurity threats and incidents, the status of ongoing projects and initiatives, performance metrics, and additional cybersecurity topics. On an annual basis, the IT Director reviews the results of the current state of cybersecurity risk management, including the results of our cybersecurity risk assessment and any action plan to address any identified vulnerabilities.</w:t>
      </w:r>
    </w:p>
    <w:p>
      <w:pPr>
        <w:spacing w:after="0" w:line="200" w:lineRule="exact"/>
        <w:rPr>
          <w:sz w:val="20"/>
          <w:szCs w:val="20"/>
          <w:color w:val="auto"/>
        </w:rPr>
      </w:pPr>
    </w:p>
    <w:p>
      <w:pPr>
        <w:spacing w:after="0" w:line="22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corporate headquarters and Grid manufacturing operations are located in a leased 88,000-square-foot facility in Ayer, Massachusetts. Additionally, we have Grid manufacturing operations located in a leased 77,500 square-foot facility in Westminster, Massachusetts, and a 43,000 square-foot facility in Silesian, Poland, as well as an owned 35,000 square-foot facility in Queensbury, New York, an owned 126,800 square-foot facility in Bordentown, New Jersey, an owned 85,000 square-foot facility in New Milford, Connecticut, and an owned 19,350 square-foot facility in Roebling, New Jersey.</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occupy leased facilities located in Australia, Austria, India, Wisconsin, Washington, and the United Kingdom with a combined total of approximately 72,000 square feet of space. These leases have varying expiration dates through January 2029 which can generally be terminated at our request after a six-month advance notice. These locations focus primarily on research and development, sales and/or field service and do not have significant leases or physical presence. We believe all of these facilities are well-maintained and suitable for their intended uses.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significant properties, as of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Supporting</w:t>
            </w:r>
          </w:p>
        </w:tc>
        <w:tc>
          <w:tcPr>
            <w:tcW w:w="120" w:type="dxa"/>
            <w:vAlign w:val="bottom"/>
          </w:tcPr>
          <w:p>
            <w:pPr>
              <w:spacing w:after="0"/>
              <w:rPr>
                <w:sz w:val="20"/>
                <w:szCs w:val="20"/>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r>
      <w:tr>
        <w:trPr>
          <w:trHeight w:val="209"/>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Ayer, Massachusetts</w:t>
            </w: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&amp; 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88,000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Bordentown, New Jersey</w:t>
            </w: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126,800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Milford, Connecticut</w:t>
            </w: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85,000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Queensbury, New York</w:t>
            </w: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35,000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Roebling, New Jersey</w:t>
            </w: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19,350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Westminster, Massachusetts</w:t>
            </w: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77,500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Bielsko-Biala, Silesian</w:t>
            </w: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43,000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460" w:hanging="1457"/>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“AMSC” since 1991.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holders of record of our common stock on May 16, 2025 was 179.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from March 31, 2020 to March 31, 2025 with the cumulative total return of (i) the Nasdaq Composite Index and (ii) the Nasdaq Electrical Components &amp; Equipment Index.</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graph assumes the investment of $100.00 on March 31, 2020 in our common stock, the Nasdaq Composite Index and the Nasdaq Electrical Components &amp; Equipment Index, and assumes any dividends are reinvested. Measurement points are March 31, 2020; March 31, 2021; March 31, 2022; March 31, 2023; March 31, 2024; and March 31, 2025.</w:t>
      </w:r>
    </w:p>
    <w:p>
      <w:pPr>
        <w:spacing w:after="0" w:line="388" w:lineRule="exact"/>
        <w:rPr>
          <w:sz w:val="20"/>
          <w:szCs w:val="20"/>
          <w:color w:val="auto"/>
        </w:rPr>
      </w:pPr>
    </w:p>
    <w:p>
      <w:pPr>
        <w:jc w:val="center"/>
        <w:ind w:left="440" w:right="2140"/>
        <w:spacing w:after="0" w:line="268" w:lineRule="auto"/>
        <w:rPr>
          <w:sz w:val="20"/>
          <w:szCs w:val="20"/>
          <w:color w:val="auto"/>
        </w:rPr>
      </w:pPr>
      <w:r>
        <w:rPr>
          <w:rFonts w:ascii="Times New Roman" w:cs="Times New Roman" w:eastAsia="Times New Roman" w:hAnsi="Times New Roman"/>
          <w:sz w:val="18"/>
          <w:szCs w:val="18"/>
          <w:b w:val="1"/>
          <w:bCs w:val="1"/>
          <w:color w:val="auto"/>
        </w:rPr>
        <w:t>COMPARISON OF 5 YEAR CUMULATIVE TOTAL RETURN Among American Superconductor Corporation, the Nasdaq Composite Index and the Nasdaq Electrical Components &amp;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122555</wp:posOffset>
            </wp:positionV>
            <wp:extent cx="6360795" cy="3248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6079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Company/Index</w:t>
            </w:r>
          </w:p>
        </w:tc>
        <w:tc>
          <w:tcPr>
            <w:tcW w:w="18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8"/>
                <w:szCs w:val="18"/>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Superconductor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0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351.82</w:t>
            </w:r>
          </w:p>
        </w:tc>
        <w:tc>
          <w:tcPr>
            <w:tcW w:w="156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162.41</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75.00</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235.40</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331.02</w:t>
            </w:r>
          </w:p>
        </w:tc>
        <w:tc>
          <w:tcPr>
            <w:tcW w:w="14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169.65</w:t>
            </w:r>
          </w:p>
        </w:tc>
        <w:tc>
          <w:tcPr>
            <w:tcW w:w="15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185.88</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157.18</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218.62</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233.47</w:t>
            </w:r>
          </w:p>
        </w:tc>
        <w:tc>
          <w:tcPr>
            <w:tcW w:w="140" w:type="dxa"/>
            <w:vAlign w:val="bottom"/>
          </w:tcPr>
          <w:p>
            <w:pPr>
              <w:spacing w:after="0"/>
              <w:rPr>
                <w:sz w:val="18"/>
                <w:szCs w:val="18"/>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Nasdaq Electrical Components &amp;</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Index</w:t>
            </w:r>
          </w:p>
        </w:tc>
        <w:tc>
          <w:tcPr>
            <w:tcW w:w="18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0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175.83</w:t>
            </w:r>
          </w:p>
        </w:tc>
        <w:tc>
          <w:tcPr>
            <w:tcW w:w="156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187.81</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183.07</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223.64</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256.20</w:t>
            </w:r>
          </w:p>
        </w:tc>
        <w:tc>
          <w:tcPr>
            <w:tcW w:w="140" w:type="dxa"/>
            <w:vAlign w:val="bottom"/>
            <w:shd w:val="clear" w:color="auto" w:fill="CCEEFF"/>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RESERVED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7" w:name="page38"/>
    <w:bookmarkEnd w:id="37"/>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our business under two market-facing business segments: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74" w:lineRule="exact"/>
        <w:rPr>
          <w:sz w:val="20"/>
          <w:szCs w:val="20"/>
          <w:color w:val="auto"/>
        </w:rPr>
      </w:pPr>
    </w:p>
    <w:p>
      <w:pPr>
        <w:jc w:val="both"/>
        <w:ind w:left="520" w:hanging="229"/>
        <w:spacing w:after="0" w:line="257"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Through our Gridtec™ Solutions, our Grid business segment enables electric utilities, industrial facilities, and renewable energy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87" w:lineRule="exact"/>
        <w:rPr>
          <w:rFonts w:ascii="Times New Roman" w:cs="Times New Roman" w:eastAsia="Times New Roman" w:hAnsi="Times New Roman"/>
          <w:sz w:val="18"/>
          <w:szCs w:val="18"/>
          <w:color w:val="auto"/>
        </w:rPr>
      </w:pPr>
    </w:p>
    <w:p>
      <w:pPr>
        <w:jc w:val="both"/>
        <w:ind w:left="520" w:hanging="229"/>
        <w:spacing w:after="0" w:line="258"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Through our Windtec™ Solutions, our Wind business segment enables manufacturers to field wind turbines with exceptional power output,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p>
      <w:pPr>
        <w:spacing w:after="0" w:line="9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that began on April 1 of that same year. For example, fiscal 2024 refers to the fiscal year that began on April 1, 2024. Other fiscal years follow similarly.</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Changes in macroeconomic conditions arising from various reasons, such as the ongoing wars between Russia and Ukraine, and Israel and Hamas, tariffs, trade restrictions and resulting trade conflicts, labor force availability, sourcing, material delays and global supply chain disruptions could have a material adverse effect on our business, financial condition and results of operation.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 2024, we entered into a Stock Purchase Agreement (the “Stock Purchase Agreement”) with the selling stockholders named therein. Pursuant to the terms of the Stock Purchase Agreement and concurrently with entering into such agreement, we acquired all of the issued and outstanding shares of Megatran, Industries, Inc.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we paid the Additional Cash Purchase Price to the selling stockholders, which was calculated based on the agreed upon formula set forth in the Stock Purchase Agreement, in the amount of $8.3 million which includes the Additional Cash Purchase Price and the make whole payment. Megatran's wholly-owned subsidiary, NWL, Inc. ("NWL"), is a U.S.-based global provider of engineered power conversion solutions for demanding industrial and military applications. As a result of this transaction, Megatran became a wholly-owned subsidiary and is operated by our Grid business segment. We refer to this transaction as the "acquisition of NWL".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2025 and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revenues increased by 53% to $222.8 million in fiscal 2024 from $145.6 million in fiscal 2023. Our revenues are summarized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09"/>
        </w:trPr>
        <w:tc>
          <w:tcPr>
            <w:tcW w:w="8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Grid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122,065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Wind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222,818</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145,639</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Revenues in our Grid business segment are derived from our D-VAR product sales, Northeast Power Systems, Inc. ("NEPSI") product sales, Neeltran, Inc. ("Neeltran") product sales, NWL product sales, HTS wire sales, ship protection systems ("SPS"), government-sponsored electric utility projects and other prototype development contracts. We also engineer, install and commission our products on a turnkey-basis for some customers. The Grid business segment accounted for 84% of total revenues in both fiscal 2024 and 2023. Grid revenues increased 53% to $187.2 million in fiscal 2024 from $122.1 million in fiscal 2023. The increase in revenues was driven by higher D-VAR and NEPSI revenues than in the prior year period along with the NWL revenues earned after the acquisition of NWL.</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Revenues in our Wind business segment are derived from wind turbine electrical control systems and core components, wind turbine license and development contracts, service contracts and consulting arrangements. Our Wind business segment accounted for 16% of total revenues in both fiscal 2024 and 2023. Revenues in the Wind business segment increased 51% to $35.6 million in fiscal 2024 from $23.6 million in fiscal 2023. The increase over the prior year period was driven by additional shipments of electrical control systems ("ECS") at increased prices.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increased by 46% to $161.0 million in fiscal 2024, compared to $110.4 million in fiscal 2023. Gross margin increased to 28% in fiscal 2024 from 24% in fiscal 2023. The increase in gross margin in fiscal 2024 was due to additional revenues, a favorable product mix, and a sharp improvement in Neeltran project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by 43% to $11.4 million, or 5% of revenue in fiscal 2024, compared to $8.0 million, or 5% of revenue, in fiscal 2023. The increase in R&amp;D expenses is primarily a result of additional total compensation and stock compensation expense due in part to additional employees as a result of the acquisition of NWL.</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36% to $43.1 million, or 19% of revenue in fiscal 2024 from $31.6 million, or 22% of revenue, in fiscal 2023. The increase in SG&amp;A expenses is primarily a result of higher total compensation expense, additional stock compensation expense and acquisition costs related to the acquisition of NWL.</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Amortization of acquisition related intangibles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recorded $1.7 million in fiscal 2024 and $2.2 million in fiscal 2023 in amortization expense related to our core technology and know-how, customer relationships, and other intangible assets. The decrease in amortization expense is primarily a result of using the economic consumption method as the basis to amortize the acquired customer relationship intangible assets related to NEPSI and Neeltran, partially offset by the increase related to amortization of NWL related intangibles.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change in fair value of our contingent consideration for the earnout payment on the acquisition of NEPSI resulted in a loss of $3.4 million resulting from an increase in fair value in fiscal 2024, and $4.9 million during fiscal 2023. During fiscal 2024, we issued 300,000 shares of our common stock to the selling stockholders following certification of the achievement of specified earnout revenue objectives. We also recorded a $3.3 million payment relating to the acquisition of NWL, as a payment to settle the remaining obligations after the acquisition. The value of this contingent consideration was de minimis at the Acquisition Date and the resulting change in fair value was recorded in September 2024 when the payment was calculated and paid.</w:t>
      </w:r>
    </w:p>
    <w:p>
      <w:pPr>
        <w:sectPr>
          <w:pgSz w:w="11900" w:h="16838" w:orient="portrait"/>
          <w:cols w:equalWidth="0" w:num="1">
            <w:col w:w="11240"/>
          </w:cols>
          <w:pgMar w:left="320" w:top="576"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income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40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(6,909)</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34"/>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280" w:space="720"/>
            <w:col w:w="3240"/>
          </w:cols>
          <w:pgMar w:left="320" w:top="576" w:right="339" w:bottom="1440" w:gutter="0" w:footer="0" w:header="0"/>
          <w:type w:val="continuous"/>
        </w:sectPr>
      </w:pPr>
    </w:p>
    <w:bookmarkStart w:id="40" w:name="page41"/>
    <w:bookmarkEnd w:id="4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Grid business segment generated operating income of $1.8 million in fiscal 2024 and operating loss of $6.9 million in fiscal 2023. The improvement in the Grid business segment was due to higher revenues and gross margins in fiscal 2024, compared to fiscal 2023.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Wind segment generated operating income of $3.8 million in fiscal 2024 and $0.4 million in fiscal 2023. The increase in the Wind business segment operating income was due to higher revenue and gross margins in fiscal 2024, compared to fiscal 2023.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Unallocated corporate expenses consisted of a loss on contingent consideration of $6.7 million in fiscal 2024, and a loss on contingent consideration of $4.9 million in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net was $3.7 million in fiscal 2024 compared to $1.3 million for fiscal 2023. The increase in interest income, net, was primarily due to higher cash balances in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net was $0.3 million in fiscal 2024, compared to $0.7 million in fiscal 2023. The decrease in other expense was driven by the impacts of more favorable fluctuations in foreign currencies in fiscal 2024, compared to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recorded an income tax benefit of $3.7 million in fiscal 2024, compared to income tax expense of $0.3 million in fiscal 2023. The net improvement in income tax is a result of the release of the valuation allowance due to the recording of the deferred tax liability from the acquisition of NWL.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income was $6.0 million in fiscal 2024, compared to net loss of $11.1 million in fiscal 2023. The improvement in net income was driven primarily by higher revenues and gross margins in fiscal 2024 and other factors described above.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Please refer to the “Risk Factors” section in Part I, Item 1A, for a discussion of certain factors that may affect our future results of operations and financial condition.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Non-GAAP Net Income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generally accepted accounting principles in the United States (“GAAP”). The non-GAAP measures included in this Form 10-K, however, should be considered in addition to, and not as a substitute for or superior to the comparable measure prepared in accordance with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define non-GAAP net income as net income (loss) before stock-based compensation, amortization of acquisition-related intangibles, change in fair value of contingent consideration, acquisition costs, and other non-cash or unusual charges. We believe non-GAAP net income assists management and investors in comparing our performance across reporting periods on a consistent basis by excluding these non-cash charges and other items that we do not believe are indicative of our core operating performance. In addition, we use non-GAAP net income as a factor to evaluate the effectiveness of our business strategies. A reconciliation of GAAP net income (loss) to non-GAAP net income is set forth in the table below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c>
          <w:tcPr>
            <w:tcW w:w="10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(11,111)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4,922</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0"/>
        </w:trPr>
        <w:tc>
          <w:tcPr>
            <w:tcW w:w="8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8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Non-GAAP net income per share - diluted</w:t>
            </w: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36,990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29,825</w:t>
            </w:r>
          </w:p>
        </w:tc>
      </w:tr>
      <w:tr>
        <w:trPr>
          <w:trHeight w:val="20"/>
        </w:trPr>
        <w:tc>
          <w:tcPr>
            <w:tcW w:w="8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37,718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30,909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Non-GAAP net income was $24.0 million, or $0.65 per share, for fiscal 2024, compared to $0.6 million, or $0.02 per share, for fiscal 2023. The improvement in non-GAAP net income in fiscal 2024 compared to fiscal 2023 was due to improved operating income driven by higher revenues and gross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primary sources of liquidity are internally generated cash provided by operating activities, our cash and cash equivalents on hand, along with access to capital markets. The Company believes that these sources of liquidity provide adequate liquidity to meet both its short-term and reasonably foreseeable long-term requirements and obligations. At March 31, 2025, we had cash, cash equivalents and restricted cash of $85.4 million, compared to $92.3 million at March 31, 2024, a decrease of $6.9 million. As of March 31, 2025, we had approximately $4.7 million in cash, cash equivalents and restricted cash in foreign bank accounts. Our cash, cash equivalents and restricted cash are summarized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79,494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85,381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92,280</w:t>
            </w:r>
          </w:p>
        </w:tc>
      </w:tr>
      <w:tr>
        <w:trPr>
          <w:trHeight w:val="413"/>
        </w:trPr>
        <w:tc>
          <w:tcPr>
            <w:tcW w:w="4460" w:type="dxa"/>
            <w:vAlign w:val="bottom"/>
            <w:tcBorders>
              <w:top w:val="single" w:sz="8" w:color="CCEEFF"/>
            </w:tcBorders>
          </w:tcPr>
          <w:p>
            <w:pPr>
              <w:spacing w:after="0"/>
              <w:rPr>
                <w:sz w:val="24"/>
                <w:szCs w:val="24"/>
                <w:color w:val="auto"/>
              </w:rPr>
            </w:pPr>
          </w:p>
        </w:tc>
        <w:tc>
          <w:tcPr>
            <w:tcW w:w="35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2" w:name="page43"/>
    <w:bookmarkEnd w:id="42"/>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$28.3 million compared to net cash used in operating activities of $2.1 million in fiscal 2024 and 2023, respectively. The increase in net cash provided by operations in fiscal 2024 compared to fiscal 2023 was driven primarily by higher gross margins, favorable changes in accounts payable and accrued expenses, relief of deferred revenue, increased non-cash expenses like stock-based compensation, depreciation and amortization, and change in fair value of contingent consideration, offset by decreased cash collections, increased prepaid balances, and change in deferred income taxes.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$35.2 million and $1.0 million in fiscal 2024 and 2023, respectively. The increase in net cash used in investing activities in fiscal 2024 compared to fiscal 2023 was due primarily to cash paid for the acquisition of NWL.</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less than $0.1 million compared to $65.4 million in fiscal 2024 and 2023, respectively. The decrease in cash provided by financing activities was primarily related to net proceeds received from an equity offering in fiscal 2023, while the Company had no equity offerings in fiscal 2024.</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March 31, 2025, we had $4.3 million of restricted cash included in long-term assets and $1.6 million of restricted cash in current assets. At March 31, 2024, we had $1.3 million of restricted cash included in long-term assets and $0.5 million of restricted cash in current assets. These amounts included in restricted cash primarily represent collateral deposits to secure surety bonds and letters of credit for various customer contracts. These deposits are held in interest bearing accounts.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2024, we filed a shelf registration statement on Form S-3 that will expire three years from the date on which it was declared effective, March 15, 2027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 2024, we entered into the Stock Purchase Agreement with the selling stockholders named therein. Pursuant to the terms of the Stock Purchase Agreement and concurrently with entering into such agreement, we acquired all of the issued and outstanding shares of Megatran, for the Purchase Price of $61.4 million,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(b) a number of restricted shares (rounded up or down to the nearest whole share, as applicable) of our common stock equal to the quotient obtained by dividing (x) $31.4 million by (y) the closing price per share of our common stock on the Nasdaq Global Select Market on the last trading day immediately preceding the Acquisition Date; and (c) an additional cash payment equal to $5.0 million, as adjusted pursuant to Sections 5.6(c), (d), and (f) of the Stock Purchase Agreement. Megatran is now a wholly-owned subsidiary of the Company and, together with its wholly-owned subsidiaries and affiliates, is operated and reported as a component of its Grid business segment. On September 23, 2024, the Company paid $3.3 million to the selling stockholders, which was calculated based on the agreed upon formula set forth in the Stock Purchase Agreement. As of September 30, 2024, there are no remaining obligations to the selling stockholders of Megatran.</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August 2024, the Company filed an automatically-effective shelf registration statement on Form S-3 that will expire no later than August 12, 2027 (the “Second Form S-3”). The Second Form S-3 allows the Company to offer and sell from time-to-time unspecified amounts of common stock, debt securities, warrants or units comprised of any combination of these securities and allows certain selling stockholders to offer and sell from time-to-time common stock. The Second Form S-3 assisted the Megatran selling stockholders in the resale of their common stock and is intended to provide the Company flexibility to conduct registered sales of its securities, subject to market conditions, in order to fund its future capital needs. The terms of any future offering under the Second Form S-3 will be established at the time of such offering and will be described in a prospectus supplement filed with the SEC prior to the completion of any such offering.</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March 31, 2025,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16, "Leases", and Note 18, "Commitments and Contingencies" to our consolidated financial statements included elsewhere in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we have sufficient available liquidity to fund our operations and capital expenditures for the next twelve months.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tariffs, trade restrictions and resulting trade conflicts, the ongoing wars between Russia and Ukraine and Israel and Hamas, instability of financial institutions and political instability in the United States, on the global financial markets may reduce our ability to raise additional capital, if necessary, which could negatively impact our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March 31, 2025, we have adopted ASU 2023-07 and made the required disclosures, and noted no other material impact on our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We are evaluating the impact on our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The amendments in ASU 2024-02 contain amendments to the Codification that remove references to various FASB Concepts Statements. Following the release of ASU 2024-02 in March 2024, the effective date will be annual reporting periods beginning after December 15, 2024. We are evaluating the impact on our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We are evaluating the impact on our consolidated financial statements.</w:t>
      </w:r>
    </w:p>
    <w:p>
      <w:pPr>
        <w:spacing w:after="0" w:line="18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do not believe that, outside of those disclosed here, there are any other recently issued accounting pronouncements that will have a material impact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17"/>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certain arrangements, such as contracts to perform research and development, prototype development contracts and certain customized product sales, we record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Significant judgement is required to estimate the total expected costs for projects that typically have a timeline of 12-24 months. Any increase or decrease in estimated costs to complete a performance obligation without a corresponding change to the contract price could impact the calculation of cumulative revenue to date and gross profit on the project. Factors that may result in a change to our estimate include delays in manufacturing, unforeseen engineering problems, the performance of subcontractors and material suppliers, among others.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 long history of working with multiple types of projects and preparing cost estimates, and we rely on the expertise of key personnel to prepare what we believe are reasonable best estimates given available facts and circumstances. Due to the nature of the work involved, however, judgment is involved to estimate the total costs to complete, and the amounts estimated could have a material impact on the revenue we recognize in each accounting period. We cannot estimate unforeseen events and circumstances which may result in actual results being materially different from previous estimates.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4, “Revenue Recognition,” for additional information.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account for acquisitions using the purchase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for each acquisition is allocated to the assets acquired and liabilities assumed based on their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at the date of acquisition. The excess purchase price over the estimated fair value of the net assets acquired and liabilities assumed is recorded as goodwill. Intangible assets, if identified, are also recorded.</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Determining the fair value of certain assets and liabilities assumed is judgmental in nature and often involves the use of significant estimates and assumptions as well as the use of specialists as needed. The Company utilizes management estimates and an independent third-party valuation firm to assist in determining the fair values of assets acquired, including intangible assets and liabilities assumed. The primary intangible assets acquired include customer relationship and trade names. Intangible assets are initially valued using a methodology commensurate with the intended use of the asset. The fair value of customer relationships is measured using the multi-period excess earnings method (“MPEEM”). The fair value of the trade names is measured using a relief-from-royalty (“RFR”) approach. The basis for future sales projections for both the MPEEM and RFR are based on internal revenue forecasts which the Company believes represents reasonable market participant assumptions. The future cash flows are discounted using an applicable discount rate. The key uncertainties in the calculations, as applicable, are the selection of an appropriate royalty rate, assumptions used in developing estimates of future cash flows, including revenue growth and expense forecasts, assumed customer attrition rates, as well as perceived risks associated with those forecasts in determining the discount rate. There is inherent uncertainty in forecasted cash flows and therefore, actual results may differ and could result in a subsequent impairment charge of acquired intangibles and/or goodwill.</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consideration for our acquisitions may include future payments that are contingent upon the occurrence of a particular event. We record a contingent consideration obligation for such contingent consideration payments at fair value on the acquisition date. We estimate the fair value of contingent consideration obligations through valuation models that incorporate probability adjusted assumptions related to the achievement of the milestones and the likelihood of making related payments.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net assets of acquired businesses that are consolidated. We perform our annual assessment of goodwill on February 28th of each fiscal year and whenever events or changes in circumstances or a triggering event indicate that the carrying amount may not be recoverable. An entity is permitted to first assess qualitatively whether it is necessary to perform a goodwill impairment test. Significant judgment is required to determine if an indication of impairment has taken place. Factors to be considered include the following: adverse change in operating results, decline in strategic business plans, significantly lower future cash flows, and sustainable declines in market data such as market capitalization. The quantitative impairment test is required only if the entity concludes that it is more likely than not that a reporting unit’s fair value is less than its carrying amount. We determine the fair value of a reporting unit, using a methodology which combines an income approach, using a discounted cash flow method, with a market approach. The income approach includes estimates and assumptions about revenue growth rates, operating margins and terminal growth rates, discounted by an estimated weighted-average cost of capital derived from other publicly-traded companies that are similar but not identical from an operational and economic standpoint. These estimates are based on historical experiences, our projects of future operating activity and our weighted-average cost of capital. A significant change in events, circumstances or any of these assumptions could adversely affect these estimates, which could result in an impairment.</w:t>
      </w:r>
    </w:p>
    <w:p>
      <w:pPr>
        <w:spacing w:after="0" w:line="1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performed our annual assessment of goodwill on February 28, 2025 including a quantitative assessment of our goodwill balance acquired from our acquisition of Neeltran, and a qualitative assessment of all other reporting units goodwill, and determined that there was no impairment to goodwill. See Note 5, “Goodwill,” for further information regarding our goodwill valuation assumptions.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 All deferred tax assets and liabilities are presented as non-current in the consolidated balance sheets.</w:t>
      </w:r>
    </w:p>
    <w:p>
      <w:pPr>
        <w:spacing w:after="0" w:line="18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See Note 14, “Income Taxes,” of our consolidated financial statements for further information regarding our income tax assumptions and expenses.</w:t>
      </w:r>
    </w:p>
    <w:p>
      <w:pPr>
        <w:spacing w:after="0" w:line="18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Item is not required for smaller reporting companies and the Company is relying on such exemption from disclosure as a former smaller reporting company during the year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American Superconductor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American Superconductor Corporation and its subsidiaries (the Company) as of March 31, 2025 and 2024, the related consolidated statements of operations, comprehensive income (loss), stockholders’ equity and cash flows for each of the two years in the period ended March 31, 2025, and the related notes to the consolidated financial statements (collectively, the financial statements). In our opinion, the financial statements present fairly, in all material respects, the financial position of the Company as of March 31, 2025 and 2024, and the results of its operations and its cash flows for each of the two years in the period ended March 31, 2025, in conformity with accounting principles generally accepted in the United States of America.</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March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May 21, 2025 expressed an unqualified opinion on the effectiveness of the Company’s internal control over financial reporting.</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Over-Time Revenue Recognition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described in Notes 3 and 4 of the consolidated financial statements, 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The ability to reliably estimate total estimated contract costs is challenging, especially on long-term prototype development contracts, and may require significant analysis and judgments by management, including evaluating customer change orders, to determine the appropriate amount of revenue to recognize.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pertaining to customer contracts satisfied over-time as a critical audit matter as there are significant judgments exercised by management in determining total estimated contract costs used in determining revenue recognition. Given the high degree of management judgment involved in various cost estimates that are used in the revenue calculations, the audit effort required to evaluate management’s judgments in determining revenue recognition for the Company’s contracts was extensive and required a high degree of auditor judgment.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audit procedures related to revenue recognition included the following, among others:</w:t>
      </w:r>
    </w:p>
    <w:p>
      <w:pPr>
        <w:spacing w:after="0" w:line="225" w:lineRule="exact"/>
        <w:rPr>
          <w:sz w:val="20"/>
          <w:szCs w:val="20"/>
          <w:color w:val="auto"/>
        </w:rPr>
      </w:pPr>
    </w:p>
    <w:p>
      <w:pPr>
        <w:ind w:left="1040" w:right="140" w:hanging="317"/>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internal controls related to revenue recognition and tested the design and operating effectiveness of those internal controls including management’s review control over the assumptions and key inputs used to recognize over-time revenue.</w:t>
      </w:r>
    </w:p>
    <w:p>
      <w:pPr>
        <w:spacing w:after="0" w:line="17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with customers and related revenue transactions and performed the following audit procedures:</w:t>
      </w:r>
    </w:p>
    <w:p>
      <w:pPr>
        <w:spacing w:after="0" w:line="225" w:lineRule="exact"/>
        <w:rPr>
          <w:sz w:val="20"/>
          <w:szCs w:val="20"/>
          <w:color w:val="auto"/>
        </w:rPr>
      </w:pPr>
    </w:p>
    <w:p>
      <w:pPr>
        <w:ind w:left="1360" w:right="160" w:hanging="326"/>
        <w:spacing w:after="0" w:line="272" w:lineRule="auto"/>
        <w:tabs>
          <w:tab w:leader="none" w:pos="1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customer contract, customer change orders (as applicable), related invoices, purchase orders, and management revenue recognition analysis for each testing selection, to evaluate if relevant contractual terms and transaction price were appropriately considered by management and conclusions on revenue recognition method were in accordance with the relevant accounting guidance.</w:t>
      </w:r>
    </w:p>
    <w:p>
      <w:pPr>
        <w:spacing w:after="0" w:line="1" w:lineRule="exact"/>
        <w:rPr>
          <w:rFonts w:ascii="Times New Roman" w:cs="Times New Roman" w:eastAsia="Times New Roman" w:hAnsi="Times New Roman"/>
          <w:sz w:val="17"/>
          <w:szCs w:val="17"/>
          <w:color w:val="auto"/>
        </w:rPr>
      </w:pPr>
    </w:p>
    <w:p>
      <w:pPr>
        <w:ind w:left="1360" w:right="120" w:hanging="326"/>
        <w:spacing w:after="0" w:line="250"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validity of data used in the model for completeness and accuracy by comparing selected items from the underlying budget to the source information used to develop the contract budget and agreeing, on a sample basis, costs incurred to source documents.</w:t>
      </w:r>
    </w:p>
    <w:p>
      <w:pPr>
        <w:ind w:left="1360" w:hanging="326"/>
        <w:spacing w:after="0" w:line="260"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estimations of total contract cost by assessing actual costs to date against projections made throughout the course of the contract term.</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Valuation of Certain Tangible and Intangible Assets in Business Combination</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As described in Note 2 of the consolidated financial statements, the Company completed the acquisition of Megatran Industries, Inc. on August 1, 2024, for total consideration of $61.4 million. The Company accounted for this transaction under the acquisition method of accounting for business combinations. Accordingly, the total consideration paid was allocated to the assets acquired and liabilities assumed based on their respective fair values, including identified intangible assets and land. The Company estimated the fair value of the identified intangible assets using the multi-period excess earnings method, which required management to make significant estimates and assumptions related to revenue growth and expense forecasts, customer attrition rates, and the selection of discount rates. The Company also made significant judgments regarding the estimates used to determine the fair value of the acquired land.</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identified the valuation of the identified intangible assets and land as a critical audit matter because of the significant estimates and assumptions management used in the fair value determination. Auditing management’s forecasted revenue growth and expenses, customer attrition rates, selection of the discount rates, and the fair value of acquired land required a high degree of auditor judgment and an increased extent of effort when performing audit procedures, including the use of our valuation specialists.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audit procedures related to the determination of the fair value of identified intangible assets and land, included the following, among others:</w:t>
      </w:r>
    </w:p>
    <w:p>
      <w:pPr>
        <w:spacing w:after="0" w:line="225" w:lineRule="exact"/>
        <w:rPr>
          <w:sz w:val="20"/>
          <w:szCs w:val="20"/>
          <w:color w:val="auto"/>
        </w:rPr>
      </w:pPr>
    </w:p>
    <w:p>
      <w:pPr>
        <w:ind w:left="1040" w:right="60" w:hanging="317"/>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internal controls related to the valuation of the identified intangible assets and land and tested the design and operating effectiveness of those internal controls including management’s review control over the assumptions and key inputs used in the purchase price allocation.</w:t>
      </w:r>
    </w:p>
    <w:p>
      <w:pPr>
        <w:spacing w:after="0" w:line="175" w:lineRule="exact"/>
        <w:rPr>
          <w:rFonts w:ascii="Times New Roman" w:cs="Times New Roman" w:eastAsia="Times New Roman" w:hAnsi="Times New Roman"/>
          <w:sz w:val="18"/>
          <w:szCs w:val="18"/>
          <w:color w:val="auto"/>
        </w:rPr>
      </w:pPr>
    </w:p>
    <w:p>
      <w:pPr>
        <w:ind w:left="1040" w:right="20" w:hanging="317"/>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growth and expenses forecasts and customer attrition rates by comparing the projections to historical results as well as industry benchmarks.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w:t>
      </w:r>
    </w:p>
    <w:p>
      <w:pPr>
        <w:spacing w:after="0" w:line="22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reasonableness of the Company’s valuation methodologies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Tested the source information underlying the determination of the discount rates and verified the accuracy of the calculations.</w:t>
      </w:r>
    </w:p>
    <w:p>
      <w:pPr>
        <w:spacing w:after="0" w:line="9" w:lineRule="exact"/>
        <w:rPr>
          <w:rFonts w:ascii="Times New Roman" w:cs="Times New Roman" w:eastAsia="Times New Roman" w:hAnsi="Times New Roman"/>
          <w:sz w:val="18"/>
          <w:szCs w:val="18"/>
          <w:color w:val="auto"/>
        </w:rPr>
      </w:pPr>
    </w:p>
    <w:p>
      <w:pPr>
        <w:ind w:left="1360" w:right="1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Tested the relevance and reliability of source information underlying the determination of fair value of the acquired land and compared to available market data.</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Developed an independent estimate of the fair value of the acquired land and compared to management’s estimate.</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Neeltran Goodwill Valuation Impairment Assessment</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As described in Notes 3 and 5 to the consolidated financial statements, management tests goodwill for impairment, at the reporting unit level, as of February 28 of each fiscal year, or more frequently if events or changes in circumstances indicate the goodwill asset might be impaired. The Company first assesses qualitatively whether it is necessary to perform a quantitative goodwill impairment test. The quantitative impairment test is required only if the entity concludes that it is more likely than not that a reporting unit’s fair value is less than its carrying amount. A quantitative assessment was performed as of February 28, 2025, for the Company’s goodwill balance resulting from its acquisition of Neeltran, Inc. To test goodwill quantitatively for impairment, management compares the estimated fair value of each reporting unit with the carrying amount of each reporting unit, including the recorded goodwill. In estimating the fair value of each reporting unit, management uses a methodology which combines an income approach, using a discounted cash flows method, with a market approach.</w:t>
      </w:r>
    </w:p>
    <w:p>
      <w:pPr>
        <w:spacing w:after="0" w:line="192"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We identified the goodwill impairment assessment for the Company’s Neeltran reporting unit as a critical audit matter because of the significant estimates and assumptions used by management when estimating the fair value of this reporting unit, including management’s forecasts of revenue growth</w:t>
      </w:r>
    </w:p>
    <w:p>
      <w:pPr>
        <w:sectPr>
          <w:pgSz w:w="11900" w:h="16841" w:orient="portrait"/>
          <w:cols w:equalWidth="0" w:num="1">
            <w:col w:w="11240"/>
          </w:cols>
          <w:pgMar w:left="320" w:top="576" w:right="339" w:bottom="0" w:gutter="0" w:footer="0" w:header="0"/>
        </w:sectPr>
      </w:pPr>
    </w:p>
    <w:bookmarkStart w:id="48" w:name="page49"/>
    <w:bookmarkEnd w:id="48"/>
    <w:p>
      <w:pPr>
        <w:ind w:right="200"/>
        <w:spacing w:after="0" w:line="312" w:lineRule="auto"/>
        <w:rPr>
          <w:sz w:val="20"/>
          <w:szCs w:val="20"/>
          <w:color w:val="auto"/>
        </w:rPr>
      </w:pPr>
      <w:r>
        <w:rPr>
          <w:rFonts w:ascii="Times New Roman" w:cs="Times New Roman" w:eastAsia="Times New Roman" w:hAnsi="Times New Roman"/>
          <w:sz w:val="17"/>
          <w:szCs w:val="17"/>
          <w:color w:val="auto"/>
        </w:rPr>
        <w:t>rates, operating margins and terminal growth rates as well as management’s selection of the discount rates. Auditing the reasonableness of management’s estimates and assumptions involved a high degree of auditor judgment and increased audit effort, including the use of our valuation specialists.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audit procedures related to the assessment of Neeltran goodwill impairment included the following, among others:</w:t>
      </w:r>
    </w:p>
    <w:p>
      <w:pPr>
        <w:spacing w:after="0" w:line="225" w:lineRule="exact"/>
        <w:rPr>
          <w:sz w:val="20"/>
          <w:szCs w:val="20"/>
          <w:color w:val="auto"/>
        </w:rPr>
      </w:pPr>
    </w:p>
    <w:p>
      <w:pPr>
        <w:ind w:left="1040" w:right="160" w:hanging="317"/>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internal controls related to management’s goodwill impairment assessment and tested the design and operating effectiveness of those internal controls including management’s review control over the significant assumptions in the goodwill impairment assessment.</w:t>
      </w:r>
    </w:p>
    <w:p>
      <w:pPr>
        <w:spacing w:after="0" w:line="17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 growth rates and operating margins by comparing the projections to historical results.</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used by management in their development of forecasts of revenue growth rates and operating margins for accuracy and completeness.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selection of comparable entities with similar operations and economic characteristics.</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w:t>
      </w:r>
    </w:p>
    <w:p>
      <w:pPr>
        <w:spacing w:after="0" w:line="225" w:lineRule="exact"/>
        <w:rPr>
          <w:rFonts w:ascii="Times New Roman" w:cs="Times New Roman" w:eastAsia="Times New Roman" w:hAnsi="Times New Roman"/>
          <w:sz w:val="18"/>
          <w:szCs w:val="18"/>
          <w:color w:val="auto"/>
        </w:rPr>
      </w:pPr>
    </w:p>
    <w:p>
      <w:pPr>
        <w:ind w:left="1360" w:right="76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reasonableness of the discount rate and multiple of earnings used in management’s assessment by comparing the underlying source information to publicly available market data and verifying the accuracy of the calculations</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appropriateness of the valuation methods used by management and tested their mathematical accuracy.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Inventory, net</w:t>
      </w:r>
    </w:p>
    <w:p>
      <w:pPr>
        <w:spacing w:after="0" w:line="19"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6"/>
          <w:szCs w:val="16"/>
          <w:color w:val="auto"/>
        </w:rPr>
        <w:t>Prepaid expenses and other current assets Restricted cash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Intangibles, net</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Goodwill</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Restricted cash</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Equity-method investments</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Other assets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3500"/>
        <w:spacing w:after="0" w:line="259" w:lineRule="auto"/>
        <w:rPr>
          <w:sz w:val="20"/>
          <w:szCs w:val="20"/>
          <w:color w:val="auto"/>
        </w:rPr>
      </w:pPr>
      <w:r>
        <w:rPr>
          <w:rFonts w:ascii="Times New Roman" w:cs="Times New Roman" w:eastAsia="Times New Roman" w:hAnsi="Times New Roman"/>
          <w:sz w:val="18"/>
          <w:szCs w:val="18"/>
          <w:b w:val="1"/>
          <w:bCs w:val="1"/>
          <w:color w:val="auto"/>
        </w:rPr>
        <w:t>AMERICAN SUPERCONDUCTOR CORPORATION PART I — FINANCIAL INFORMATION ITEM 1. FINANCIAL STATEMENTS CONSOLIDATED BALANCE SHEETS (In thousands)</w:t>
      </w:r>
    </w:p>
    <w:p>
      <w:pPr>
        <w:spacing w:after="0" w:line="186" w:lineRule="exact"/>
        <w:rPr>
          <w:sz w:val="20"/>
          <w:szCs w:val="20"/>
          <w:color w:val="auto"/>
        </w:rPr>
      </w:pPr>
    </w:p>
    <w:tbl>
      <w:tblPr>
        <w:tblLayout w:type="fixed"/>
        <w:tblInd w:w="448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590"/>
        </w:trPr>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79,494</w:t>
            </w:r>
          </w:p>
        </w:tc>
        <w:tc>
          <w:tcPr>
            <w:tcW w:w="100" w:type="dxa"/>
            <w:vAlign w:val="bottom"/>
          </w:tcPr>
          <w:p>
            <w:pPr>
              <w:spacing w:after="0"/>
              <w:rPr>
                <w:sz w:val="24"/>
                <w:szCs w:val="24"/>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90,522</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26,325</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41,857</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7,295</w:t>
            </w:r>
          </w:p>
        </w:tc>
      </w:tr>
      <w:tr>
        <w:trPr>
          <w:trHeight w:val="210"/>
        </w:trPr>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468</w:t>
            </w:r>
          </w:p>
        </w:tc>
      </w:tr>
      <w:tr>
        <w:trPr>
          <w:trHeight w:val="210"/>
        </w:trPr>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166,467</w:t>
            </w:r>
          </w:p>
        </w:tc>
        <w:tc>
          <w:tcPr>
            <w:tcW w:w="20" w:type="dxa"/>
            <w:vAlign w:val="bottom"/>
          </w:tcPr>
          <w:p>
            <w:pPr>
              <w:spacing w:after="0"/>
              <w:rPr>
                <w:sz w:val="18"/>
                <w:szCs w:val="18"/>
                <w:color w:val="auto"/>
              </w:rPr>
            </w:pPr>
          </w:p>
        </w:tc>
      </w:tr>
      <w:tr>
        <w:trPr>
          <w:trHeight w:val="383"/>
        </w:trPr>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10,861</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6,369</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2,557</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43,471</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1,290</w:t>
            </w:r>
          </w:p>
        </w:tc>
      </w:tr>
      <w:tr>
        <w:trPr>
          <w:trHeight w:val="203"/>
        </w:trPr>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1,119</w:t>
            </w:r>
          </w:p>
        </w:tc>
      </w:tr>
      <w:tr>
        <w:trPr>
          <w:trHeight w:val="203"/>
        </w:trPr>
        <w:tc>
          <w:tcPr>
            <w:tcW w:w="2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637</w:t>
            </w:r>
          </w:p>
        </w:tc>
      </w:tr>
      <w:tr>
        <w:trPr>
          <w:trHeight w:val="202"/>
        </w:trPr>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232,771</w:t>
            </w:r>
          </w:p>
        </w:tc>
        <w:tc>
          <w:tcPr>
            <w:tcW w:w="20" w:type="dxa"/>
            <w:vAlign w:val="bottom"/>
          </w:tcPr>
          <w:p>
            <w:pPr>
              <w:spacing w:after="0"/>
              <w:rPr>
                <w:sz w:val="17"/>
                <w:szCs w:val="17"/>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-2357120</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-2099945</wp:posOffset>
            </wp:positionV>
            <wp:extent cx="71323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-1842770</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-1585595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-1319530</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-1062355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-805180</wp:posOffset>
            </wp:positionV>
            <wp:extent cx="71323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-548005</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-290830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0</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500"/>
            <w:col w:w="7720"/>
          </w:cols>
          <w:pgMar w:left="320" w:top="819" w:right="33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32,282</w:t>
            </w:r>
          </w:p>
        </w:tc>
        <w:tc>
          <w:tcPr>
            <w:tcW w:w="12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24,235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current portion</w:t>
            </w:r>
          </w:p>
        </w:tc>
        <w:tc>
          <w:tcPr>
            <w:tcW w:w="4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3,100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50,732</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78,808</w:t>
            </w:r>
          </w:p>
        </w:tc>
      </w:tr>
      <w:tr>
        <w:trPr>
          <w:trHeight w:val="203"/>
        </w:trPr>
        <w:tc>
          <w:tcPr>
            <w:tcW w:w="8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 long term portion</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7,097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 liability, long term portion</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1,968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113,407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88,200</w:t>
            </w:r>
          </w:p>
        </w:tc>
      </w:tr>
      <w:tr>
        <w:trPr>
          <w:trHeight w:val="196"/>
        </w:trPr>
        <w:tc>
          <w:tcPr>
            <w:tcW w:w="80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$0.01 par value, 75,000,000 shares authorized; 39,887,536 and 37,343,812 shares issued and</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39,484,185 and 36,946,181 shares outstanding at March 31, 2025 and 2024, respectively</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r>
      <w:tr>
        <w:trPr>
          <w:trHeight w:val="20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1,259,540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1,212,913</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403,351 and 397,631 at March 31, 2025 and 2024, respectively</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(3,765)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(3,639)</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1,582</w:t>
            </w:r>
          </w:p>
        </w:tc>
      </w:tr>
      <w:tr>
        <w:trPr>
          <w:trHeight w:val="202"/>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(1,060,625)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(1,066,658)</w:t>
            </w:r>
          </w:p>
        </w:tc>
      </w:tr>
      <w:tr>
        <w:trPr>
          <w:trHeight w:val="19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197,114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310,521</w:t>
            </w:r>
          </w:p>
        </w:tc>
        <w:tc>
          <w:tcPr>
            <w:tcW w:w="12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232,771</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50" w:name="page51"/>
    <w:bookmarkEnd w:id="50"/>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41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09"/>
        </w:trPr>
        <w:tc>
          <w:tcPr>
            <w:tcW w:w="4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145,639</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110,356</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35,283</w:t>
            </w:r>
          </w:p>
        </w:tc>
      </w:tr>
      <w:tr>
        <w:trPr>
          <w:trHeight w:val="216"/>
        </w:trPr>
        <w:tc>
          <w:tcPr>
            <w:tcW w:w="4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7,991</w:t>
            </w:r>
          </w:p>
        </w:tc>
      </w:tr>
      <w:tr>
        <w:trPr>
          <w:trHeight w:val="21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31,600</w:t>
            </w:r>
          </w:p>
        </w:tc>
      </w:tr>
      <w:tr>
        <w:trPr>
          <w:trHeight w:val="216"/>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acquisition related intangibles</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w:t>
            </w:r>
          </w:p>
        </w:tc>
      </w:tr>
      <w:tr>
        <w:trPr>
          <w:trHeight w:val="21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w:t>
            </w:r>
          </w:p>
        </w:tc>
      </w:tr>
      <w:tr>
        <w:trPr>
          <w:trHeight w:val="216"/>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(11,368)</w:t>
            </w:r>
          </w:p>
        </w:tc>
      </w:tr>
      <w:tr>
        <w:trPr>
          <w:trHeight w:val="216"/>
        </w:trPr>
        <w:tc>
          <w:tcPr>
            <w:tcW w:w="4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r>
      <w:tr>
        <w:trPr>
          <w:trHeight w:val="209"/>
        </w:trPr>
        <w:tc>
          <w:tcPr>
            <w:tcW w:w="41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(benefit) expense</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414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r>
      <w:tr>
        <w:trPr>
          <w:trHeight w:val="20"/>
        </w:trPr>
        <w:tc>
          <w:tcPr>
            <w:tcW w:w="4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(0.37</w:t>
            </w:r>
            <w:r>
              <w:rPr>
                <w:rFonts w:ascii="Times New Roman" w:cs="Times New Roman" w:eastAsia="Times New Roman" w:hAnsi="Times New Roman"/>
                <w:sz w:val="25"/>
                <w:szCs w:val="25"/>
                <w:color w:val="auto"/>
                <w:vertAlign w:val="subscript"/>
              </w:rPr>
              <w:t>)</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1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8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(0.37</w:t>
            </w:r>
            <w:r>
              <w:rPr>
                <w:rFonts w:ascii="Times New Roman" w:cs="Times New Roman" w:eastAsia="Times New Roman" w:hAnsi="Times New Roman"/>
                <w:sz w:val="22"/>
                <w:szCs w:val="22"/>
                <w:color w:val="auto"/>
                <w:vertAlign w:val="subscript"/>
              </w:rPr>
              <w:t>)</w:t>
            </w:r>
          </w:p>
        </w:tc>
      </w:tr>
      <w:tr>
        <w:trPr>
          <w:trHeight w:val="20"/>
        </w:trPr>
        <w:tc>
          <w:tcPr>
            <w:tcW w:w="4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w w:val="99"/>
              </w:rPr>
              <w:t>Weighted average number of common shares outstanding</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41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37,718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29,825</w:t>
            </w:r>
          </w:p>
        </w:tc>
      </w:tr>
      <w:tr>
        <w:trPr>
          <w:trHeight w:val="20"/>
        </w:trPr>
        <w:tc>
          <w:tcPr>
            <w:tcW w:w="4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1" w:name="page52"/>
    <w:bookmarkEnd w:id="5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AMERICAN SUPERCONDUCTOR CORPORATION CONSOLIDATED STATEMENTS OF COMPREHENSIVE INCOME (LOSS)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09"/>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0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gain, net of tax</w:t>
            </w:r>
          </w:p>
        </w:tc>
        <w:tc>
          <w:tcPr>
            <w:tcW w:w="10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1,139,113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(1,055,547)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81,797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restricted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net of forfeited shares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Equity</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65,165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65,227</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1,212,913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(1,066,658)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144,571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restricted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net of forfeited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NWL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net of offering expenses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1,259,540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(1,060,625)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197,114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(11,111)</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operations: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4,494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4,652</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(4,304)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foreign exchange gain on cash and cash equivalents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 and liability accounts: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4,340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(7,707)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(6,841)</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5,992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(13,498)</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2,138</w:t>
            </w:r>
          </w:p>
        </w:tc>
      </w:tr>
      <w:tr>
        <w:trPr>
          <w:trHeight w:val="196"/>
        </w:trPr>
        <w:tc>
          <w:tcPr>
            <w:tcW w:w="80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(934)</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to settle NWL contingent consideration liability</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NWL Acquisition, net of cash acquired</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(29,577)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other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(35,206)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(961)</w:t>
            </w:r>
          </w:p>
        </w:tc>
      </w:tr>
      <w:tr>
        <w:trPr>
          <w:trHeight w:val="196"/>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 of debt</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related to registration of common stock shares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public equity offering, net</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65,227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exercise of employee stock options and ESPP</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65,441</w:t>
            </w:r>
          </w:p>
        </w:tc>
      </w:tr>
      <w:tr>
        <w:trPr>
          <w:trHeight w:val="196"/>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(6,899)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66,605</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25,675</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92,280</w:t>
            </w:r>
          </w:p>
        </w:tc>
      </w:tr>
      <w:tr>
        <w:trPr>
          <w:trHeight w:val="183"/>
        </w:trPr>
        <w:tc>
          <w:tcPr>
            <w:tcW w:w="800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schedule of cash flow information: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in connection with the purchase of NWL</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31,350</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to settle contingent consideration</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3,092</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Right-of-use assets obtained in exchange for new lease obligations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to settle 401(k) match liabilities</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Operations and Liquidity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 and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of the Company have been prepared on a going concern basis in accordance with United States generally accepted accounting principles (“GAAP”) and the Securities and Exchange Commission’s (“SEC”) instructions to Form 10-K. Certain prior period amounts were reclassified to conform to the presentation in the current period. The going concern basis of presentation assumes that the Company will continue operations and will be able to realize its assets and discharge its liabilities and commitments in the normal course of business. All significant intercompany accounts and transactions are eliminated in consolidation. Investments in entities in which we do not have a controlling interest are accounted for under the equity method of accounting.</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primary sources of liquidity are internally generated cash provided by operating activities, our cash and cash equivalents on hand, along with access to capital markets. The Company believes that these sources of liquidity are sufficient to meet both its short-term and reasonably foreseeable long-term requirements and obligations. At March 31, 2025, the Company had cash and cash equivalents of $79.5 million. Cash provided by operations for the year ended March 31, 2025 was $28.3 million.</w:t>
      </w:r>
    </w:p>
    <w:p>
      <w:pPr>
        <w:spacing w:after="0" w:line="1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August 1, 2024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Industries, Inc. ("Megatran") (the "Acquisition"), for aggregate consideration in an amount equal to $61.4 million (the “Purchase Price”),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the Company’s common stock, $.01 par value per share equal to the quotient obtained by dividing (x) $31.4 million (the “Share Purchase Price”) by (y) the closing price per share of common stock on the Nasdaq Global Select Market on the last trading day immediately preceding the Acquisition Date; and (c) an additional cash payment equal to $5.0 million, as adjusted pursuant to Sections 5.6(c), (d), and (f) of the Stock Purchase Agreement (the “Additional Cash Purchase Price”). Megatran is now a wholly-owned subsidiary of the Company and, together with its wholly-owned subsidiaries and affiliates, is operated and reported as a component of its Grid business segment. On the Acquisition Date, the Company paid to Megatran's selling stockholders $25.0 million in cash on hand, and 1,297,600 restricted shares of common stock. On September 23, 2024, the Company paid $3.3 million to the selling stockholders, which was calculated based on the agreed upon formula set forth in the Stock Purchase Agreement. As of March 31, 2025, there are no remaining obligations to the selling stockholders of Megatran. Throughout the financial statements and related footnotes, this is referred to as the "acquisition of NWL".</w:t>
      </w:r>
    </w:p>
    <w:p>
      <w:pPr>
        <w:spacing w:after="0" w:line="1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2024, we filed a shelf registration statement on Form S-3 that will expire three years from the date on which it was declared effective, March 15, 2027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August 2024, the Company filed an automatically-effective shelf registration statement on Form S-3 that will expire no later than August 12, 2027 (the “Second Form S-3”). The Second Form S-3 allows the Company to offer and sell from time-to-time unspecified amounts of common stock, debt securities, warrants or units comprised of any combination of these securities and allows certain selling stockholders to offer and sell from time-to-time common stock. The Second Form S-3 assisted the Megatran selling stockholders in the resale of their common stock and is intended to provide the Company flexibility to conduct registered sales of its securities, subject to market conditions, in order to fund its future capital needs. The terms of any future offering under the Second Form S-3 will be established at the time of such offering and will be described in a prospectus supplement filed with the SEC prior to the completion of any such offering.</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based on the information presented above and its annual management assessment, it has sufficient liquidity to fund its operations and capital expenditures for the next twelve months following the issuance of the consolidated financial statements for the year ended March 31, 2025. The impact of global sources of instability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NWL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Note 1, Nature of the Business and Operations and Liquidity, on the Acquisition Date, the Company acquired all of the issued and outstanding shares of capital stock of Megatran. Megatran's wholly-owned subsidiary, NWL, Inc. ("NWL"), is a U.S.-based global provider of engineered power conversion solutions for demanding industrial and military applications.</w:t>
      </w:r>
    </w:p>
    <w:p>
      <w:pPr>
        <w:spacing w:after="0" w:line="17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purchase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allocated the purchase price to the assets acquired and liabilities assumed at their estimated fair values as of the Acquisition Date. The excess of the purchase price paid by the Company over the estimated fair value of net assets acquired has been recorded as goodwill.</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purchase price of approximately $61.4 million includes the fair value of shares of the Company’s common stock issued at closing, and cash paid,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1,297,600 shares of Company’s common stock</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Acquisition Date, in addition to the $30.0 million cash, the Company valued the Company’s common stock, using $24.16 per share, which was the closing price on the day prior to the day that the Company acquired Megatran. Acquisition costs of $1.1 million were included in selling, general and administrative ("SG&amp;A") for the fiscal year ended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6" w:name="page57"/>
    <w:bookmarkEnd w:id="56"/>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based on the estimated fair values of the assets acquired and liabilities assumed and related deferred income taxes in connection with the Acquisition as of the Acquisition Date and reflective of measurement period adjustments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6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tangible assets/(liabilities)</w:t>
            </w:r>
          </w:p>
        </w:tc>
        <w:tc>
          <w:tcPr>
            <w:tcW w:w="33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top w:val="single" w:sz="8" w:color="CCEEFF"/>
            </w:tcBorders>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identifiable intangible assets</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bl>
    <w:p>
      <w:pPr>
        <w:spacing w:after="0" w:line="1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financial assets acquired includes receivables with a fair value of $16.1 million. The gross amount due is $16.9 million, of which $0.8 million is expected to be uncollectible.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 up adjustment increased cost of revenue $0.7 million for the fiscal year ended March 31, 2025 as the inventory was sold.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Backlog of $0.7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an eight-month period with the expense being allocated to cost of revenues.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Customer relationships of $1.3 million relates to customers currently under contract and was determined based on a multi period excess earnings method under the income approach. The method of amortization being utilized is straight line over 10 years, as the results were not materially different from the economic consumption method, with the expense being allocated to SG&amp;A.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7" w:name="page58"/>
    <w:bookmarkEnd w:id="57"/>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value associated with the acquired workforce and expected synergies related to the business combination of the two companies. Goodwill resulting from the Acquisition was assigned to the Company’s Grid business segment. Goodwill recognized in the Acquisition is not deductible for tax purposes. This purchase price allocation is preliminary and has not been finalized as the analysis on the assets and liabilities acquired, primarily the tax related liability, may require further adjustments to our purchase accounting that could result in a measurement period adjustment that would impact the Company's reported net assets and goodwill as of August 1, 2024. Material changes, if any, to the preliminary allocation summarized above will be reported once the related uncertainties are resolved, but no later than August 1, 2025. The deferred tax liability initially valued at $6.4 million is primarily related to basis difference of property, plant, and equipment. As of March 31, 2025 based on basis differences identified through the finalization of NWL’s pre-acquisition tax returns as well as a true up of state tax rates, a reduction in the deferred tax liability of $0.8 million was recorded in the three months ended March 31, 2025. This decreased the balance to $5.6 million, and the offsetting reduction was recorded to Goodwill, decreasing the balance to $4.7 million.</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 forma Operating Results (Unaudited)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pro forma consolidated statement of operations for the fiscal years ended March 31, 2025 and 2024 presented as if the Acquisition had occurred on April 1, 2023, is unaudited and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 basic</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37,426</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31,122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 diluted</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38,155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31,586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pro forma amounts include the historical operating results of the Company and Megatran with appropriate adjustments that give effect to acquisition related costs, income taxes, intangible amortization resulting from the Acquisition and certain conforming accounting policies of the Company. The pro forma amounts are not necessarily indicative of the operating results that would have occurred if the Acquisition and related transactions had been completed at the beginning of the applicable periods presented. In addition, the pro forma amounts are not necessarily indicative of operating results in future periods.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consolidated results for the fiscal year ended March 31, 2025, Megatran’s operations are included in the Company’s consolidated results from the Acquisition Date of August 1, 2024. Megatran contributed $50.5 million of revenue and $6.0 million in net income for the Company for the fiscal year ended March 31, 2025. Amortization expense of $0.8 million is included for the fiscal year ended March 31, 2025, as a result of the Megatran acquired intangible assets. In addition, $0.7 million for the step-up basis assigned to acquired inventory was charged to cost of revenues for the fiscal year ended March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8" w:name="page59"/>
    <w:bookmarkEnd w:id="58"/>
    <w:p>
      <w:pPr>
        <w:ind w:left="180" w:right="7680" w:hanging="172"/>
        <w:spacing w:after="0" w:line="503" w:lineRule="auto"/>
        <w:tabs>
          <w:tab w:leader="none" w:pos="19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balances and transactions are eliminated.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goodwill and intangible assets, business combinations,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Accounts receivable consist of amounts owed by commercial companies and government agencies. Accounts receivable are stated net of allowances for credit losses. The Company’s accounts receivable relate principally to a limited number of customers. As of March 31, 2025, Innomotics, LLC., accounted for approximately 22% of the Company's accounts receivable balance, with no other customers accounting for greater than 10% of the balance. As of March 31, 2024, Capital Power and INOX Wind Limited accounted for approximately 14% and 12% of the Company's accounts receivable balance, respectively, with no other customers accounting for greater than 10% of the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credit losses, the Company evaluates the collectability of accounts receivable based primarily on the probability of recoverability based on historical collection and write-off experience, the age of past due receivables, specific customer circumstances, and current economic trends. The Company has not recorded an allowance for credit losses as of each of the years ended March 31, 2025 and 2024. If the financial condition of the Company’s customers were to deteriorate, resulting in an impairment of their ability to make payment, additional allowances may be required. Failure to accurately estimate the losses for credit losses and ensure that payments are received on a timely basis could have a material adverse effect on the Company’s business, financial condition, results of operations, and cash flows.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Inventories include material, direct labor and related manufacturing overhead, and are stated at the lower of cost, determined on a first-in, first-out basis, or net realizable value determined as the estimated selling prices in the ordinary course of business, less reasonably predictable costs of completion, disposal and transportation. The Company records inventory when it takes delivery and title to the product according to the terms of each supply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9" w:name="page60"/>
    <w:bookmarkEnd w:id="59"/>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2025 and 2024, the Company recorded inventory reserves of approximately $1.5 million and $2.0 million, respectively, based on evaluating its ending inventory on hand for excess quantities and obsolescence.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Leases include all agreements in which the Company obtains control of a physical asset. Leases are captured on the balance sheet as both a right of use asset and associated lease liability and are valued based on the commencement of the Company's control of the asset, after being discounted by its incremental borrowing rate. The Company's lease portfolio is made up primarily of real estate leases for its various offices, but also include items such as vehicles, IT equipment and other miscellaneous tools and equipment needed for manufacturing. The Company's incremental borrowing rate was determined through an analysis to identify what rates it could obtain if the Company were to secure external financing for similar transactions, and includes considerations of both the market and its current credit ratings. An analysis is performed annually, or upon execution of any individually material agreement, to ensure that the rates being applied to newly acquired leases are still accurate.</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majority of the Company's leases are classified as operating leases, and therefore the expense is captured in operating loss from operations each period.</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elected to exclude all leases of less than twelve months from the balance sheet presentation. The Company has also elected a policy in which the Company will not segregate lease components from non-lease components, so in the event the Company executes an agreement which includes a non-lease component its asset and liability recorded to the balance sheet will include the value of that non-lease component as well. This policy will be applied to all classifications of leases.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FFFFFF"/>
              </w:rPr>
              <w:t>Asset Classification</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 in Years</w:t>
            </w:r>
          </w:p>
        </w:tc>
        <w:tc>
          <w:tcPr>
            <w:tcW w:w="60" w:type="dxa"/>
            <w:vAlign w:val="bottom"/>
          </w:tcPr>
          <w:p>
            <w:pPr>
              <w:spacing w:after="0"/>
              <w:rPr>
                <w:sz w:val="20"/>
                <w:szCs w:val="20"/>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66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40</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66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40" w:type="dxa"/>
            <w:vAlign w:val="bottom"/>
            <w:gridSpan w:val="3"/>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3-5</w:t>
            </w:r>
          </w:p>
        </w:tc>
        <w:tc>
          <w:tcPr>
            <w:tcW w:w="60" w:type="dxa"/>
            <w:vAlign w:val="bottom"/>
            <w:shd w:val="clear" w:color="auto" w:fill="CCEEFF"/>
          </w:tcPr>
          <w:p>
            <w:pPr>
              <w:spacing w:after="0"/>
              <w:rPr>
                <w:sz w:val="18"/>
                <w:szCs w:val="18"/>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Shorter of the estimated useful life or the remaining lease term</w:t>
            </w:r>
          </w:p>
        </w:tc>
      </w:tr>
      <w:tr>
        <w:trPr>
          <w:trHeight w:val="414"/>
        </w:trPr>
        <w:tc>
          <w:tcPr>
            <w:tcW w:w="4540" w:type="dxa"/>
            <w:vAlign w:val="bottom"/>
          </w:tcPr>
          <w:p>
            <w:pPr>
              <w:spacing w:after="0"/>
              <w:rPr>
                <w:sz w:val="24"/>
                <w:szCs w:val="24"/>
                <w:color w:val="auto"/>
              </w:rPr>
            </w:pPr>
          </w:p>
        </w:tc>
        <w:tc>
          <w:tcPr>
            <w:tcW w:w="6640" w:type="dxa"/>
            <w:vAlign w:val="bottom"/>
            <w:gridSpan w:val="3"/>
          </w:tcPr>
          <w:p>
            <w:pPr>
              <w:jc w:val="right"/>
              <w:ind w:right="537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60" w:name="page61"/>
    <w:bookmarkEnd w:id="6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impairment indicators during the fiscal years ended March 31, 2025 and 2024.</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net assets of acquired businesses that are consolidated. The Company performs its annual assessment of goodwill on February 28th of each fiscal year and whenever events or changes in circumstances or a triggering event indicate that the carrying amount may not be recoverable. Determining whether a triggering event has occurred often involves significant judgment from management. An entity is permitted to first assess qualitatively whether it is necessary to perform a goodwill impairment test. The quantitative impairment test is required only if the entity concludes that it is more likely than not that a reporting unit’s fair value is less than its carrying amount. The Company determines the fair value of a reporting unit, using a methodology which combines an income approach, using a discounted cash flow method, with a market approach. In evaluating whether it is more likely than not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not to exceed the total amount of the goodwill allocated to the that reporting unit. See Note 5, "Goodwill" for further information and discussion.</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performed its annual assessment of goodwill on February 28, 2025, and determined that there was no impairment to goodwill.</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contracts are defined as an arrangement that creates enforceable rights and obligations of both parties where collection of the contract price is deemed probable. The Company records revenue based on a five-step model which includes confirmation of contract existence,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equipment and system product line includes certain contracts which do not meet the requirements of an exchange transaction and therefore do not fall within the scope of Accounting Standards Codification ("ASC") 606.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The Company follows this method when any of the three following criteria are met: when the customer receives the benefits as they are performed, control transfers to the customer as the work is performed, or there is no alternative use to the Company and there is an enforceable right to payment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point in time method. In addition, some contracts contain an element of variable consideration, including liquidated damages and/or penalties, which requires payment to the customer in the event that delivery timelines or milestones are not met. The Company estimates the total consideration payable by the customer when the contracts contain variable consideration provisions, based on the most likely amount anticipated to be recognized for transferring the promised goods or services. As a result, the Company may constrain revenue to the extent that a significant reversal in the amount of cumulative revenue recognized will not occur until the uncertainty associated with the variable consideration is subsequently resolved.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sales arrangements that may provide for multiple performance obligations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Performance obligations are separated into more than one unit of accounting when (1) the delivered element(s) have value to the customer on a stand-alone basis, and (2) the Company's promise to transfer the goods or services to the customer is separately identifiable from other promises in the contract. In general, revenues are separated between the different product shipments which have stand-alone value, and the various services to be provided. Revenue for product shipments is generally recognized at a point in time where control of the product is transferred to the customer, while revenues for the services are generally recognized over the period of performance. The Company identifies all goods and/or services that are to be delivered separately under a sales arrangement and allocates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The Company reviews SSP and the related margins at least annually. The Company has elected to recognize revenue based on the as invoiced practical expedient if there is a right to consideration from a customer in an amount that corresponds directly with the value of the Company's performance.</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license agreements provide either for the payment of contractually determined paid-up front license fees or milestone based payments in consideration for the grant of rights to manufacture and/or sell products using its patented technologies or know-how. Some of these agreements provide for the release of the licensee from past and future intellectual property infringement claims. When the Company can determine that it has no further obligations other than the grant of the license and that the Company has fully transferred the technology know-how, the Company recognizes the revenue under a point in time model. In other license arrangements, the Company may also agree to provide training services to transfer the technology know-how. In these arrangements,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its performance using the over-time method. Costs for these arrangements are expensed as incurred.</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the Company recognizes revenue for these amounts upon reaching the constraining event successfully. The Company does not generally provide for extended payment terms or provide its customers with a right of return.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2" w:name="page63"/>
    <w:bookmarkEnd w:id="62"/>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Infrequently, the Company receives requests from customers to hold product being purchased from us for a valid business purpose. The Company recognizes revenues for such arrangements provided the transaction meets, at a minimum, the following criteria: a valid business purpose for the arrangement exists; risk of ownership of the purchased product has been transferred to the buyer; there is a fixed delivery date that is reasonable and consistent with the buyer’s business purpose; the product is ready for shipment; there are no continuing performance obligation in regards to the purchased product and these products have been segregated from the Company's inventories and cannot be used to fill other orders received. During the fiscal years ended March 31, 2025 and 2024 there were no such held transactions.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acquisitions using the purchase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for each acquisition is allocated to the assets acquired and liabilities assumed based on their estimated fair values at the date of acquisition. Intangible assets, if identified, are also recorded at fair value. The excess purchase price over the estimated fair value of the net assets acquired is recorded as goodwill.</w:t>
      </w:r>
    </w:p>
    <w:p>
      <w:pPr>
        <w:spacing w:after="0" w:line="18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Determining the fair value of certain assets and liabilities assumed is judgmental in nature and often involves the use of significant estimates and assumptions as well as the use of specialists as needed.</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consideration for its acquisitions may include future payments that are contingent upon the occurrence of a particular event. The Company records a contingent consideration obligation for such contingent consideration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refer to Note 13 for further information regarding valuation methodology and assumptions. Each period the Company revalues the contingent consideration obligations associated with the acquisition to fair value and records changes in the fair value within the operating expenses in its consolidated statements of operations.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Warranty obligations are incurred in connection with the sale of the Company’s products. 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3" w:name="page64"/>
    <w:bookmarkEnd w:id="6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Deferred income taxes are recognized for the tax consequences in future fiscal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Poland, and Romania deferred income tax assets since the Company believes that it is more likely than not that these deferred tax assets are not currently realizable due to uncertainty around profitability in the future.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14, “Income Taxes,” for further information regarding its income tax assumptions and expenses.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payment transactions using a fair value-based method and recognizes the related expense in the results of operations.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option awards with service and performance conditions. For awards with service conditions only, the Company recognizes compensation cost on a straight-line basis over the requisite service/vesting period. For awards with performance conditions, estimates of compensation cost are made based on the probable outcome of the performance conditions. The cumulative effect of changes in the probability outcomes are recorded in the period in which the changes occur.</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payments made to non-employees in the same manner as other share-based payments for employees, with the measurement being based on the fair value at the grant date. The non-employee share based payments will be included within the Company's stock compensation currently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4" w:name="page65"/>
    <w:bookmarkEnd w:id="6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treats the equity investment in the consolidated financial statements under the equity method. Equity method investments are equity securities in entities we do not control but over which we have the ability to exercise significant influence. These investments are accounted for under the equity method of accounting 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Equity method investments are measured at cost minus impairment, if any, plus or minus the Company’s share of an investee’s income or loss, less distributions received.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Computation of Net Income (Loss) per Common Share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Basic net loss per share (“EPS”) is computed by dividing net loss by the weighted-average number of common shares outstanding for the period. Diluted EPS is computed in periods of net income,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2025, common equivalent shares of 468,815 were not included in the calculation of diluted EPS as they were considered antidilutive. Of these, 468,652 were shares of performance-based restricted stock where the contingency was not met, and 163 were awards that were considered anti-dilutive. For the fiscal years ended March 31, 2024, common equivalent shares of 809,949 were not included in the calculation of diluted EPS as they were considered antidilutive. Of these, 509,949 were shares of performance-based restricted stock where the contingency was not met, and 300,000 relate to shares associated with the derivative liability for which the contingency had not yet been met. The following table reconciles the numerators and denominators of the EPS calculation for the fiscal years ended March 31, 2025 and 2024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31,277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Shares used in per-share calculation ― basic</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per-share calculation ― diluted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(0.37</w:t>
            </w:r>
            <w:r>
              <w:rPr>
                <w:rFonts w:ascii="Times New Roman" w:cs="Times New Roman" w:eastAsia="Times New Roman" w:hAnsi="Times New Roman"/>
                <w:sz w:val="24"/>
                <w:szCs w:val="24"/>
                <w:color w:val="auto"/>
                <w:vertAlign w:val="subscript"/>
              </w:rPr>
              <w:t>)</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diluted</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(0.37</w:t>
            </w:r>
            <w:r>
              <w:rPr>
                <w:rFonts w:ascii="Times New Roman" w:cs="Times New Roman" w:eastAsia="Times New Roman" w:hAnsi="Times New Roman"/>
                <w:sz w:val="22"/>
                <w:szCs w:val="22"/>
                <w:color w:val="auto"/>
                <w:vertAlign w:val="subscript"/>
              </w:rPr>
              <w:t>)</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functional currency of all the Company’s foreign subsidiaries is the U.S. dollar, except for AMSC Austria, for which the local currency (Euro) is the functional currency. The assets and liabilities of AMSC Austria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and losses are included in other expense, net on the consolidated statements of operations and were net losses of $0.7 million, for both of the fiscal years ended March 31, 2025 and 2024. The Company has no restrictions on the foreign exchange activities of its foreign subsidiaries, including the payment of dividends and other distributions.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invests its available cash in high credit, quality financial instruments and invests primarily in investment-grade marketable securities, including, but not limited to, government obligations and money market funds.</w:t>
      </w:r>
    </w:p>
    <w:p>
      <w:pPr>
        <w:spacing w:after="0" w:line="16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obtain additional contract modifications in the year ending March 31, 2026 and beyond as incremental funding is authorized and appropriated by the government.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18, “Commitments and Contingencies,” for further information.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Fair Value of Financial Instruments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restricted cash, accounts receivable, accounts payable, accrued expenses, and contingent consideration. The carrying amounts of cash and cash equivalents, restricted cash, accounts receivable, short-term debt, accounts payable, and accrued expenses due to their short nature approximate fair value at March 31, 2025 and 2024. The estimated fair values have been determined through information obtained from market sources and management estimates. Changes in fair value are recorded to other income (expense), net. The fair value for the contingent consideration is estimated using a Monte Carlo simulation and subject to revaluation at each balance sheet date. The Company classifies the estimates used to fair value these instruments as Level 3 inputs. See Note 6, “Fair Value Measurements” for a full discussion on fair value measurements.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fiscal year ended March 31, 2025, 88% of revenue was recognized at the point in time when control transferred to the customer, with the remainder being recognized over time. For the fiscal year ended March 31, 2024, 80% of revenue was recognized at the point in time when control transferred to the customer, with the remainder being recognized over time.</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8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9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7" w:name="page68"/>
    <w:bookmarkEnd w:id="67"/>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As of March 31, 2025 and 2024, the Company's capitalized incremental contract costs were not material. The Company has elected not to adjust the promised amount of consideration for the effects of a significant financing component if the period of financing is twelve months or less. The Company has elected to recognize revenue based on the as invoiced practical expedient if there is a right to consideration from a customer in an amount that corresponds directly with the value of the Company's performance.</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March 31, 2025</w:t>
            </w: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38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systems</w:t>
            </w:r>
          </w:p>
        </w:tc>
        <w:tc>
          <w:tcPr>
            <w:tcW w:w="4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175,117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34,079</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technology development</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187,170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35,648</w:t>
            </w:r>
          </w:p>
        </w:tc>
      </w:tr>
      <w:tr>
        <w:trPr>
          <w:trHeight w:val="197"/>
        </w:trPr>
        <w:tc>
          <w:tcPr>
            <w:tcW w:w="414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4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169,886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35,608</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4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March 31, 2024</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38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systems</w:t>
            </w:r>
          </w:p>
        </w:tc>
        <w:tc>
          <w:tcPr>
            <w:tcW w:w="4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112,829</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21,211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technology development</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18"/>
                <w:szCs w:val="18"/>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122,065</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23,574</w:t>
            </w:r>
          </w:p>
        </w:tc>
      </w:tr>
      <w:tr>
        <w:trPr>
          <w:trHeight w:val="197"/>
        </w:trPr>
        <w:tc>
          <w:tcPr>
            <w:tcW w:w="414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4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107,036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122,065</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23,574</w:t>
            </w:r>
          </w:p>
        </w:tc>
      </w:tr>
      <w:tr>
        <w:trPr>
          <w:trHeight w:val="629"/>
        </w:trPr>
        <w:tc>
          <w:tcPr>
            <w:tcW w:w="41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68" w:name="page69"/>
    <w:bookmarkEnd w:id="68"/>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2025 and March 31, 2024,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7, “Accounts Receivable” and Note 8, “Inventory” for a reconciliation to the consolidated balance sheets) and "Contract liabilities", which are included in the current portion and long term portion of “Deferred revenue” in the Company’s consolidated balance sheets,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38"/>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Unbilled AR</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57,829</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balances acquired</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5,049</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(8,754)</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120,533</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(107,211)</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 and foreign currency exchange impact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6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as of March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76,133</w:t>
            </w:r>
          </w:p>
        </w:tc>
        <w:tc>
          <w:tcPr>
            <w:tcW w:w="100" w:type="dxa"/>
            <w:vAlign w:val="bottom"/>
            <w:tcBorders>
              <w:top w:val="single" w:sz="8" w:color="CCEEFF"/>
            </w:tcBorders>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38"/>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Unbilled AR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2023</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9,958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50,760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(20,392)</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77,685</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16,572</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(70,529)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 and foreign currency exchange impact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March 31, 2024</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57,829</w:t>
            </w:r>
          </w:p>
        </w:tc>
      </w:tr>
      <w:tr>
        <w:trPr>
          <w:trHeight w:val="413"/>
        </w:trPr>
        <w:tc>
          <w:tcPr>
            <w:tcW w:w="604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69" w:name="page70"/>
    <w:bookmarkEnd w:id="69"/>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March 31, 2025, the Company had outstanding performance obligations on existing contracts under ASC 606 to be recognized in the next twelve months of approximately $200.9 million. There are also approximately $109.4 million of outstanding performance obligations to be recognized over a period of thirteen to sixty months. The remaining performance obligations are subject to customer actions and therefore the timing of revenue recognition cannot be reasonably estimated.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customers who represented 10% or more of the Company’s total revenues for the years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494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19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Inox Wind Limited</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Wind</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guidance under ASC 805-30,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provides for the recognition of goodwill on the acquisition date measured as the excess of the aggregate consideration transferred over the net of the acquisition date amounts of net assets acquired and liabilities assumed. The Company's goodwill balance relates to the NWL acquisition in fiscal 2024, the Neeltran acquisition in fiscal 2021, the NEPSI acquisition in fiscal 2020, and Infinia Technology Corporation acquisition in fiscal 2017 and is reported in the Grid business segment.</w:t>
      </w:r>
    </w:p>
    <w:p>
      <w:pPr>
        <w:spacing w:after="0" w:line="1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on February 28th and whenever events or changes in circumstances indicate that the carrying value of the goodwill might not be recoverable. Goodwill increased by $4.7 million during the fiscal year ended March 31, 2025, related to the NWL acquisition. This includes a $0.8 million adjustment related to the true up of the deferred tax asset consisting primarily of tax basis differences identified through NWL's final pre-acquisition tax returns. There were no changes to Goodwill during the fiscal year ended March 31, 2024.</w:t>
      </w:r>
    </w:p>
    <w:p>
      <w:pPr>
        <w:spacing w:after="0" w:line="1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Company performed its annual assessment of goodwill on February 28, 2025 and determined that there was no impairment to goodwill.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valuation hierarchy for disclosure of the inputs to valuation used to measure fair value has been established. This hierarchy prioritizes the inputs into three broad levels as follows:</w:t>
      </w:r>
    </w:p>
    <w:p>
      <w:pPr>
        <w:sectPr>
          <w:pgSz w:w="11900" w:h="16838" w:orient="portrait"/>
          <w:cols w:equalWidth="0" w:num="1">
            <w:col w:w="11240"/>
          </w:cols>
          <w:pgMar w:left="320" w:top="846" w:right="339" w:bottom="1440" w:gutter="0" w:footer="0" w:header="0"/>
        </w:sectPr>
      </w:pP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Level 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 the measurement date.</w:t>
      </w:r>
    </w:p>
    <w:p>
      <w:pPr>
        <w:spacing w:after="0" w:line="158" w:lineRule="exact"/>
        <w:rPr>
          <w:sz w:val="20"/>
          <w:szCs w:val="20"/>
          <w:color w:val="auto"/>
        </w:rPr>
      </w:pPr>
    </w:p>
    <w:p>
      <w:pPr>
        <w:sectPr>
          <w:pgSz w:w="11900" w:h="16838" w:orient="portrait"/>
          <w:cols w:equalWidth="0" w:num="3">
            <w:col w:w="1040" w:space="320"/>
            <w:col w:w="60" w:space="240"/>
            <w:col w:w="9580"/>
          </w:cols>
          <w:pgMar w:left="320" w:top="846"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72" w:lineRule="exact"/>
        <w:rPr>
          <w:sz w:val="20"/>
          <w:szCs w:val="20"/>
          <w:color w:val="auto"/>
        </w:rPr>
      </w:pPr>
    </w:p>
    <w:p>
      <w:pPr>
        <w:sectPr>
          <w:pgSz w:w="11900" w:h="16838" w:orient="portrait"/>
          <w:cols w:equalWidth="0" w:num="3">
            <w:col w:w="1040" w:space="320"/>
            <w:col w:w="60" w:space="240"/>
            <w:col w:w="9580"/>
          </w:cols>
          <w:pgMar w:left="320" w:top="846"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sectPr>
          <w:pgSz w:w="11900" w:h="16838" w:orient="portrait"/>
          <w:cols w:equalWidth="0" w:num="3">
            <w:col w:w="1040" w:space="320"/>
            <w:col w:w="60" w:space="240"/>
            <w:col w:w="9580"/>
          </w:cols>
          <w:pgMar w:left="320" w:top="846" w:right="339" w:bottom="1440" w:gutter="0" w:footer="0" w:header="0"/>
          <w:type w:val="continuous"/>
        </w:sect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year ended March 31, 2025.</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money market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Cash Instruments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Short-term cash instruments consist of highly liquid instruments with maturities of three months or less that are regarded as high quality, low risk investments and are measured using such inputs as quoted prices in markets that are not active, and are classified within Level 2 of the valuation hierarchy. Short-term cash instruments consist principally of certificates of deposits.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Contingent consideration relates to the earnout payment set forth in the Stock Purchase Agreement governing the acquisition of Northeast Power Systems, Inc ("NEPSI") that provided that NEPSI could receive up to an additional 1,000,000 shares of common stock of the Company upon the achievement of certain specified revenue objectives over varying periods of up to four years following the NEPSI Acquisition Date which concluded in September of 2024. The Megatran Stock Purchase Agreement provided that the selling stockholders would be made whole as set forth in the agreement. We classified contingent consideration related to certain acquisitions within level 3 of the fair value hierarchy because the fair value is derived using significant unobservable inputs, which include revenue risk premium and revenue volatility. See Note 13, "Contingent Consideration" for further discussion. As of September 30, 2024, the Company had settled all outstanding contingent consideration.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1" w:name="page72"/>
    <w:bookmarkEnd w:id="71"/>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assets and liabilities carried at fair value on a recurring basis, measured as of March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cash instruments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71,392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71,392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cash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r>
    </w:tbl>
    <w:p>
      <w:pPr>
        <w:spacing w:after="0" w:line="1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reflects the activity for the Company’s contingent consideration derivative liability measured at fair value on a recurring basis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Settlement of contingent consideration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at March 31, 2025 and March 31, 2024 consisted of the following (in thousands):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NEPSI Acquisition</w:t>
            </w:r>
          </w:p>
        </w:tc>
        <w:tc>
          <w:tcPr>
            <w:tcW w:w="80" w:type="dxa"/>
            <w:vAlign w:val="bottom"/>
          </w:tcPr>
          <w:p>
            <w:pPr>
              <w:spacing w:after="0"/>
              <w:rPr>
                <w:sz w:val="18"/>
                <w:szCs w:val="18"/>
                <w:color w:val="auto"/>
              </w:rPr>
            </w:pP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NWL Acquisition</w:t>
            </w:r>
          </w:p>
        </w:tc>
      </w:tr>
      <w:tr>
        <w:trPr>
          <w:trHeight w:val="216"/>
        </w:trPr>
        <w:tc>
          <w:tcPr>
            <w:tcW w:w="140" w:type="dxa"/>
            <w:vAlign w:val="bottom"/>
          </w:tcPr>
          <w:p>
            <w:pPr>
              <w:spacing w:after="0"/>
              <w:rPr>
                <w:sz w:val="18"/>
                <w:szCs w:val="18"/>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Contingent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38"/>
        </w:trPr>
        <w:tc>
          <w:tcPr>
            <w:tcW w:w="140" w:type="dxa"/>
            <w:vAlign w:val="bottom"/>
          </w:tcPr>
          <w:p>
            <w:pPr>
              <w:spacing w:after="0"/>
              <w:rPr>
                <w:sz w:val="20"/>
                <w:szCs w:val="20"/>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191"/>
        </w:trPr>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r>
      <w:tr>
        <w:trPr>
          <w:trHeight w:val="234"/>
        </w:trPr>
        <w:tc>
          <w:tcPr>
            <w:tcW w:w="14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10"/>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March 31, 2025</w:t>
      </w:r>
      <w:r>
        <w:rPr>
          <w:sz w:val="20"/>
          <w:szCs w:val="20"/>
          <w:color w:val="auto"/>
        </w:rPr>
        <w:tab/>
      </w:r>
      <w:r>
        <w:rPr>
          <w:rFonts w:ascii="Times New Roman" w:cs="Times New Roman" w:eastAsia="Times New Roman" w:hAnsi="Times New Roman"/>
          <w:sz w:val="17"/>
          <w:szCs w:val="17"/>
          <w:b w:val="1"/>
          <w:bCs w:val="1"/>
          <w:color w:val="auto"/>
        </w:rPr>
        <w:t>March 31, 2024</w:t>
      </w:r>
    </w:p>
    <w:p>
      <w:pPr>
        <w:spacing w:after="0" w:line="31" w:lineRule="exact"/>
        <w:rPr>
          <w:sz w:val="20"/>
          <w:szCs w:val="20"/>
          <w:color w:val="auto"/>
        </w:rPr>
      </w:pPr>
    </w:p>
    <w:p>
      <w:pPr>
        <w:sectPr>
          <w:pgSz w:w="11900" w:h="16838" w:orient="portrait"/>
          <w:cols w:equalWidth="0" w:num="2">
            <w:col w:w="7460" w:space="540"/>
            <w:col w:w="324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(billed)</w:t>
            </w:r>
          </w:p>
        </w:tc>
        <w:tc>
          <w:tcPr>
            <w:tcW w:w="4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(unbilled)</w:t>
            </w:r>
          </w:p>
        </w:tc>
        <w:tc>
          <w:tcPr>
            <w:tcW w:w="4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8"/>
                <w:szCs w:val="18"/>
                <w:color w:val="auto"/>
              </w:rPr>
            </w:pPr>
          </w:p>
        </w:tc>
      </w:tr>
      <w:tr>
        <w:trPr>
          <w:trHeight w:val="250"/>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6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46,186</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26,325</w:t>
            </w:r>
          </w:p>
        </w:tc>
      </w:tr>
      <w:tr>
        <w:trPr>
          <w:trHeight w:val="413"/>
        </w:trPr>
        <w:tc>
          <w:tcPr>
            <w:tcW w:w="3880" w:type="dxa"/>
            <w:vAlign w:val="bottom"/>
            <w:tcBorders>
              <w:top w:val="single" w:sz="8" w:color="CCEEFF"/>
            </w:tcBorders>
          </w:tcPr>
          <w:p>
            <w:pPr>
              <w:spacing w:after="0"/>
              <w:rPr>
                <w:sz w:val="24"/>
                <w:szCs w:val="24"/>
                <w:color w:val="auto"/>
              </w:rPr>
            </w:pPr>
          </w:p>
        </w:tc>
        <w:tc>
          <w:tcPr>
            <w:tcW w:w="414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Inventory, net of reserves, at March 31, 2025 and March 31, 2024 consisted of the following (in thousands):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program costs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35,892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20,622</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14,872</w:t>
            </w:r>
          </w:p>
        </w:tc>
      </w:tr>
      <w:tr>
        <w:trPr>
          <w:trHeight w:val="216"/>
        </w:trPr>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3,840</w:t>
            </w:r>
          </w:p>
        </w:tc>
      </w:tr>
      <w:tr>
        <w:trPr>
          <w:trHeight w:val="234"/>
        </w:trPr>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71,169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41,857</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00" w:space="720"/>
            <w:col w:w="3220"/>
          </w:cols>
          <w:pgMar w:left="320" w:top="846" w:right="339" w:bottom="1440" w:gutter="0" w:footer="0" w:header="0"/>
          <w:type w:val="continuous"/>
        </w:sect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of $1.5 million and $2.0 million for the fiscal years ended March 31, 2025 and 2024, respectively. These write-downs were based on the Company's evaluation on its inventory on hand for excess quantities and obsolescence.</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Deferred program costs as of March 31, 2025 and March 31, 2024 primarily represent costs incurred on programs where the Company needs to complete performance obligations before the related revenue and costs will be recognized.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cost and accumulated depreciation of property, plant and equipment at March 31, 2025 and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 equipment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59,233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(48,372)</w:t>
            </w: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$3.1 million and $2.3 million, for the fiscal years ended March 31, 2025 and 2024, respectively. The increase in land relates to the property added as part of the NWL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Intangible assets at March 31, 2025 and 2024 consisted of the following (in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18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8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Core technology and know-how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5,970</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(4,352)</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6,369</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intangible amortization expense of $2.4 million and $2.2 million, for the fiscal years ended March 31, 2025 and 2024, respectively. Included in the current period is $0.7 million related to intangible amortization related to backlog that is reported in cost of revenues for the fiscal year ended March 31, 2025 and less than $0.1 million for the fiscal year ended March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Expected future amortization expense related to intangible assets is as follows (in thousands):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years ending March 31,</w:t>
            </w:r>
          </w:p>
        </w:tc>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r>
      <w:tr>
        <w:trPr>
          <w:trHeight w:val="250"/>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Equity-Method Investments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Investment in NWL Pacific Inc. Co., LTD</w:t>
      </w:r>
    </w:p>
    <w:p>
      <w:pPr>
        <w:spacing w:after="0" w:line="227" w:lineRule="exact"/>
        <w:rPr>
          <w:sz w:val="20"/>
          <w:szCs w:val="20"/>
          <w:color w:val="auto"/>
        </w:rPr>
      </w:pPr>
    </w:p>
    <w:p>
      <w:pPr>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a 50% ownership in NWL Pacific Inc. Co., LTD ("NWL Pacific"). The investment represents the Company's interest in NWL Pacific. The investment is a joint venture in South Korea established on May 12, 1998.</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treats the equity investment in the consolidated financial statements under the equity method. Equity method investments are equity securities in entities the Company does not control but over which it has the ability to exercise significant influence. These investments are accounted for under the equity method of accounting 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Equity method investments are measured at cost minus impairment, if any, plus or minus the Company’s share of an investee’s income or loss, less distributions received. As of March 31, 2025 the Company did not have material accounts receivable nor accounts payable balances with NWL Pacific.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4" w:name="page75"/>
    <w:bookmarkEnd w:id="74"/>
    <w:p>
      <w:pPr>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the summarized financial information from the Acquisition Date through March 31, 2025, as provided to the Company by the investee, for the unconsolidated company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r>
      <w:tr>
        <w:trPr>
          <w:trHeight w:val="238"/>
        </w:trPr>
        <w:tc>
          <w:tcPr>
            <w:tcW w:w="9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0"/>
        </w:trPr>
        <w:tc>
          <w:tcPr>
            <w:tcW w:w="9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57"/>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w:t>
            </w:r>
          </w:p>
        </w:tc>
      </w:tr>
      <w:tr>
        <w:trPr>
          <w:trHeight w:val="238"/>
        </w:trPr>
        <w:tc>
          <w:tcPr>
            <w:tcW w:w="36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r>
      <w:tr>
        <w:trPr>
          <w:trHeight w:val="209"/>
        </w:trPr>
        <w:tc>
          <w:tcPr>
            <w:tcW w:w="360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65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Accounts Payable and Accrued Expenses</w:t>
            </w: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at</w:t>
            </w:r>
          </w:p>
        </w:tc>
        <w:tc>
          <w:tcPr>
            <w:tcW w:w="5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March 31, 2025 and March 31, 2024 consisted of the following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4"/>
                <w:szCs w:val="24"/>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4,476</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inventories in-transit</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miscellaneous expenses</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loss</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2,363</w:t>
            </w:r>
          </w:p>
        </w:tc>
      </w:tr>
      <w:tr>
        <w:trPr>
          <w:trHeight w:val="216"/>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4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24,235</w:t>
            </w:r>
          </w:p>
        </w:tc>
      </w:tr>
      <w:tr>
        <w:trPr>
          <w:trHeight w:val="20"/>
        </w:trPr>
        <w:tc>
          <w:tcPr>
            <w:tcW w:w="36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 warranty activity was as follows (in thousands):</w:t>
            </w:r>
          </w:p>
        </w:tc>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2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10"/>
        </w:trPr>
        <w:tc>
          <w:tcPr>
            <w:tcW w:w="5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9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Acquired warranty obligations</w:t>
            </w: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warranties during the period</w:t>
            </w:r>
          </w:p>
        </w:tc>
        <w:tc>
          <w:tcPr>
            <w:tcW w:w="2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(2,026)</w:t>
            </w:r>
          </w:p>
        </w:tc>
      </w:tr>
      <w:tr>
        <w:trPr>
          <w:trHeight w:val="20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9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6"/>
        </w:trPr>
        <w:tc>
          <w:tcPr>
            <w:tcW w:w="5040" w:type="dxa"/>
            <w:vAlign w:val="bottom"/>
          </w:tcPr>
          <w:p>
            <w:pPr>
              <w:spacing w:after="0"/>
              <w:rPr>
                <w:sz w:val="24"/>
                <w:szCs w:val="24"/>
                <w:color w:val="auto"/>
              </w:rPr>
            </w:pPr>
          </w:p>
        </w:tc>
        <w:tc>
          <w:tcPr>
            <w:tcW w:w="298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4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13. Contingent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NEPSI Contingent Consideration</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segment.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four years following closing of the NEPSI Acquisition. During the year ended March 31, 2024, the Company issued 399,999 shares of common stock and cash in lieu of a fractional share of common stock, related to the achievement of specified revenue objectives in connection with the NEPSI Acquisition. One specified revenue objective, which would have earned the selling stockholders 300,000 shares of Company common stock, was not achieved. NEPSI recognized revenues in excess of $120.0 million during the four years after the NEPSI Acquisition Date. As a result, during the quarter ended September 30, 2024, the Company issued 300,000 shares of common stock of the Company to the selling stockholders, following certification of the achievement of the specified earnout revenue objective. As of September 30, 2024, the Company had settled all outstanding contingent consideration under the NEPSI Stock Purchase Agreement.</w:t>
      </w:r>
    </w:p>
    <w:p>
      <w:pPr>
        <w:spacing w:after="0" w:line="19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a result, for the periods in which the Company had outstanding contingent consideration, the fair value of the contingent consideration was remeasured and the resulting gain or loss was recognized in operating expenses until the share amount was fixed.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key assumptions used in a Monte Carlo simulation to calculate the fair value of the contingent consideration related to the NEPSI Acquisition: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Fiscal Year 2024</w:t>
            </w:r>
          </w:p>
        </w:tc>
        <w:tc>
          <w:tcPr>
            <w:tcW w:w="4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CCEEFF"/>
            </w:tcBorders>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risk premium</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4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2025, the Company issued 300,000 shares of common stock related to the achievement of specified revenue objectives at a fair value of $6.5 million. The Company recorded a loss of $3.4 million for the increase in the fair value of the contingent consideration in the year ended March 31, 2025. The Company recorded a loss of $4.9 million for the increase in the fair value of the contingent consideration in the year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NWL Contingent Consideration</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the Stock Purchase Agreement with the selling stockholders of NWL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minimis at the time of the Acquisition. On September 23, 2024, the Company paid $3.3 million to the selling stockholders, which was calculated based on the agreed upon formula set forth in the Stock Purchase Agreement. This amount is reflected as the change in fair value of this contingent consideration in the fiscal year ended March 31, 2025. As of September 30, 2024, there were no remaining obligations to the selling stockholders of NWL.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income before income taxes for the fiscal years ended March 31, 2025, and 2024 are provided in the table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The components of income tax expense (benefit) consist of the following (in thousands):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76</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77" w:name="page78"/>
    <w:bookmarkEnd w:id="77"/>
    <w:p>
      <w:pPr>
        <w:ind w:left="500"/>
        <w:spacing w:after="0"/>
        <w:rPr>
          <w:sz w:val="20"/>
          <w:szCs w:val="20"/>
          <w:color w:val="auto"/>
        </w:rPr>
      </w:pPr>
      <w:r>
        <w:rPr>
          <w:rFonts w:ascii="Times New Roman" w:cs="Times New Roman" w:eastAsia="Times New Roman" w:hAnsi="Times New Roman"/>
          <w:sz w:val="18"/>
          <w:szCs w:val="18"/>
          <w:color w:val="auto"/>
        </w:rPr>
        <w:t>The reconciliation between the statutory federal income tax rate and the Company’s effective income tax rate is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adjustment on contingent consideration</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True-up of NOLs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162(m)</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2"/>
        </w:trPr>
        <w:tc>
          <w:tcPr>
            <w:tcW w:w="960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components of the Company’s deferred tax assets and liabilities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150,703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155,714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and other tax credit carryforwards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3,514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180,100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180,844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(177,112)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0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78" w:name="page79"/>
    <w:bookmarkEnd w:id="7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Tax Cuts and Jobs Act of 2017, taxpayers are required to capitalize and amortize expenses related for research and experimental as classified under Section 174 beginning in 2022. Amortization recovery for such costs are five years for domestic expenditures and fifteen for foreign expenditures. As of March 31, 2025, the Company had approximately $31.9 million of research and experimental expenses that had been capitalized under Section 174 with a remaining basis of $24.4 million.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income tax assets in the U.S., Romania and Poland since it is more likely than not that its deferred tax assets will not be realizable. After consideration of all the available evidence, both positive and negative, the Company has determined that a $171.7 million valuation allowance at March 31, 2025 is necessary to reduce the deferred tax assets to the amount that will more likely than not be realized which is a $5.4 million decrease from the $177.1 million valuation allowance as of March 31, 2024.</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March 31, 2025, the Company had aggregate net operating loss carryforwards in the U.S. for federal and state income tax purposes of approximately $655.7 million and $185.6 million, respectively, which expire in the years ending March 31, 2026 through 2040. For U.S. federal tax purpose, approximately $103.1 million of federal net operating losses have an indefinite carryforward period. Included in the U.S. net operating loss are $3.5 million of acquired losses from Power Quality Systems, Inc. and $0.3 million of acquired losses from Infinia Technology Corporation. Research and development and other tax credit carryforwards amounting to approximately $10.6 million and $2.5 million are available to offset federal and state income taxes, respectively, and will expire in the years ending 2026 through 2041.</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AMSC Romania has aggregate net operating loss carryforwards of approximately $0.4 million, which will begin to expire at March 31, 2028 and NWL Poland has aggregate net operating loss carryforwards of approximately $0.4 million, which will begin to expire at March 31, 2030.</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382 of the U.S. Internal Revenue Code of 1986, as amended (the “IRC”), provides limits on the extent to which a corporation that has undergone an ownership change (as defined) can utilize any net operating loss ("NOL") and general business tax credit carryforwards it may have. The Company updated its study in fiscal 2024 to determine whether Section 382 could limit the use of its carryforwards in this manner. After completing this study, the Company has concluded that the limitation will not have a material impact on its ability to utilize its NOL carryforwards. If there were material ownership changes subsequent to the study, such changes could limit the Company's ability to utilize its NOL carryforwards.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total amount of undistributed foreign earnings available to be repatriated at March 31, 2025 was $3.1 million resulting in the recording of a $0.4 million deferred tax liability for foreign withholding taxes.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recorded a deferred tax asset for the temporary difference associated with the excess of the tax greater than the book basis in its Romanian and Poland subsidiaries as the future tax benefit is not expected to reverse in the foreseeable future.</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2025. The Company did not have any gross unrecognized tax benefits at March 31, 2025 or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reversals of uncertain tax positions in the fiscal years ended March 31, 2025 and 2024.</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and, as a result, its subsidiaries file income tax returns in the U.S. federal jurisdiction and various state and foreign jurisdictions. Major tax jurisdictions include the U.S. and Austria. All U.S. income tax filings for fiscal years ended March 31, 1997 through 2024 remain open and subject to examination.</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fiscal years from the fiscal year ended March 31, 2023 through 2025 remain open and subject to examination in Austria. Tax filings in Romania for the fiscal years ended March 31, 2020 through 2025 remain open and subject to examination. Tax filings in Poland for tax years 2021 through March 31, 2025 remain open and subject to examination.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15. Debt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the acquisition of Neeltran, the Company identified four equipment financing agreements that Neeltran had entered into prior to the acquisition of Neeltran on May 6, 2021. The Company did not have a current or long-term debt balance as of March 31, 2025, and had a current debt balance of less than $0.1 million and no long-term debt balance as of March 31,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consolidated balance sheets.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at March 31, 2025 and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2,557</w:t>
            </w: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2,557</w:t>
            </w:r>
          </w:p>
        </w:tc>
      </w:tr>
      <w:tr>
        <w:trPr>
          <w:trHeight w:val="197"/>
        </w:trPr>
        <w:tc>
          <w:tcPr>
            <w:tcW w:w="7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ST Operating</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LT Operating</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1,968</w:t>
            </w: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r>
      <w:tr>
        <w:trPr>
          <w:trHeight w:val="196"/>
        </w:trPr>
        <w:tc>
          <w:tcPr>
            <w:tcW w:w="7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costs related to the Company's finance lease are not material. The costs related to the Company's operating leases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are as follows (in thousands):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5715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ind w:left="1060" w:hanging="1060"/>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1,453</w:t>
      </w:r>
    </w:p>
    <w:p>
      <w:pPr>
        <w:spacing w:after="0" w:line="2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w:t>
      </w:r>
    </w:p>
    <w:p>
      <w:pPr>
        <w:spacing w:after="0" w:line="9"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-267970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934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1060" w:hanging="1060"/>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-121920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ind w:left="1040" w:hanging="1033"/>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1,023</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40" w:hanging="103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1,330</w:t>
      </w:r>
    </w:p>
    <w:p>
      <w:pPr>
        <w:spacing w:after="0" w:line="235" w:lineRule="exact"/>
        <w:rPr>
          <w:sz w:val="20"/>
          <w:szCs w:val="20"/>
          <w:color w:val="auto"/>
        </w:rPr>
      </w:pPr>
    </w:p>
    <w:p>
      <w:pPr>
        <w:sectPr>
          <w:pgSz w:w="11900" w:h="16838" w:orient="portrait"/>
          <w:cols w:equalWidth="0" w:num="3">
            <w:col w:w="7280" w:space="720"/>
            <w:col w:w="1480" w:space="200"/>
            <w:col w:w="1560"/>
          </w:cols>
          <w:pgMar w:left="320" w:top="846"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estimated minimum future lease obligations under the Company's leases are as follows: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March 31,</w:t>
            </w: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w:t>
            </w:r>
          </w:p>
        </w:tc>
      </w:tr>
      <w:tr>
        <w:trPr>
          <w:trHeight w:val="210"/>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had two active stock plans: the Amended and Restated 2007 Director Stock Plan, as amended (the “2007 Director Plan”) and the 2022 Stock Incentive Plan, as amended and restated (the "2022 Plan"). On August 2, 2024, the Company's stockholders approved the amendments to the 2022 Plan and amendments to the Company's 2007 Director Plan. The amendment to the 2022 Plan increased the total number of shares of common stock authorized for issuance under the 2022 Plan from 1,150,000 shares to 4,400,000 shares of common stock. The amendment to the 2007 Director Plan increased the total number of shares of common stock authorized for issuance under the 2007 Director Plan from 430,000 shares to 580,000 shares.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2022 Plan provides for the grant of incentive stock options intended to qualify under Section 422 of the IRC of 1986, as amended, nonstatutory stock options, stock appreciation rights, restricted stock, restricted stock units and other stock-based awards. In the case of options, the exercise price is no less than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 The 2022 Plan replaced the Company’s 2007 Stock Incentive Plan, as amended (the “2007 Plan”). No further awards are granted under the 2007 Plan following effectiveness of the 2022 Plan; however, the terms and conditions of the 2007 Plan continue to govern any outstanding awards granted thereunder.</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2007 Director Plan provides for the grant of nonstatutory stock options and stock awards to members of the Board of Directors who are not also employees of the Company ("outside directors"). Under the terms of the 2007 Director Plan,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each outside director is granted an award of shares of common stock on the third business day following the last day of each fiscal year with an aggregate value equal to $50,000 using the closing price of the Company's common stock two business days following the last day of each fiscal year, subject to proration for any partial fiscal year of service.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the 2022 Plan had 2,450,662 shares available for future issuance, and the 2007 Director Plan had 253,596 shares available for future issuance. Additionally, any shares which are subject to awards previously granted under the 2007 Plan that are forfeited or lapse unexercised and which following the effectiveness of the 2022 Plan are not issued under the 2007 Plan will become available for issuance under the 2022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components of stock-based compensation for the years ended</w:t>
            </w:r>
          </w:p>
        </w:tc>
        <w:tc>
          <w:tcPr>
            <w:tcW w:w="4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March 31, 2025 and 2024 were as follows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09"/>
        </w:trPr>
        <w:tc>
          <w:tcPr>
            <w:tcW w:w="5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stock awards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4,563</w:t>
            </w:r>
          </w:p>
        </w:tc>
      </w:tr>
      <w:tr>
        <w:trPr>
          <w:trHeight w:val="21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r>
      <w:tr>
        <w:trPr>
          <w:trHeight w:val="20"/>
        </w:trPr>
        <w:tc>
          <w:tcPr>
            <w:tcW w:w="5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stock-based awards, less expected annual forfeitures, is amortized over the awards’ service period. The total unrecognized compensation cost for unvested outstanding restricted stock was $15.6 million as of March 31, 2025. This expense will be recognized over a weighted-average expense period of approximately 1.6 years.</w:t>
      </w:r>
    </w:p>
    <w:p>
      <w:pPr>
        <w:spacing w:after="0" w:line="17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financial statement line item for the fiscal years ended March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2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4,652</w:t>
            </w:r>
          </w:p>
        </w:tc>
      </w:tr>
      <w:tr>
        <w:trPr>
          <w:trHeight w:val="20"/>
        </w:trPr>
        <w:tc>
          <w:tcPr>
            <w:tcW w:w="8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information concerning currently outstanding and exercisable employee and non-employee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2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Canceled/forfeited</w:t>
            </w:r>
          </w:p>
        </w:tc>
        <w:tc>
          <w:tcPr>
            <w:tcW w:w="1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46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4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vested and expected to vest at March 31, 2025</w:t>
            </w:r>
          </w:p>
        </w:tc>
        <w:tc>
          <w:tcPr>
            <w:tcW w:w="1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413"/>
        </w:trPr>
        <w:tc>
          <w:tcPr>
            <w:tcW w:w="46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82" w:name="page83"/>
    <w:bookmarkEnd w:id="8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grant any stock options under the 2007 Director Plan nor the 2022 Plan during both fiscal years ended March 31, 2025 and 2024.</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for the year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 Value</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1,425,654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891,700</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(524,201)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1,790,153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32,473</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that was granted during the fiscal years ended March 31, 2025 and 2024 was $19.6 million and $4.8 million, respectively. The total fair value of restricted stock that vested during the fiscal years ended March 31, 2025 and 2024 was $10.7 million and $4.5 million,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250,000 performance-based restricted shares awarded during the fiscal year ended March 31, 2025 for which the performance conditions are deemed probable to be met and the expense is being recorded over a three-year vesting period. There were 213,000 performance-based restricted shares awarded during the fiscal year ended March 31, 2024 for which the performance conditions are deemed probable to be met and the expense is being recorded over a three-year vesting period.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remaining shares awarded vest upon the passage of time. For awards that vest upon the passage of time, expense is being recorded over the vesting period.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maintains the 2000 Employee Stock Purchase Plan, as amended (the "ESPP") which provides employees with the opportunity to purchase shares of common stock at a price equal to the market value of the common stock at the end of the offering period, less a 15% purchase discount. As of March 31, 2025, the ESPP had 48,635 shares available for future issuance. The Company recognized less than $0.1 million of compensation expense for both the fiscal years ended March 31, 2025 and 2024, related to the ESPP.</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March 31, 2025 and 2024, all lease costs were recorded in selling, general and administrative expense. See Note 16, "Leases"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$4.3 million of restricted cash included in long-term assets and $1.6 million of restricted cash included in current assets. As of March 31, 2024, the Company had $1.3 million of restricted cash included in long term assets and $0.5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Employee Benefit Plans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implemented a defined contribution plan (the “Plan”) under Section 401(k) of the IRC. Any contributions made by the Company to the Plan are discretionary. The Company has a stock match program under which the Company matched, in the form of Company common stock, 100% up to 5% of eligible contributions. The Company recorded expenses of $1.2 million and $0.6 million in the fiscal years ended March 31, 2025 and 2024, respectively, and recorded corresponding charges to additional paid-in capital related to this program.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reports its financial results in two reportable business segments: Grid and Wind.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has identified two operating segments. The Company's operating segments reflect the way in which internally-reported financial information is used to make decisions and allocate resources.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4" w:name="page85"/>
    <w:bookmarkEnd w:id="84"/>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one another and in the compensation of certain employees.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(i) summarize total sales by segment and (ii) reconcile each segment's sales to their respective segment operating income, including segment operating expenses, for each of the years ended March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Fiscal Year Ended March 31, 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Grid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9"/>
                <w:szCs w:val="19"/>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Unallocated</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187,170</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222,818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other operating expenses (b)</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185,358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6,681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223,895</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wp:posOffset>
            </wp:positionV>
            <wp:extent cx="32746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200" w:hanging="192"/>
        <w:spacing w:after="0"/>
        <w:tabs>
          <w:tab w:leader="none" w:pos="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3" w:lineRule="exact"/>
        <w:rPr>
          <w:rFonts w:ascii="Times New Roman" w:cs="Times New Roman" w:eastAsia="Times New Roman" w:hAnsi="Times New Roman"/>
          <w:sz w:val="14"/>
          <w:szCs w:val="14"/>
          <w:color w:val="auto"/>
        </w:rPr>
      </w:pPr>
    </w:p>
    <w:p>
      <w:pPr>
        <w:ind w:right="240" w:firstLine="8"/>
        <w:spacing w:after="0" w:line="239" w:lineRule="auto"/>
        <w:tabs>
          <w:tab w:leader="none" w:pos="20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other operating expense includes cost of sales, research and development expense, selling general, and administrative expense, amortization of acquisition related intangibles, and gain/loss on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-301625</wp:posOffset>
            </wp:positionV>
            <wp:extent cx="32746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 2024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Grid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9"/>
                <w:szCs w:val="19"/>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Unallocated</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122,065</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145,639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other operating expenses (b)</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128,974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157,007</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-8255</wp:posOffset>
            </wp:positionV>
            <wp:extent cx="32746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200" w:hanging="192"/>
        <w:spacing w:after="0"/>
        <w:tabs>
          <w:tab w:leader="none" w:pos="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3" w:lineRule="exact"/>
        <w:rPr>
          <w:rFonts w:ascii="Times New Roman" w:cs="Times New Roman" w:eastAsia="Times New Roman" w:hAnsi="Times New Roman"/>
          <w:sz w:val="14"/>
          <w:szCs w:val="14"/>
          <w:color w:val="auto"/>
        </w:rPr>
      </w:pPr>
    </w:p>
    <w:p>
      <w:pPr>
        <w:ind w:right="240" w:firstLine="8"/>
        <w:spacing w:after="0" w:line="239" w:lineRule="auto"/>
        <w:tabs>
          <w:tab w:leader="none" w:pos="20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other operating expense includes cost of sales, research and development expense, selling general, and administrative expense, amortization of acquisition related intangibles, and gain/loss on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-301625</wp:posOffset>
            </wp:positionV>
            <wp:extent cx="3274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Unallocated corporate expenses consist of a loss on contingent consideration of $6.7 million in the fiscal year ended March 31, 2025, and a loss on contingent consideration of $4.9 million in the fiscal year ended March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5" w:name="page86"/>
    <w:bookmarkEnd w:id="85"/>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reconciliation of segment operating loss to consolidated income (loss) before income taxes for the years ended March 31, 2025 and 2024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(10,802</w:t>
            </w:r>
            <w:r>
              <w:rPr>
                <w:rFonts w:ascii="Times New Roman" w:cs="Times New Roman" w:eastAsia="Times New Roman" w:hAnsi="Times New Roman"/>
                <w:sz w:val="24"/>
                <w:szCs w:val="24"/>
                <w:color w:val="auto"/>
                <w:vertAlign w:val="subscript"/>
              </w:rPr>
              <w:t>)</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 by segment for the years ended March 31, 2025 and 2024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10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assets for the two business segments as of March 31, 2025 and March 31,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125,878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232,771</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Geographic information about property, plant and equipment associated with particular regions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6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37,426</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7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70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21. Recent Accounting Pronouncements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March 31, 2025, the Company has adopted ASU 2023-07 and made the required disclosures, and noted no other material impact on its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The Company is evaluating the impact on its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The amendments in ASU 2024-02 contain amendments to the Codification that remove references to various FASB Concepts Statements. Following the release of ASU 2024-02 in March 2024, the effective date will be annual reporting periods beginning after December 15, 2024. The Company is evaluating any material impact on its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The Company is evaluating the impact on its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time of filing this Annual Report on Form 10-K with the SEC, and has determined that there are no such events to report.</w:t>
      </w:r>
    </w:p>
    <w:p>
      <w:pPr>
        <w:spacing w:after="0" w:line="18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7" w:name="page88"/>
    <w:bookmarkEnd w:id="87"/>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2025, our Chief Executive Officer and Chief Financial Officer concluded that, as of such date,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240" w:hanging="26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225" w:lineRule="exact"/>
        <w:rPr>
          <w:rFonts w:ascii="Times New Roman" w:cs="Times New Roman" w:eastAsia="Times New Roman" w:hAnsi="Times New Roman"/>
          <w:sz w:val="18"/>
          <w:szCs w:val="18"/>
          <w:color w:val="auto"/>
        </w:rPr>
      </w:pPr>
    </w:p>
    <w:p>
      <w:pPr>
        <w:jc w:val="both"/>
        <w:ind w:right="20" w:firstLine="980"/>
        <w:spacing w:after="0" w:line="266" w:lineRule="auto"/>
        <w:tabs>
          <w:tab w:leader="none" w:pos="12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as of March 31, 2025, based on the Committee of Sponsoring Organizations of the Treadway Commission’s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Edition). Based on this evaluation, management concluded that our internal control over financial reporting was effective as of March 31, 2025. Our evaluation excluded the acquisition of Megatran Industries, Inc. (referred to as the “NWL acquisition”), which was acquired on August 1, 2024. Our Consolidated Statement of Operations for the year ended March 31, 2025 included revenue of approximately $50.5 million and our Consolidated Balance Sheet as of March 31, 2025 included total assets of approximately $85.4 million attributable to the NWL acquisition. In accordance with guidance issued by the Securities and Exchange Commission, companies are allowed to exclude acquisitions from their assessment of internal control over financial reporting during the first year subsequent to the acquisition while integrating the acquired operations.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2025 has been audited by RSM US LLP, an independent registered public accounting firm, as stated in their report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during the fiscal quarter ended March 31, 2025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American Superconductor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American Superconductor Corporation's (the Company) internal control over financial reporting as of March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In our opinion, the Company maintained, in all material respects, effective internal control over financial reporting as of March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May 21, 2025 expressed an unqualified opinion.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Megatran Industries, Inc. and its wholly-owned subsidiaries (Megatran) from its assessment of internal control over financial reporting as of March 31, 2025, because it was acquired by the Company in the second quarter of 2024 and has not yet been fully incorporated into the Company’s internal controls over financial reporting. We have also excluded Megatran from our audit of internal control over financial reporting as of March 31, 2025. Megatran is a wholly owned subsidiary whose total assets and revenues represent approximately 28% and 23%, respectively, of the related consolidated financial statement amounts as of and for the year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351" w:lineRule="exact"/>
        <w:rPr>
          <w:sz w:val="20"/>
          <w:szCs w:val="20"/>
          <w:color w:val="auto"/>
        </w:rPr>
      </w:pPr>
    </w:p>
    <w:p>
      <w:pPr>
        <w:ind w:left="740" w:hanging="246"/>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right="20" w:firstLine="494"/>
        <w:spacing w:after="0" w:line="282" w:lineRule="auto"/>
        <w:tabs>
          <w:tab w:leader="none" w:pos="7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response to this item is contained in part under the caption “Executive Officers” in Part I of this Annual Report on Form 10-K, and in part in our Proxy Statement for the Annual Meeting of Stockholders to be held in 2025 (the “2025 Proxy Statement”) in the section “Corporate Governance" which is incorporated herein by reference.</w:t>
      </w:r>
    </w:p>
    <w:p>
      <w:pPr>
        <w:spacing w:after="0" w:line="3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section of the 2025 Proxy Statement titled “Information About Executive and Director Compensation,” is incorporated herein by reference.</w:t>
      </w:r>
    </w:p>
    <w:p>
      <w:pPr>
        <w:spacing w:after="0" w:line="200" w:lineRule="exact"/>
        <w:rPr>
          <w:sz w:val="20"/>
          <w:szCs w:val="20"/>
          <w:color w:val="auto"/>
        </w:rPr>
      </w:pPr>
    </w:p>
    <w:p>
      <w:pPr>
        <w:spacing w:after="0" w:line="237" w:lineRule="exact"/>
        <w:rPr>
          <w:sz w:val="20"/>
          <w:szCs w:val="20"/>
          <w:color w:val="auto"/>
        </w:rPr>
      </w:pPr>
    </w:p>
    <w:p>
      <w:pPr>
        <w:ind w:left="1360" w:right="380" w:hanging="1349"/>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sections of the 2025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3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sections of the 2025 Proxy Statement titled “Certain Relationships and Related Transactions” and “Corporate Governance — Board Determination of Independence” and “Corporate Governance — Board Committees” are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independent registered public accounting firm is RSM US LLP, Boston, MA, Auditor ID: 49.</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section of the 2025 Proxy Statement titled “Ratification of Selection of Independent Registered Public Accounting Firm”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0" w:name="page91"/>
    <w:bookmarkEnd w:id="9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500" w:right="6120" w:hanging="6"/>
        <w:spacing w:after="0" w:line="500" w:lineRule="auto"/>
        <w:tabs>
          <w:tab w:leader="none" w:pos="7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as part of this Annual Report on Form 10-K: 1. Financial Statements</w:t>
      </w:r>
    </w:p>
    <w:p>
      <w:pPr>
        <w:spacing w:after="0" w:line="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47</w:t>
            </w:r>
          </w:p>
        </w:tc>
      </w:tr>
      <w:tr>
        <w:trPr>
          <w:trHeight w:val="196"/>
        </w:trPr>
        <w:tc>
          <w:tcPr>
            <w:tcW w:w="41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at March 31, 2025 and 2024</w:t>
            </w:r>
          </w:p>
        </w:tc>
        <w:tc>
          <w:tcPr>
            <w:tcW w:w="40" w:type="dxa"/>
            <w:vAlign w:val="bottom"/>
            <w:tcBorders>
              <w:top w:val="single" w:sz="8" w:color="0000EE"/>
            </w:tcBorders>
          </w:tcPr>
          <w:p>
            <w:pPr>
              <w:spacing w:after="0"/>
              <w:rPr>
                <w:sz w:val="17"/>
                <w:szCs w:val="17"/>
                <w:color w:val="auto"/>
              </w:rPr>
            </w:pPr>
          </w:p>
        </w:tc>
        <w:tc>
          <w:tcPr>
            <w:tcW w:w="4960" w:type="dxa"/>
            <w:vAlign w:val="bottom"/>
            <w:gridSpan w:val="4"/>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6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fiscal years ended March 31, 2025 and 2024</w:t>
            </w:r>
          </w:p>
        </w:tc>
        <w:tc>
          <w:tcPr>
            <w:tcW w:w="260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50</w:t>
            </w:r>
          </w:p>
        </w:tc>
      </w:tr>
      <w:tr>
        <w:trPr>
          <w:trHeight w:val="196"/>
        </w:trPr>
        <w:tc>
          <w:tcPr>
            <w:tcW w:w="7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fiscal years ended March 31, 2025 and 2024</w:t>
            </w:r>
          </w:p>
        </w:tc>
        <w:tc>
          <w:tcPr>
            <w:tcW w:w="1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51</w:t>
            </w:r>
          </w:p>
        </w:tc>
      </w:tr>
      <w:tr>
        <w:trPr>
          <w:trHeight w:val="196"/>
        </w:trPr>
        <w:tc>
          <w:tcPr>
            <w:tcW w:w="91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fiscal years ended March 31, 2025 and 2024</w:t>
            </w:r>
          </w:p>
        </w:tc>
        <w:tc>
          <w:tcPr>
            <w:tcW w:w="2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52</w:t>
            </w:r>
          </w:p>
        </w:tc>
      </w:tr>
      <w:tr>
        <w:trPr>
          <w:trHeight w:val="196"/>
        </w:trPr>
        <w:tc>
          <w:tcPr>
            <w:tcW w:w="73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March 31, 2025 and 2024</w:t>
            </w:r>
          </w:p>
        </w:tc>
        <w:tc>
          <w:tcPr>
            <w:tcW w:w="1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53</w:t>
            </w:r>
          </w:p>
        </w:tc>
      </w:tr>
      <w:tr>
        <w:trPr>
          <w:trHeight w:val="196"/>
        </w:trPr>
        <w:tc>
          <w:tcPr>
            <w:tcW w:w="6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56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54</w:t>
            </w:r>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the required information is shown in the consolidated financial statements or notes thereto.</w:t>
      </w:r>
    </w:p>
    <w:p>
      <w:pPr>
        <w:spacing w:after="0" w:line="162" w:lineRule="exact"/>
        <w:rPr>
          <w:sz w:val="20"/>
          <w:szCs w:val="20"/>
          <w:color w:val="auto"/>
        </w:rPr>
      </w:pPr>
    </w:p>
    <w:p>
      <w:pPr>
        <w:ind w:left="500" w:right="5160" w:hanging="6"/>
        <w:spacing w:after="0" w:line="500"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 under the Exchange Act. See (b) Exhibits.</w:t>
      </w:r>
    </w:p>
    <w:p>
      <w:pPr>
        <w:spacing w:after="0" w:line="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list of Exhibits filed as a part of this Annual Report on Form 10-K is set forth on the Exhibit Index immediately following Item 16, “Form 10-K Summary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2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2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4160" w:type="dxa"/>
            <w:vAlign w:val="bottom"/>
            <w:tcBorders>
              <w:top w:val="single" w:sz="8" w:color="auto"/>
              <w:bottom w:val="single" w:sz="8" w:color="0000EE"/>
            </w:tcBorders>
            <w:gridSpan w:val="28"/>
          </w:tcPr>
          <w:p>
            <w:pPr>
              <w:spacing w:after="0" w:line="169"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Restated Certificate of Incorporation of the Registrant, as</w:t>
              </w:r>
            </w:hyperlink>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S-3</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333-191153</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9/13/2013</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Certificate of Amendment of Restated Certificate of</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3/24/2015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Incorporation of the Registrant, dated March 24, 2015.</w:t>
              </w:r>
            </w:hyperlink>
          </w:p>
        </w:tc>
        <w:tc>
          <w:tcPr>
            <w:tcW w:w="4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7"/>
                <w:szCs w:val="17"/>
                <w:color w:val="auto"/>
              </w:rPr>
            </w:pPr>
          </w:p>
        </w:tc>
        <w:tc>
          <w:tcPr>
            <w:tcW w:w="3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Amended and Restated By-Laws of the Registrant.</w:t>
              </w:r>
            </w:hyperlink>
          </w:p>
        </w:tc>
        <w:tc>
          <w:tcPr>
            <w:tcW w:w="720" w:type="dxa"/>
            <w:vAlign w:val="bottom"/>
            <w:gridSpan w:val="1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2/5/2025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Indenture</w:t>
              </w:r>
            </w:hyperlink>
            <w:r>
              <w:rPr>
                <w:rFonts w:ascii="Times New Roman" w:cs="Times New Roman" w:eastAsia="Times New Roman" w:hAnsi="Times New Roman"/>
                <w:sz w:val="18"/>
                <w:szCs w:val="18"/>
                <w:color w:val="000000"/>
              </w:rPr>
              <w:t>.</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333-276766</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1/30/2024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Description of Capital Stock</w:t>
              </w:r>
            </w:hyperlink>
            <w:r>
              <w:rPr>
                <w:rFonts w:ascii="Times New Roman" w:cs="Times New Roman" w:eastAsia="Times New Roman" w:hAnsi="Times New Roman"/>
                <w:sz w:val="18"/>
                <w:szCs w:val="18"/>
                <w:color w:val="000000"/>
              </w:rPr>
              <w:t>.</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6/5/2019</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3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Amended and Restated 2007 Director Stock Plan, as</w:t>
              </w:r>
            </w:hyperlink>
          </w:p>
        </w:tc>
        <w:tc>
          <w:tcPr>
            <w:tcW w:w="600" w:type="dxa"/>
            <w:vAlign w:val="bottom"/>
            <w:gridSpan w:val="1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31">
              <w:r>
                <w:rPr>
                  <w:rFonts w:ascii="Times New Roman" w:cs="Times New Roman" w:eastAsia="Times New Roman" w:hAnsi="Times New Roman"/>
                  <w:sz w:val="18"/>
                  <w:szCs w:val="18"/>
                  <w:color w:val="0000EE"/>
                  <w:w w:val="96"/>
                </w:rPr>
                <w:t>Amended.</w:t>
              </w:r>
            </w:hyperlink>
          </w:p>
        </w:tc>
        <w:tc>
          <w:tcPr>
            <w:tcW w:w="364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Non-statutory Stock Option Agreement Under</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Amended and Restated 2007 Director Stock Plan</w:t>
              </w:r>
              <w:r>
                <w:rPr>
                  <w:rFonts w:ascii="Times New Roman" w:cs="Times New Roman" w:eastAsia="Times New Roman" w:hAnsi="Times New Roman"/>
                  <w:sz w:val="18"/>
                  <w:szCs w:val="18"/>
                  <w:color w:val="000000"/>
                </w:rPr>
                <w:t>.</w:t>
              </w:r>
            </w:hyperlink>
          </w:p>
        </w:tc>
        <w:tc>
          <w:tcPr>
            <w:tcW w:w="4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2022 Stock Incentive Plan, as Amended and Restated.</w:t>
              </w:r>
            </w:hyperlink>
          </w:p>
        </w:tc>
        <w:tc>
          <w:tcPr>
            <w:tcW w:w="480" w:type="dxa"/>
            <w:vAlign w:val="bottom"/>
            <w:gridSpan w:val="11"/>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Time-Based Restricted Stock Agreement Under</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2022 Stock Incentive Plan.</w:t>
              </w:r>
            </w:hyperlink>
          </w:p>
        </w:tc>
        <w:tc>
          <w:tcPr>
            <w:tcW w:w="2120" w:type="dxa"/>
            <w:vAlign w:val="bottom"/>
            <w:tcBorders>
              <w:top w:val="single" w:sz="8" w:color="0000EE"/>
            </w:tcBorders>
            <w:gridSpan w:val="15"/>
          </w:tcPr>
          <w:p>
            <w:pPr>
              <w:spacing w:after="0"/>
              <w:rPr>
                <w:sz w:val="17"/>
                <w:szCs w:val="17"/>
                <w:color w:val="auto"/>
              </w:rPr>
            </w:pPr>
          </w:p>
        </w:tc>
        <w:tc>
          <w:tcPr>
            <w:tcW w:w="3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7"/>
                <w:szCs w:val="17"/>
                <w:color w:val="auto"/>
              </w:rPr>
            </w:pPr>
          </w:p>
        </w:tc>
        <w:tc>
          <w:tcPr>
            <w:tcW w:w="4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Performance-Based Restricted Stock Agreement</w:t>
              </w:r>
            </w:hyperlink>
          </w:p>
        </w:tc>
        <w:tc>
          <w:tcPr>
            <w:tcW w:w="2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Under 2022 Stock Incentive Plan.</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7"/>
                <w:szCs w:val="17"/>
                <w:color w:val="auto"/>
              </w:rPr>
            </w:pPr>
          </w:p>
        </w:tc>
        <w:tc>
          <w:tcPr>
            <w:tcW w:w="40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Option Agreement Under 2022 Stock Incentive</w:t>
              </w:r>
            </w:hyperlink>
          </w:p>
        </w:tc>
        <w:tc>
          <w:tcPr>
            <w:tcW w:w="340" w:type="dxa"/>
            <w:vAlign w:val="bottom"/>
            <w:gridSpan w:val="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136">
              <w:r>
                <w:rPr>
                  <w:rFonts w:ascii="Times New Roman" w:cs="Times New Roman" w:eastAsia="Times New Roman" w:hAnsi="Times New Roman"/>
                  <w:sz w:val="18"/>
                  <w:szCs w:val="18"/>
                  <w:color w:val="0000EE"/>
                  <w:w w:val="92"/>
                </w:rPr>
                <w:t>Plan.</w:t>
              </w:r>
            </w:hyperlink>
          </w:p>
        </w:tc>
        <w:tc>
          <w:tcPr>
            <w:tcW w:w="4020" w:type="dxa"/>
            <w:vAlign w:val="bottom"/>
            <w:gridSpan w:val="29"/>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Employee Nondisclosure and Developments</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10-K/A</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333-43647</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6/7/2018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Agreement.</w:t>
              </w:r>
            </w:hyperlink>
          </w:p>
        </w:tc>
        <w:tc>
          <w:tcPr>
            <w:tcW w:w="2980" w:type="dxa"/>
            <w:vAlign w:val="bottom"/>
            <w:tcBorders>
              <w:top w:val="single" w:sz="8" w:color="0000EE"/>
            </w:tcBorders>
            <w:gridSpan w:val="12"/>
          </w:tcPr>
          <w:p>
            <w:pPr>
              <w:spacing w:after="0"/>
              <w:rPr>
                <w:sz w:val="17"/>
                <w:szCs w:val="17"/>
                <w:color w:val="auto"/>
              </w:rPr>
            </w:pPr>
          </w:p>
        </w:tc>
        <w:tc>
          <w:tcPr>
            <w:tcW w:w="56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7"/>
                <w:szCs w:val="17"/>
                <w:color w:val="auto"/>
              </w:rPr>
            </w:pPr>
          </w:p>
        </w:tc>
        <w:tc>
          <w:tcPr>
            <w:tcW w:w="4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Executive Severance Agreement,</w:t>
              </w:r>
            </w:hyperlink>
          </w:p>
        </w:tc>
        <w:tc>
          <w:tcPr>
            <w:tcW w:w="26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5/24/2011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dated as of May 24, 2011, between the Registrant and</w:t>
              </w:r>
            </w:hyperlink>
          </w:p>
        </w:tc>
        <w:tc>
          <w:tcPr>
            <w:tcW w:w="52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Daniel P. McGahn.</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7"/>
                <w:szCs w:val="17"/>
                <w:color w:val="auto"/>
              </w:rPr>
            </w:pPr>
          </w:p>
        </w:tc>
        <w:tc>
          <w:tcPr>
            <w:tcW w:w="41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Executive Severance Agreement, dated as of January 13,</w:t>
              </w:r>
            </w:hyperlink>
          </w:p>
        </w:tc>
        <w:tc>
          <w:tcPr>
            <w:tcW w:w="28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4/4/2017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2012, between the Registrant and John W. Kosiba.</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First Amendment to Executive Severance Agreement,</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11/7/2017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700" w:type="dxa"/>
            <w:vAlign w:val="bottom"/>
            <w:gridSpan w:val="13"/>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effective as of July 31, 2017, between the Registrant and</w:t>
              </w:r>
            </w:hyperlink>
          </w:p>
        </w:tc>
        <w:tc>
          <w:tcPr>
            <w:tcW w:w="30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John W. Kosiba.</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2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18"/>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4"/>
                <w:szCs w:val="14"/>
                <w:color w:val="auto"/>
              </w:rPr>
            </w:pPr>
          </w:p>
        </w:tc>
        <w:tc>
          <w:tcPr>
            <w:tcW w:w="2720" w:type="dxa"/>
            <w:vAlign w:val="bottom"/>
            <w:tcBorders>
              <w:top w:val="single" w:sz="8" w:color="auto"/>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Fiscal 2024 Executive Incentive Plan.</w:t>
              </w:r>
            </w:hyperlink>
          </w:p>
        </w:tc>
        <w:tc>
          <w:tcPr>
            <w:tcW w:w="1440" w:type="dxa"/>
            <w:vAlign w:val="bottom"/>
            <w:tcBorders>
              <w:top w:val="single" w:sz="8" w:color="auto"/>
            </w:tcBorders>
            <w:gridSpan w:val="13"/>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000-19672</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5/29/2024</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Subsidiaries.</w:t>
            </w:r>
          </w:p>
        </w:tc>
        <w:tc>
          <w:tcPr>
            <w:tcW w:w="680" w:type="dxa"/>
            <w:vAlign w:val="bottom"/>
            <w:tcBorders>
              <w:top w:val="single" w:sz="8" w:color="0000EE"/>
            </w:tcBorders>
            <w:gridSpan w:val="2"/>
          </w:tcPr>
          <w:p>
            <w:pPr>
              <w:spacing w:after="0"/>
              <w:rPr>
                <w:sz w:val="17"/>
                <w:szCs w:val="17"/>
                <w:color w:val="auto"/>
              </w:rPr>
            </w:pPr>
          </w:p>
        </w:tc>
        <w:tc>
          <w:tcPr>
            <w:tcW w:w="278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RSM US LLP</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4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Executive Officer — Certification pursuant to Rule</w:t>
            </w:r>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Rule 15d-14(a) of the Securities Exchange</w:t>
            </w:r>
          </w:p>
        </w:tc>
        <w:tc>
          <w:tcPr>
            <w:tcW w:w="38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w:t>
            </w:r>
          </w:p>
        </w:tc>
        <w:tc>
          <w:tcPr>
            <w:tcW w:w="4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28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 Certification pursuant to Rule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Rule 15d-14(a) of the Securities Exchange</w:t>
            </w:r>
          </w:p>
        </w:tc>
        <w:tc>
          <w:tcPr>
            <w:tcW w:w="80" w:type="dxa"/>
            <w:vAlign w:val="bottom"/>
            <w:tcBorders>
              <w:top w:val="single" w:sz="8" w:color="0000EE"/>
            </w:tcBorders>
            <w:gridSpan w:val="2"/>
          </w:tcPr>
          <w:p>
            <w:pPr>
              <w:spacing w:after="0"/>
              <w:rPr>
                <w:sz w:val="17"/>
                <w:szCs w:val="17"/>
                <w:color w:val="auto"/>
              </w:rPr>
            </w:pPr>
          </w:p>
        </w:tc>
        <w:tc>
          <w:tcPr>
            <w:tcW w:w="3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w:t>
            </w:r>
          </w:p>
        </w:tc>
        <w:tc>
          <w:tcPr>
            <w:tcW w:w="4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28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Chief Executive Officer — Certification pursuant to</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6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and 18 U.S.C. Section 1350, as</w:t>
            </w:r>
          </w:p>
        </w:tc>
        <w:tc>
          <w:tcPr>
            <w:tcW w:w="4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3060" w:type="dxa"/>
            <w:vAlign w:val="bottom"/>
            <w:tcBorders>
              <w:top w:val="single" w:sz="8" w:color="0000EE"/>
            </w:tcBorders>
            <w:gridSpan w:val="14"/>
          </w:tcPr>
          <w:p>
            <w:pPr>
              <w:spacing w:after="0"/>
              <w:rPr>
                <w:sz w:val="17"/>
                <w:szCs w:val="17"/>
                <w:color w:val="auto"/>
              </w:rPr>
            </w:pPr>
          </w:p>
        </w:tc>
        <w:tc>
          <w:tcPr>
            <w:tcW w:w="4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 Certification pursuant to Rule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13a-14(b) or Rule 15d-14(b) of the Securities Exchange</w:t>
            </w:r>
          </w:p>
        </w:tc>
        <w:tc>
          <w:tcPr>
            <w:tcW w:w="6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and 18 U.S.C. Section 1350, as adopted</w:t>
            </w:r>
          </w:p>
        </w:tc>
        <w:tc>
          <w:tcPr>
            <w:tcW w:w="6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w:t>
            </w:r>
          </w:p>
        </w:tc>
        <w:tc>
          <w:tcPr>
            <w:tcW w:w="5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Policy for Recovery of Erroneously Awarded</w:t>
              </w:r>
            </w:hyperlink>
          </w:p>
        </w:tc>
        <w:tc>
          <w:tcPr>
            <w:tcW w:w="1120" w:type="dxa"/>
            <w:vAlign w:val="bottom"/>
            <w:gridSpan w:val="1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5/29/2024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Compensation</w:t>
              </w:r>
            </w:hyperlink>
          </w:p>
        </w:tc>
        <w:tc>
          <w:tcPr>
            <w:tcW w:w="334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Calculation Linkbase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18"/>
                <w:szCs w:val="18"/>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6240" w:hanging="1032"/>
        <w:spacing w:after="0" w:line="260"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181"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ahn</w:t>
            </w:r>
          </w:p>
        </w:tc>
      </w:tr>
      <w:tr>
        <w:trPr>
          <w:trHeight w:val="187"/>
        </w:trPr>
        <w:tc>
          <w:tcPr>
            <w:tcW w:w="340" w:type="dxa"/>
            <w:vAlign w:val="bottom"/>
          </w:tcPr>
          <w:p>
            <w:pPr>
              <w:spacing w:after="0"/>
              <w:rPr>
                <w:sz w:val="16"/>
                <w:szCs w:val="16"/>
                <w:color w:val="auto"/>
              </w:rPr>
            </w:pPr>
          </w:p>
        </w:tc>
        <w:tc>
          <w:tcPr>
            <w:tcW w:w="3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Daniel P. McGahn</w:t>
            </w:r>
          </w:p>
        </w:tc>
      </w:tr>
      <w:tr>
        <w:trPr>
          <w:trHeight w:val="216"/>
        </w:trPr>
        <w:tc>
          <w:tcPr>
            <w:tcW w:w="3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Chairman of the Board, President, and</w:t>
            </w:r>
          </w:p>
        </w:tc>
      </w:tr>
      <w:tr>
        <w:trPr>
          <w:trHeight w:val="238"/>
        </w:trPr>
        <w:tc>
          <w:tcPr>
            <w:tcW w:w="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May 21,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ahn</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President, Chief Executive Officer, and Director</w:t>
            </w:r>
          </w:p>
        </w:tc>
        <w:tc>
          <w:tcPr>
            <w:tcW w:w="20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126"/>
        </w:trPr>
        <w:tc>
          <w:tcPr>
            <w:tcW w:w="3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8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P. McGahn</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W. K</w:t>
            </w:r>
            <w:r>
              <w:rPr>
                <w:rFonts w:ascii="Times New Roman" w:cs="Times New Roman" w:eastAsia="Times New Roman" w:hAnsi="Times New Roman"/>
                <w:sz w:val="12"/>
                <w:szCs w:val="12"/>
                <w:color w:val="auto"/>
              </w:rPr>
              <w:t>osiba</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John W. Kosiba, Jr.</w:t>
            </w:r>
          </w:p>
        </w:tc>
        <w:tc>
          <w:tcPr>
            <w:tcW w:w="2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H. H</w:t>
            </w:r>
            <w:r>
              <w:rPr>
                <w:rFonts w:ascii="Times New Roman" w:cs="Times New Roman" w:eastAsia="Times New Roman" w:hAnsi="Times New Roman"/>
                <w:sz w:val="12"/>
                <w:szCs w:val="12"/>
                <w:color w:val="auto"/>
              </w:rPr>
              <w:t>ouse</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Lead Independent Director of the Board</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Arthur H. House</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aura</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ambier</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A. Dambier</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argaret</w:t>
            </w:r>
            <w:r>
              <w:rPr>
                <w:rFonts w:ascii="Times New Roman" w:cs="Times New Roman" w:eastAsia="Times New Roman" w:hAnsi="Times New Roman"/>
                <w:sz w:val="18"/>
                <w:szCs w:val="18"/>
                <w:color w:val="auto"/>
              </w:rPr>
              <w:t xml:space="preserve"> D. K</w:t>
            </w:r>
            <w:r>
              <w:rPr>
                <w:rFonts w:ascii="Times New Roman" w:cs="Times New Roman" w:eastAsia="Times New Roman" w:hAnsi="Times New Roman"/>
                <w:sz w:val="12"/>
                <w:szCs w:val="12"/>
                <w:color w:val="auto"/>
              </w:rPr>
              <w:t>lein</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Margaret D. Klein</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arbara g</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ittlefield</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Barbara G. Littlefield</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R. O</w:t>
            </w:r>
            <w:r>
              <w:rPr>
                <w:rFonts w:ascii="Times New Roman" w:cs="Times New Roman" w:eastAsia="Times New Roman" w:hAnsi="Times New Roman"/>
                <w:sz w:val="12"/>
                <w:szCs w:val="12"/>
                <w:color w:val="auto"/>
              </w:rPr>
              <w:t>liver</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2025</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R. Oliver, Jr.</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380" w:type="dxa"/>
            <w:vAlign w:val="bottom"/>
          </w:tcPr>
          <w:p>
            <w:pPr>
              <w:spacing w:after="0"/>
              <w:rPr>
                <w:sz w:val="24"/>
                <w:szCs w:val="24"/>
                <w:color w:val="auto"/>
              </w:rPr>
            </w:pPr>
          </w:p>
        </w:tc>
        <w:tc>
          <w:tcPr>
            <w:tcW w:w="5640" w:type="dxa"/>
            <w:vAlign w:val="bottom"/>
            <w:gridSpan w:val="2"/>
          </w:tcPr>
          <w:p>
            <w:pPr>
              <w:jc w:val="right"/>
              <w:ind w:right="321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Insider Trading Policy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as of January 22, 2024)</w:t>
      </w:r>
    </w:p>
    <w:p>
      <w:pPr>
        <w:spacing w:after="0" w:line="221" w:lineRule="exact"/>
        <w:rPr>
          <w:sz w:val="20"/>
          <w:szCs w:val="20"/>
          <w:color w:val="auto"/>
        </w:rPr>
      </w:pPr>
    </w:p>
    <w:p>
      <w:pPr>
        <w:ind w:left="540" w:hanging="316"/>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BACKGROUND AND PURPOSE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federal securities laws prohibit any member of the Board of Directors (a “Director”) and any employee of American Superconductor Corporation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insider trading policy is being adopted in light of these legal requirements, and with the goal of helping:</w:t>
      </w:r>
    </w:p>
    <w:p>
      <w:pPr>
        <w:spacing w:after="0" w:line="225" w:lineRule="exact"/>
        <w:rPr>
          <w:sz w:val="20"/>
          <w:szCs w:val="20"/>
          <w:color w:val="auto"/>
        </w:rPr>
      </w:pPr>
    </w:p>
    <w:p>
      <w:pPr>
        <w:ind w:left="1620" w:hanging="316"/>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inadvertent violations of the insider trading laws;</w:t>
      </w:r>
    </w:p>
    <w:p>
      <w:pPr>
        <w:spacing w:after="0" w:line="225" w:lineRule="exact"/>
        <w:rPr>
          <w:rFonts w:ascii="Times New Roman" w:cs="Times New Roman" w:eastAsia="Times New Roman" w:hAnsi="Times New Roman"/>
          <w:sz w:val="18"/>
          <w:szCs w:val="18"/>
          <w:color w:val="auto"/>
        </w:rPr>
      </w:pPr>
    </w:p>
    <w:p>
      <w:pPr>
        <w:ind w:left="1620" w:right="80" w:hanging="316"/>
        <w:spacing w:after="0" w:line="282"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embarrassing proxy disclosure of reporting violations by persons subject to Section 16 of the Securities Exchange Act of 1934 (the “Exchange Act”);</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even the appearance of impropriety on the part of those employed by, or associated with, the Company;</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Company from controlling person liability;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reputation of the Company, its Directors and its employees.</w:t>
      </w:r>
    </w:p>
    <w:p>
      <w:pPr>
        <w:spacing w:after="0" w:line="22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PROHIBITIONS RELATING TO TRANSACTIONS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SECURITIES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ALL DIRECTORS AND EMPLOYEES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2.1</w:t>
        <w:tab/>
        <w:t>Covered Persons. This Section 2 applies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8851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5" w:lineRule="exact"/>
        <w:rPr>
          <w:sz w:val="20"/>
          <w:szCs w:val="20"/>
          <w:color w:val="auto"/>
        </w:rPr>
      </w:pPr>
    </w:p>
    <w:p>
      <w:pPr>
        <w:ind w:left="1620" w:hanging="316"/>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w:t>
      </w:r>
    </w:p>
    <w:p>
      <w:pPr>
        <w:spacing w:after="0" w:line="225" w:lineRule="exact"/>
        <w:rPr>
          <w:rFonts w:ascii="Times New Roman" w:cs="Times New Roman" w:eastAsia="Times New Roman" w:hAnsi="Times New Roman"/>
          <w:sz w:val="18"/>
          <w:szCs w:val="18"/>
          <w:color w:val="auto"/>
        </w:rPr>
      </w:pPr>
    </w:p>
    <w:p>
      <w:pPr>
        <w:ind w:left="1620" w:right="20" w:hanging="316"/>
        <w:spacing w:after="0" w:line="261"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a Pre-Clearance Officer (as defined in Section 3.3(a)) determines should not be covered by this Section 2); and</w:t>
      </w:r>
    </w:p>
    <w:p>
      <w:pPr>
        <w:spacing w:after="0" w:line="179" w:lineRule="exact"/>
        <w:rPr>
          <w:rFonts w:ascii="Times New Roman" w:cs="Times New Roman" w:eastAsia="Times New Roman" w:hAnsi="Times New Roman"/>
          <w:sz w:val="18"/>
          <w:szCs w:val="18"/>
          <w:color w:val="auto"/>
        </w:rPr>
      </w:pPr>
    </w:p>
    <w:p>
      <w:pPr>
        <w:ind w:left="1620" w:right="620" w:hanging="316"/>
        <w:spacing w:after="0" w:line="266"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corporations, partnerships, trusts or other entities owned or controlled by any of the above persons, unless the entity has implemented policies or procedures designed to ensure that such person cannot influence transactions by the entity involving Company securities.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Prohibition on Trading While Aware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34124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3412490" cy="8890"/>
                    </a:xfrm>
                    <a:prstGeom prst="rect">
                      <a:avLst/>
                    </a:prstGeom>
                    <a:noFill/>
                  </pic:spPr>
                </pic:pic>
              </a:graphicData>
            </a:graphic>
          </wp:anchor>
        </w:drawing>
      </w:r>
    </w:p>
    <w:p>
      <w:pPr>
        <w:spacing w:after="0" w:line="205"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Prohibited Activities. Except as provided in Section 4, no person or entity covered by this Section 2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-7620</wp:posOffset>
            </wp:positionV>
            <wp:extent cx="10629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5" w:lineRule="exact"/>
        <w:rPr>
          <w:sz w:val="20"/>
          <w:szCs w:val="20"/>
          <w:color w:val="auto"/>
        </w:rPr>
      </w:pPr>
    </w:p>
    <w:p>
      <w:pPr>
        <w:ind w:left="1620" w:right="260" w:hanging="316"/>
        <w:spacing w:after="0" w:line="282"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or donate any securities of the Company while he or she is aware of any material nonpublic information concerning the Company or recommend to another person that they do so;</w:t>
      </w:r>
    </w:p>
    <w:p>
      <w:pPr>
        <w:spacing w:after="0" w:line="161" w:lineRule="exact"/>
        <w:rPr>
          <w:rFonts w:ascii="Times New Roman" w:cs="Times New Roman" w:eastAsia="Times New Roman" w:hAnsi="Times New Roman"/>
          <w:sz w:val="18"/>
          <w:szCs w:val="18"/>
          <w:color w:val="auto"/>
        </w:rPr>
      </w:pPr>
    </w:p>
    <w:p>
      <w:pPr>
        <w:ind w:left="1620" w:right="880" w:hanging="316"/>
        <w:spacing w:after="0" w:line="282"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any other person any material nonpublic information concerning the Company if such person may misuse that information, such as by purchasing or selling Company securities or tipping that information to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1620" w:right="20" w:hanging="316"/>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or donate any securities of another company in the Company’s industry or the industry of a company that is the subject of a potential strategic transaction with the Company while he or she is aware of any material nonpublic information concerning the Company or such other company that he or she learned in the course of his or her service as a Director or employee of the Company or recommend to another person that they do so;</w:t>
      </w:r>
    </w:p>
    <w:p>
      <w:pPr>
        <w:spacing w:after="0" w:line="179" w:lineRule="exact"/>
        <w:rPr>
          <w:rFonts w:ascii="Times New Roman" w:cs="Times New Roman" w:eastAsia="Times New Roman" w:hAnsi="Times New Roman"/>
          <w:sz w:val="18"/>
          <w:szCs w:val="18"/>
          <w:color w:val="auto"/>
        </w:rPr>
      </w:pPr>
    </w:p>
    <w:p>
      <w:pPr>
        <w:ind w:left="1620" w:hanging="316"/>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pacing w:after="0" w:line="17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any other person any material nonpublic information concerning another company which he or she learned in the course of his or her service as a Director or employee of the Company if such person may misuse that information, such as by purchasing or selling securities of such other company or tipping that information to others.</w:t>
      </w:r>
    </w:p>
    <w:p>
      <w:pPr>
        <w:spacing w:after="0" w:line="176" w:lineRule="exact"/>
        <w:rPr>
          <w:sz w:val="20"/>
          <w:szCs w:val="20"/>
          <w:color w:val="auto"/>
        </w:rPr>
      </w:pPr>
    </w:p>
    <w:p>
      <w:pPr>
        <w:ind w:right="40" w:firstLine="1304"/>
        <w:spacing w:after="0" w:line="266" w:lineRule="auto"/>
        <w:tabs>
          <w:tab w:leader="none" w:pos="16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Policy After Cessation of Service. If a person ceases to be a Director or employee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-313055</wp:posOffset>
            </wp:positionV>
            <wp:extent cx="2329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2329180" cy="8255"/>
                    </a:xfrm>
                    <a:prstGeom prst="rect">
                      <a:avLst/>
                    </a:prstGeom>
                    <a:noFill/>
                  </pic:spPr>
                </pic:pic>
              </a:graphicData>
            </a:graphic>
          </wp:anchor>
        </w:drawing>
      </w:r>
    </w:p>
    <w:p>
      <w:pPr>
        <w:spacing w:after="0" w:line="1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2.3 Prohibition on Pledges. No person or entity covered by this Section 2 may pledge Company securities as collateral for a loan. However, an exception may be granted where a person wishes to pledge Company securities as collateral for a loan and clearly demonstrates the financial capacity to repay the loan without resort to the pledged securities. Any person who wishes to pledge Company securities as collateral for a loan must submit a request for approval to a Pre-Clearance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-448310</wp:posOffset>
            </wp:positionV>
            <wp:extent cx="11836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2.4 Prohibition on Hedging Transactions. No person or entity covered by this Section 2 may purchase financial instruments such as prepaid variable forward contracts, equity swaps, collars, and exchange funds, or otherwise engage in transactions that hedge or offset, or are designed to hedge or offset, any decrease in the market value of the Company’s equity securities, whether such securities were granted as compensation or are otherwise held,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-448310</wp:posOffset>
            </wp:positionV>
            <wp:extent cx="18014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1801495" cy="8890"/>
                    </a:xfrm>
                    <a:prstGeom prst="rect">
                      <a:avLst/>
                    </a:prstGeom>
                    <a:noFill/>
                  </pic:spPr>
                </pic:pic>
              </a:graphicData>
            </a:graphic>
          </wp:anchor>
        </w:drawing>
      </w:r>
    </w:p>
    <w:p>
      <w:pPr>
        <w:spacing w:after="0" w:line="16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2.5 Prohibition on Short Sales. No person or entity covered by this Section 2 may engage in any short sales of Company securities, including short sales “against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-185420</wp:posOffset>
            </wp:positionV>
            <wp:extent cx="13169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38" w:lineRule="exact"/>
        <w:rPr>
          <w:sz w:val="20"/>
          <w:szCs w:val="20"/>
          <w:color w:val="auto"/>
        </w:rPr>
      </w:pPr>
    </w:p>
    <w:p>
      <w:pPr>
        <w:ind w:left="380" w:hanging="318"/>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PROHIBITIONS APPLICABLE TO DIRECTORS, EXECUTIVE OFFICERS AND DESIGNATED EMPLOYEES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Covered Persons. This Section 3 applies to:</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employees as are designated from time to time by the Board of Directors, the Chief Executive Officer, the Chief Financial Officer or the General Counsel as being subject to this Section 3 (“the Designated Employees”);</w:t>
      </w:r>
    </w:p>
    <w:p>
      <w:pPr>
        <w:spacing w:after="0" w:line="161" w:lineRule="exact"/>
        <w:rPr>
          <w:rFonts w:ascii="Times New Roman" w:cs="Times New Roman" w:eastAsia="Times New Roman" w:hAnsi="Times New Roman"/>
          <w:sz w:val="18"/>
          <w:szCs w:val="18"/>
          <w:color w:val="auto"/>
        </w:rPr>
      </w:pPr>
    </w:p>
    <w:p>
      <w:pPr>
        <w:ind w:left="1620" w:right="360" w:hanging="316"/>
        <w:spacing w:after="0" w:line="258"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a Pre-Clearance Officer determines should not be covered by this Section 3); and</w:t>
      </w:r>
    </w:p>
    <w:p>
      <w:pPr>
        <w:spacing w:after="0" w:line="183" w:lineRule="exact"/>
        <w:rPr>
          <w:rFonts w:ascii="Times New Roman" w:cs="Times New Roman" w:eastAsia="Times New Roman" w:hAnsi="Times New Roman"/>
          <w:sz w:val="18"/>
          <w:szCs w:val="18"/>
          <w:color w:val="auto"/>
        </w:rPr>
      </w:pPr>
    </w:p>
    <w:p>
      <w:pPr>
        <w:ind w:left="1620" w:right="60" w:hanging="316"/>
        <w:spacing w:after="0" w:line="282"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-2242820</wp:posOffset>
            </wp:positionV>
            <wp:extent cx="8851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 xml:space="preserve">For purposes of this Policy, any person or entity covered by this Section 3.1 is referred to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Person.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Corporate Blackout Periods. Except as provided in Section 4, no Blackout Person may purchase, sell or donate any securities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13836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during the following time periods (each, a “corporate blackout period”):</w:t>
      </w:r>
    </w:p>
    <w:p>
      <w:pPr>
        <w:spacing w:after="0" w:line="207" w:lineRule="exact"/>
        <w:rPr>
          <w:sz w:val="20"/>
          <w:szCs w:val="20"/>
          <w:color w:val="auto"/>
        </w:rPr>
      </w:pPr>
    </w:p>
    <w:p>
      <w:pPr>
        <w:ind w:left="1620" w:right="220" w:hanging="316"/>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two weeks prior to the end of each fiscal quarter and ending upon the completion of the second full trading day after the public announcement of earnings for such quarter; and</w:t>
      </w:r>
    </w:p>
    <w:p>
      <w:pPr>
        <w:spacing w:after="0" w:line="161" w:lineRule="exact"/>
        <w:rPr>
          <w:rFonts w:ascii="Times New Roman" w:cs="Times New Roman" w:eastAsia="Times New Roman" w:hAnsi="Times New Roman"/>
          <w:sz w:val="18"/>
          <w:szCs w:val="18"/>
          <w:color w:val="auto"/>
        </w:rPr>
      </w:pPr>
    </w:p>
    <w:p>
      <w:pPr>
        <w:ind w:left="1620" w:right="20" w:hanging="316"/>
        <w:spacing w:after="0" w:line="258"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other periods as may be established from time to time by the Board, the Chief Executive Officer, the Chief Financial Officer or the General Counsel, by notice to the affected persons and entities, in light of particular events or developments affecting or involving the Company; provided that such a corporate blackout period shall cover only those persons or entities as are designated in such notice as being subject to such corporate blackout period. In addition, no Blackout Person shall inform any person or entity not covered by such corporate blackout period that a corporate blackout period has been imposed.</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Notice and Pre-Clearance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20199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2019935" cy="8255"/>
                    </a:xfrm>
                    <a:prstGeom prst="rect">
                      <a:avLst/>
                    </a:prstGeom>
                    <a:noFill/>
                  </pic:spPr>
                </pic:pic>
              </a:graphicData>
            </a:graphic>
          </wp:anchor>
        </w:drawing>
      </w:r>
    </w:p>
    <w:p>
      <w:pPr>
        <w:spacing w:after="0" w:line="205" w:lineRule="exact"/>
        <w:rPr>
          <w:sz w:val="20"/>
          <w:szCs w:val="20"/>
          <w:color w:val="auto"/>
        </w:rPr>
      </w:pPr>
    </w:p>
    <w:p>
      <w:pPr>
        <w:ind w:firstLine="1304"/>
        <w:spacing w:after="0" w:line="252" w:lineRule="auto"/>
        <w:tabs>
          <w:tab w:leader="none" w:pos="16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Pre-Transaction Clearance. No Blackout Person may purchase, sell or otherwise acquire or dispose of securities of the Company, other than in a transaction permitted under Section 4, unless such person pre-clears the transaction with either the Chief Financial Officer or the General Counsel (each, a “Pre-Clearance Officer”). Notwithstanding the foregoing, (i) the Lead Director of the Board of Directors shall be deemed a “Pre-Clearance Officer” for purposes of this Section 3.3 solely to clear transactions by the Chief Executive Officer or persons or entities subject to this policy as a result of their relationship with the Chief Executive Officer; and (ii) the Chief Executive Officer shall be deemed a “Pre-Clearance Officer” for purposes of this Section 3.3 solely to clear transactions by the Chief Financial Officer or persons or entities subject to this policy as a result of their relationship with the Chief Financial Officer. A request for pre-clearance shall be made in accordance with any procedures that may be established by a Pre-Clearance Officer. The Pre-Clearance Officers shall have sole discretion to decide whether to clear any contemplated transaction. The Lead Director of the Board of Directors shall have sole discretion to decide whether to clear transactions by the Chief Executive Officer or persons or entities subject to this policy as a result of their relationship with the Chief Executive Officer, the Chief Executive Officer shall have sole discretion to decide whether to clear transactions by the Chief Financial Officer or persons or entities subject to this policy as a result of their relationship with the Chief Financial Officer, and the 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a Pre-Clearance Officer. A pre-cleared trade (or any portion of a pre-cleared trade) that has not been effected during the five business day period must be pre-cleared again prior to execution. Notwithstanding receipt of pre-clearance, if person or entity seeking pre-clearance becomes aware of material non-public information or becomes subject to a corporate blackout period before the transaction is effected, the transaction may not be completed.</w:t>
      </w:r>
    </w:p>
    <w:p>
      <w:pPr>
        <w:spacing w:after="0" w:line="193" w:lineRule="exact"/>
        <w:rPr>
          <w:rFonts w:ascii="Times New Roman" w:cs="Times New Roman" w:eastAsia="Times New Roman" w:hAnsi="Times New Roman"/>
          <w:sz w:val="18"/>
          <w:szCs w:val="18"/>
          <w:color w:val="auto"/>
        </w:rPr>
      </w:pPr>
    </w:p>
    <w:p>
      <w:pPr>
        <w:ind w:right="40" w:firstLine="1304"/>
        <w:spacing w:after="0" w:line="254" w:lineRule="auto"/>
        <w:tabs>
          <w:tab w:leader="none" w:pos="168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Post-Transaction Notice. Each Blackout Person who is subject to reporting obligations under Section 16 of the Exchange Act shall also notify the Pre-Clearance Officer (or his or her designee) of the occurrence of any purchase, sale or other acquisition or disposition of securities of the Company as soon as possible following the transaction, but in any event within one business day after the transaction. This notification, which may be oral, in writing or via e-mail, should describe the type of transaction that occurred (an open market purchase, a privately negotiated sale, an option exercise, etc.), the date of the transaction, the number of shares covered by the transaction, the purchase or sale price (if applicable), and whether the transaction was effected by the Director or executive officer or by a related person or entity. For purposes of this Section 3.3(b), a purchase, sale or other acquisition or disposition shall be deemed to occur at the time the person or entity becomes irrevocably committed to it; in the case of an open market purchase or sale, this occurs when the trade is executed (not when it settles).</w:t>
      </w:r>
    </w:p>
    <w:p>
      <w:pPr>
        <w:spacing w:after="0" w:line="187"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-3708400</wp:posOffset>
            </wp:positionV>
            <wp:extent cx="13252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132524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-1239520</wp:posOffset>
            </wp:positionV>
            <wp:extent cx="12172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prohibitions in Section 2.2(a) and Section 3.2, and the pre-clearance requirement in Section 3.3(a), with respect to purchases, sales and other transactions involving Company securities do not apply to:</w:t>
      </w:r>
    </w:p>
    <w:p>
      <w:pPr>
        <w:spacing w:after="0" w:line="162" w:lineRule="exact"/>
        <w:rPr>
          <w:sz w:val="20"/>
          <w:szCs w:val="20"/>
          <w:color w:val="auto"/>
        </w:rPr>
      </w:pPr>
    </w:p>
    <w:p>
      <w:pPr>
        <w:ind w:left="1620" w:right="40" w:hanging="316"/>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purchases made under an employee stock purchase plan operated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securities so acquired may not be sold while the employee is in possession of material, non-public information about the Company or, in the case of a Blackout Person, during a corporate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ind w:left="500" w:right="200" w:hanging="316"/>
        <w:spacing w:after="0" w:line="258"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securities so acquired may not be sold (either outright or in connection with a “cashless” exercise transaction) while the Director, employee or related person or entity is aware of material nonpublic information or, in the case of a Blackout Person, during a corporate blackout period;</w:t>
      </w:r>
    </w:p>
    <w:p>
      <w:pPr>
        <w:spacing w:after="0" w:line="183" w:lineRule="exact"/>
        <w:rPr>
          <w:rFonts w:ascii="Times New Roman" w:cs="Times New Roman" w:eastAsia="Times New Roman" w:hAnsi="Times New Roman"/>
          <w:sz w:val="18"/>
          <w:szCs w:val="18"/>
          <w:color w:val="auto"/>
        </w:rPr>
      </w:pPr>
    </w:p>
    <w:p>
      <w:pPr>
        <w:ind w:left="500" w:right="100" w:hanging="316"/>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of Company common stock under the Company’s 401(k) or other individual account plan which are made pursuant to standing instructions not entered into or modified while the Director, employee or related person or entity is aware of material nonpublic information or, in the case of a Blackout Person, during a corporate blackout period;</w:t>
      </w:r>
    </w:p>
    <w:p>
      <w:pPr>
        <w:spacing w:after="0" w:line="17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purchases of securities from the Company or sales, pledges or gifts of securities to the Company;</w:t>
      </w:r>
    </w:p>
    <w:p>
      <w:pPr>
        <w:spacing w:after="0" w:line="225" w:lineRule="exact"/>
        <w:rPr>
          <w:rFonts w:ascii="Times New Roman" w:cs="Times New Roman" w:eastAsia="Times New Roman" w:hAnsi="Times New Roman"/>
          <w:sz w:val="18"/>
          <w:szCs w:val="18"/>
          <w:color w:val="auto"/>
        </w:rPr>
      </w:pPr>
    </w:p>
    <w:p>
      <w:pPr>
        <w:ind w:left="500" w:right="80" w:hanging="316"/>
        <w:spacing w:after="0" w:line="258"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 “non-Rule 10b5-1 trading arrangement” as defined in Item 408 of Regulation S-K that (i) was not adopted while the Director, employee or related person or entity was aware of material nonpublic information or, in the case of a Blackout Person, during a corporate blackout period, (ii) has been pre-approved by a Pre-Clearance Officer prior to its adoption and (iii) has not been modified after such initial pre-clearance without such amendment or modification being pre-approved in advance by a Pre-Clearance Officer; and</w:t>
      </w:r>
    </w:p>
    <w:p>
      <w:pPr>
        <w:spacing w:after="0" w:line="183" w:lineRule="exact"/>
        <w:rPr>
          <w:rFonts w:ascii="Times New Roman" w:cs="Times New Roman" w:eastAsia="Times New Roman" w:hAnsi="Times New Roman"/>
          <w:sz w:val="18"/>
          <w:szCs w:val="18"/>
          <w:color w:val="auto"/>
        </w:rPr>
      </w:pPr>
    </w:p>
    <w:p>
      <w:pPr>
        <w:ind w:left="500" w:right="20" w:hanging="316"/>
        <w:spacing w:after="0" w:line="258"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purchases or sales of the Company’s securities made pursuant to a binding contract, written plan or specific instruction that meets the requirements of, and is adopted and operated in compliance with, Rule 10b5-1 (a “trading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trading plan: (1) is in writing; (2) was submitted to a Pre-Clearance Officer for review and approval prior to its adoption; and (3) was not adopted while the Director, employee or related person or entity was aware of material nonpublic information or, in the case of a Blackout Person, during a corporate blackout period. Trading plans shall be subject to the following requirements:</w:t>
      </w:r>
    </w:p>
    <w:p>
      <w:pPr>
        <w:spacing w:after="0" w:line="183" w:lineRule="exact"/>
        <w:rPr>
          <w:rFonts w:ascii="Times New Roman" w:cs="Times New Roman" w:eastAsia="Times New Roman" w:hAnsi="Times New Roman"/>
          <w:sz w:val="18"/>
          <w:szCs w:val="18"/>
          <w:color w:val="auto"/>
        </w:rPr>
      </w:pPr>
    </w:p>
    <w:p>
      <w:pPr>
        <w:ind w:left="1120" w:right="20" w:hanging="315"/>
        <w:spacing w:after="0" w:line="266"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must (a)(1) specify the amounts, prices, and dates of all transactions under the trading plan; or (2) provide a written formula, algorithm, or computer program for determining the amount, price, and date of the transactions, and (b) prohibit the individual from exercising any subsequent influence over the transactions.</w:t>
      </w:r>
    </w:p>
    <w:p>
      <w:pPr>
        <w:spacing w:after="0" w:line="175" w:lineRule="exact"/>
        <w:rPr>
          <w:rFonts w:ascii="Times New Roman" w:cs="Times New Roman" w:eastAsia="Times New Roman" w:hAnsi="Times New Roman"/>
          <w:sz w:val="18"/>
          <w:szCs w:val="18"/>
          <w:color w:val="auto"/>
        </w:rPr>
      </w:pPr>
    </w:p>
    <w:p>
      <w:pPr>
        <w:jc w:val="both"/>
        <w:ind w:left="1120" w:right="220" w:hanging="315"/>
        <w:spacing w:after="0" w:line="266"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reporting persons, the trading plan must include a representation that the Section 16 reporting person is (1) not aware of any material nonpublic information about the Company or its securities; and (2) adopting the trading plan in good faith and not as part of a plan or scheme to evade Rule 10b-5.</w:t>
      </w:r>
    </w:p>
    <w:p>
      <w:pPr>
        <w:spacing w:after="0" w:line="175" w:lineRule="exact"/>
        <w:rPr>
          <w:rFonts w:ascii="Times New Roman" w:cs="Times New Roman" w:eastAsia="Times New Roman" w:hAnsi="Times New Roman"/>
          <w:sz w:val="18"/>
          <w:szCs w:val="18"/>
          <w:color w:val="auto"/>
        </w:rPr>
      </w:pPr>
    </w:p>
    <w:p>
      <w:pPr>
        <w:ind w:left="1120" w:hanging="315"/>
        <w:spacing w:after="0" w:line="282"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requires a minimum cooling-off period (“cooling-off period”) between the establishment of a trading plan and commencement of any transactions under such plan:</w:t>
      </w:r>
    </w:p>
    <w:p>
      <w:pPr>
        <w:spacing w:after="0" w:line="161" w:lineRule="exact"/>
        <w:rPr>
          <w:rFonts w:ascii="Times New Roman" w:cs="Times New Roman" w:eastAsia="Times New Roman" w:hAnsi="Times New Roman"/>
          <w:sz w:val="18"/>
          <w:szCs w:val="18"/>
          <w:color w:val="auto"/>
        </w:rPr>
      </w:pPr>
    </w:p>
    <w:p>
      <w:pPr>
        <w:ind w:left="1120" w:right="40" w:hanging="315"/>
        <w:spacing w:after="0" w:line="266"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reporting persons, of the later of 90 days after adoption or modification of a trading plan or two business days after filing the Form 10-K or Form 10-Q covering the fiscal quarter in which the trading plan was adopted or modified, as applicable, up to a maximum of 120 days; and</w:t>
      </w:r>
    </w:p>
    <w:p>
      <w:pPr>
        <w:spacing w:after="0" w:line="175" w:lineRule="exact"/>
        <w:rPr>
          <w:rFonts w:ascii="Times New Roman" w:cs="Times New Roman" w:eastAsia="Times New Roman" w:hAnsi="Times New Roman"/>
          <w:sz w:val="18"/>
          <w:szCs w:val="18"/>
          <w:color w:val="auto"/>
        </w:rPr>
      </w:pPr>
    </w:p>
    <w:p>
      <w:pPr>
        <w:ind w:left="1120" w:right="280" w:hanging="315"/>
        <w:spacing w:after="0" w:line="282"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who are not Section 16 reporting persons and any other persons, other than the Company, of 30 days after adoption or modification of a trading plan.</w:t>
      </w:r>
    </w:p>
    <w:p>
      <w:pPr>
        <w:spacing w:after="0" w:line="161" w:lineRule="exact"/>
        <w:rPr>
          <w:rFonts w:ascii="Times New Roman" w:cs="Times New Roman" w:eastAsia="Times New Roman" w:hAnsi="Times New Roman"/>
          <w:sz w:val="18"/>
          <w:szCs w:val="18"/>
          <w:color w:val="auto"/>
        </w:rPr>
      </w:pPr>
    </w:p>
    <w:p>
      <w:pPr>
        <w:ind w:left="1120" w:right="260" w:hanging="315"/>
        <w:spacing w:after="0" w:line="282"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may not adopt more than one trading plan at a time except under the limited circumstances permitted by Rule 10b5-1 and subject to pre-approval by a Pre-Clearance Officer.</w:t>
      </w:r>
    </w:p>
    <w:p>
      <w:pPr>
        <w:spacing w:after="0" w:line="161" w:lineRule="exact"/>
        <w:rPr>
          <w:rFonts w:ascii="Times New Roman" w:cs="Times New Roman" w:eastAsia="Times New Roman" w:hAnsi="Times New Roman"/>
          <w:sz w:val="18"/>
          <w:szCs w:val="18"/>
          <w:color w:val="auto"/>
        </w:rPr>
      </w:pPr>
    </w:p>
    <w:p>
      <w:pPr>
        <w:ind w:left="1120" w:right="40" w:hanging="315"/>
        <w:spacing w:after="0" w:line="255" w:lineRule="auto"/>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acting in good faith may modify a prior trading plan so long as such modifications are made at a time when the trading plan participant does not possess material, non-public information and, in the case of a Blackout Person, outside of a corporate blackout period. Modifications to, or revocations of, a trading plan are subject to pre-approval by a Pre-Clearance Officer and modifications of a trading plan that change the amount, price, or timing of the purchase or sale of the securities underlying a trading plan will trigger a new cooling-off period.The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98" w:name="page99"/>
    <w:bookmarkEnd w:id="98"/>
    <w:p>
      <w:pPr>
        <w:ind w:left="660" w:hanging="315"/>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REGULATION BTR</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Covered Persons. This Section 5 applies to:</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w:t>
      </w:r>
    </w:p>
    <w:p>
      <w:pPr>
        <w:spacing w:after="0" w:line="225" w:lineRule="exact"/>
        <w:rPr>
          <w:rFonts w:ascii="Times New Roman" w:cs="Times New Roman" w:eastAsia="Times New Roman" w:hAnsi="Times New Roman"/>
          <w:sz w:val="18"/>
          <w:szCs w:val="18"/>
          <w:color w:val="auto"/>
        </w:rPr>
      </w:pPr>
    </w:p>
    <w:p>
      <w:pPr>
        <w:ind w:left="1620" w:right="140" w:hanging="316"/>
        <w:spacing w:after="0" w:line="261"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family members of Directors and executive officers who share the same address as, or are financially dependent on, the Director or executive officer and any other person who shares the same address as the Director or executive officer (other than (x) an employee or tenant of the Director or executive officer or (y) another unrelated person whom a Pre-Clearance Officer determines should not be covered by this Section 5); and</w:t>
      </w:r>
    </w:p>
    <w:p>
      <w:pPr>
        <w:spacing w:after="0" w:line="179" w:lineRule="exact"/>
        <w:rPr>
          <w:rFonts w:ascii="Times New Roman" w:cs="Times New Roman" w:eastAsia="Times New Roman" w:hAnsi="Times New Roman"/>
          <w:sz w:val="18"/>
          <w:szCs w:val="18"/>
          <w:color w:val="auto"/>
        </w:rPr>
      </w:pPr>
    </w:p>
    <w:p>
      <w:pPr>
        <w:ind w:left="1620" w:right="60" w:hanging="316"/>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-1694180</wp:posOffset>
            </wp:positionV>
            <wp:extent cx="8851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4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5.2 Prohibited Transactions. No person or entity covered by this Section 5 may purchase, sell or otherwise acquire or transfer, during a pension fund blackout period (as defined in Regulation BTR promulgated by the SEC) any equity security of the Company if such person or entity acquired such equity security in connection with his or her service or employment (or the service or employment of the related Director or executive officer) as a director or officer of the Company. The pension fund blackout period is separate from and in addition to the trading restrictions imposed by the corporate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-582930</wp:posOffset>
            </wp:positionV>
            <wp:extent cx="11982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spacing w:after="0" w:line="16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5.3 Exceptions. The prohibitions on purchases, sales, acquisitions and transfers of Company equity securities during pension fund blackout periods do not apply to any transactions exempted from such prohibition by Regulation BTR.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-185420</wp:posOffset>
            </wp:positionV>
            <wp:extent cx="6216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138" w:lineRule="exact"/>
        <w:rPr>
          <w:sz w:val="20"/>
          <w:szCs w:val="20"/>
          <w:color w:val="auto"/>
        </w:rPr>
      </w:pPr>
    </w:p>
    <w:p>
      <w:pPr>
        <w:ind w:left="560" w:hanging="323"/>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PENALTIES FOR VIOLATION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Violation of any of the foregoing policies is grounds for disciplinary action by the Company, including employment termination.</w:t>
      </w:r>
    </w:p>
    <w:p>
      <w:pPr>
        <w:spacing w:after="0" w:line="221" w:lineRule="exact"/>
        <w:rPr>
          <w:sz w:val="20"/>
          <w:szCs w:val="20"/>
          <w:color w:val="auto"/>
        </w:rPr>
      </w:pPr>
    </w:p>
    <w:p>
      <w:pPr>
        <w:ind w:left="480" w:hanging="324"/>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ASSISTANCE AND EDUCATION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7.1 Education. The Company shall take reasonable steps designed to ensure that all Directors, executive officers and employees of the Company are educated about, and periodically reminded of, the federal securities law restrictions and Company policies regarding insider trading. Each fiscal year, Blackout Persons shall be required to certify their understanding of, and intent to comply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-313055</wp:posOffset>
            </wp:positionV>
            <wp:extent cx="5772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15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7.2 Assistance.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-313055</wp:posOffset>
            </wp:positionV>
            <wp:extent cx="5969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7.3 Limitation on Liability. None of the Company, a Pre-Clearance Officer or the Company’s other employees will have any liability for any delay in reviewing, or refusal of, a request to allow a pledge submitted pursuant to Section 2.3, a request for pre-clearance submitted pursuant to Section 3.3(a) or a trading plan or non-Rule 10b5-1 trading arrangement submitted pursuant to Section 4. Notwithstanding any pre-clearance of a transaction pursuant to Section 3.3(a) or review of a trading plan or non-Rule 10b5-1 trading arrangement pursuant to Section 4, none of the Company, a Pre-Clearance Officer or the Company’s other employees assumes any liability for the legality or consequences of such transaction or trading plan to the person engaging in or adopting such transaction, trading plan or non-Rule 10b5-1 trading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-717550</wp:posOffset>
            </wp:positionV>
            <wp:extent cx="1161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Australia Pty Ltd (*) – incorporated in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Husky LLC (*) - formed in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India Private Limited (*) – incorporated in 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Austria GmbH (*) – incorporated in 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United Kingdom Limited (*) – incorporated in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Securities Corp. (*) – incorporated in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Infinia Technology Corporation (*) - incorporated in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Korea Co., Ltd. (*) – incorporated in South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Romania S.R.L. (*) – incorporated in Romania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Neeltran, Inc. (*) - incorporated in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Power Realty, LLC (*) – formed in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Power Systems, Inc. (*) – incorporated in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Megatran Industries Inc. (*) – incorporated 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NWL Inc. (wholly-owned subsidiary of Megatran Industries Inc.) – incorporated 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Hunter Industries Inc. (wholly-owned subsidiary of Megatran Industries Inc.) – incorporated 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NWL Europe Sp. z o.o. (wholly-owned subsidiary of Megatran Industries Inc.) – incorporated in 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NWL Pacific, inc. – incorporated in South Korea (50% minority interest owned by Megatran Industries Inc)</w:t>
      </w:r>
    </w:p>
    <w:p>
      <w:pPr>
        <w:spacing w:after="0" w:line="220"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owned subsidiary of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S-3 (No. 333-276766 and 333- 281496) and on Form S-8 (No.333-145685, 333-170286, 333-183075, 333-197971, 333-213850, 333-233531, 333-266727, 333-266728 and 333-281826) of American Superconductor Corporation of our reports dated May 21, 2025, relating to the consolidated financial statements, and the effectiveness of internal control over financial reporting of American Superconductor Corporation and its subsidiaries, appearing in this Annual Report on Form 10-K of American Superconductor Corporation for the year ended March 31,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2025</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McGahn, certify that:</w:t>
      </w:r>
    </w:p>
    <w:p>
      <w:pPr>
        <w:spacing w:after="0" w:line="207"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660" w:val="left"/>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w:t>
        <w:tab/>
        <w:t>May 21,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Kosiba, Jr., certify that:</w:t>
      </w:r>
    </w:p>
    <w:p>
      <w:pPr>
        <w:spacing w:after="0" w:line="207"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660" w:val="left"/>
          <w:tab w:leader="none" w:pos="6740" w:val="left"/>
          <w:tab w:leader="none" w:pos="8340" w:val="left"/>
        </w:tabs>
        <w:rPr>
          <w:sz w:val="20"/>
          <w:szCs w:val="20"/>
          <w:color w:val="auto"/>
        </w:rPr>
      </w:pPr>
      <w:r>
        <w:rPr>
          <w:rFonts w:ascii="Times New Roman" w:cs="Times New Roman" w:eastAsia="Times New Roman" w:hAnsi="Times New Roman"/>
          <w:sz w:val="18"/>
          <w:szCs w:val="18"/>
          <w:color w:val="auto"/>
        </w:rPr>
        <w:t>Date:</w:t>
        <w:tab/>
        <w:t>May 21,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Superconductor Corporation (the “Company”) for the period ended March 31, 2025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85"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900" w:val="left"/>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21,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Superconductor Corporation (the “Company”) for the period ended March 31, 2025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21,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lowerRoman"/>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o"/>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3"/>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decimal"/>
      <w:start w:val="3"/>
    </w:lvl>
  </w:abstractNum>
  <w:abstractNum w:abstractNumId="36">
    <w:nsid w:val="38437FDB"/>
    <w:multiLevelType w:val="hybridMultilevel"/>
    <w:lvl w:ilvl="0">
      <w:lvlJc w:val="left"/>
      <w:lvlText w:val="%1"/>
      <w:numFmt w:val="decimal"/>
      <w:start w:val="104"/>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lvl w:ilvl="1">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lowerLetter"/>
      <w:start w:val="2"/>
    </w:lvl>
  </w:abstractNum>
  <w:abstractNum w:abstractNumId="44">
    <w:nsid w:val="79A1DEAA"/>
    <w:multiLevelType w:val="hybridMultilevel"/>
    <w:lvl w:ilvl="0">
      <w:lvlJc w:val="left"/>
      <w:lvlText w:val="%1."/>
      <w:numFmt w:val="decimal"/>
      <w:start w:val="3"/>
    </w:lvl>
    <w:lvl w:ilvl="1">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lvl w:ilvl="1">
      <w:lvlJc w:val="left"/>
      <w:lvlText w:val="(%2)"/>
      <w:numFmt w:val="lowerLetter"/>
      <w:start w:val="1"/>
    </w:lvl>
  </w:abstractNum>
  <w:abstractNum w:abstractNumId="47">
    <w:nsid w:val="70C6A529"/>
    <w:multiLevelType w:val="hybridMultilevel"/>
    <w:lvl w:ilvl="0">
      <w:lvlJc w:val="left"/>
      <w:lvlText w:val="%1."/>
      <w:numFmt w:val="decimal"/>
      <w:start w:val="4"/>
    </w:lvl>
    <w:lvl w:ilvl="1">
      <w:lvlJc w:val="left"/>
      <w:lvlText w:val="%2"/>
      <w:numFmt w:val="lowerLetter"/>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lvl w:ilvl="1">
      <w:lvlJc w:val="left"/>
      <w:lvlText w:val="●"/>
      <w:numFmt w:val="bullet"/>
      <w:start w:val="1"/>
    </w:lvl>
  </w:abstractNum>
  <w:abstractNum w:abstractNumId="50">
    <w:nsid w:val="4F4EF005"/>
    <w:multiLevelType w:val="hybridMultilevel"/>
    <w:lvl w:ilvl="0">
      <w:lvlJc w:val="left"/>
      <w:lvlText w:val="%1."/>
      <w:numFmt w:val="decimal"/>
      <w:start w:val="5"/>
    </w:lvl>
    <w:lvl w:ilvl="1">
      <w:lvlJc w:val="left"/>
      <w:lvlText w:val="●"/>
      <w:numFmt w:val="bullet"/>
      <w:start w:val="1"/>
    </w:lvl>
  </w:abstractNum>
  <w:abstractNum w:abstractNumId="51">
    <w:nsid w:val="23F9C13C"/>
    <w:multiLevelType w:val="hybridMultilevel"/>
    <w:lvl w:ilvl="0">
      <w:lvlJc w:val="left"/>
      <w:lvlText w:val="%1."/>
      <w:numFmt w:val="decimal"/>
      <w:start w:val="6"/>
    </w:lvl>
  </w:abstractNum>
  <w:abstractNum w:abstractNumId="52">
    <w:nsid w:val="649BB77C"/>
    <w:multiLevelType w:val="hybridMultilevel"/>
    <w:lvl w:ilvl="0">
      <w:lvlJc w:val="left"/>
      <w:lvlText w:val="%1."/>
      <w:numFmt w:val="decimal"/>
      <w:start w:val="7"/>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26" Type="http://schemas.openxmlformats.org/officeDocument/2006/relationships/hyperlink" Target="http://www.sec.gov/Archives/edgar/data/880807/000119312513366603/d596366dex31.htm" TargetMode="External"/><Relationship Id="rId127" Type="http://schemas.openxmlformats.org/officeDocument/2006/relationships/hyperlink" Target="http://www.sec.gov/Archives/edgar/data/880807/000119312515103436/d896586dex31.htm" TargetMode="External"/><Relationship Id="rId128" Type="http://schemas.openxmlformats.org/officeDocument/2006/relationships/hyperlink" Target="http://www.sec.gov/Archives/edgar/data/880807/000143774925002901/ex_772973.htm" TargetMode="External"/><Relationship Id="rId129" Type="http://schemas.openxmlformats.org/officeDocument/2006/relationships/hyperlink" Target="http://www.sec.gov/Archives/edgar/data/880807/000119312518032227/d536779dex41.htm" TargetMode="External"/><Relationship Id="rId130" Type="http://schemas.openxmlformats.org/officeDocument/2006/relationships/hyperlink" Target="http://www.sec.gov/Archives/edgar/data/880807/000143774919011477/ex_146280.htm" TargetMode="External"/><Relationship Id="rId131" Type="http://schemas.openxmlformats.org/officeDocument/2006/relationships/hyperlink" Target="http://www.sec.gov/Archives/edgar/data/880807/000119312524193965/d864096dex102.htm" TargetMode="External"/><Relationship Id="rId132" Type="http://schemas.openxmlformats.org/officeDocument/2006/relationships/hyperlink" Target="http://www.sec.gov/Archives/edgar/data/880807/000119312507173829/dex107.htm" TargetMode="External"/><Relationship Id="rId133" Type="http://schemas.openxmlformats.org/officeDocument/2006/relationships/hyperlink" Target="http://www.sec.gov/Archives/edgar/data/880807/000119312524193965/d864096dex101.htm" TargetMode="External"/><Relationship Id="rId134" Type="http://schemas.openxmlformats.org/officeDocument/2006/relationships/hyperlink" Target="http://www.sec.gov/Archives/edgar/data/880807/000119312522213651/d381722dex102.htm" TargetMode="External"/><Relationship Id="rId135" Type="http://schemas.openxmlformats.org/officeDocument/2006/relationships/hyperlink" Target="http://www.sec.gov/Archives/edgar/data/880807/000119312522213651/d381722dex103.htm" TargetMode="External"/><Relationship Id="rId136" Type="http://schemas.openxmlformats.org/officeDocument/2006/relationships/hyperlink" Target="http://www.sec.gov/Archives/edgar/data/880807/000119312522213651/d381722dex104.htm" TargetMode="External"/><Relationship Id="rId137" Type="http://schemas.openxmlformats.org/officeDocument/2006/relationships/hyperlink" Target="http://www.sec.gov/Archives/edgar/data/880807/000162828018007711/exh1011nondisclosure.htm" TargetMode="External"/><Relationship Id="rId138" Type="http://schemas.openxmlformats.org/officeDocument/2006/relationships/hyperlink" Target="http://www.sec.gov/Archives/edgar/data/880807/000095012311053517/b86731exv10w2.htm" TargetMode="External"/><Relationship Id="rId139" Type="http://schemas.openxmlformats.org/officeDocument/2006/relationships/hyperlink" Target="http://www.sec.gov/Archives/edgar/data/880807/000119312517109748/d369870dex101.htm" TargetMode="External"/><Relationship Id="rId140" Type="http://schemas.openxmlformats.org/officeDocument/2006/relationships/hyperlink" Target="http://www.sec.gov/Archives/edgar/data/880807/000162828017011077/firstamendmenttoexecutives.htm" TargetMode="External"/><Relationship Id="rId141" Type="http://schemas.openxmlformats.org/officeDocument/2006/relationships/hyperlink" Target="http://www.sec.gov/Archives/edgar/data/880807/000143774924018599/ex_680072.htm" TargetMode="External"/><Relationship Id="rId142" Type="http://schemas.openxmlformats.org/officeDocument/2006/relationships/hyperlink" Target="http://www.sec.gov/Archives/edgar/data/880807/000143774924018602/ex_6369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2025-05-21T15:27:42Z</dcterms:created>
  <dcterms:modified xsi:type="dcterms:W3CDTF">2025-05-21T15:27:42Z</dcterms:modified>
</cp:coreProperties>
</file>