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29845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2" w:lineRule="exact"/>
        <w:rPr>
          <w:sz w:val="24"/>
          <w:szCs w:val="24"/>
          <w:color w:val="auto"/>
        </w:rPr>
      </w:pPr>
    </w:p>
    <w:p>
      <w:pPr>
        <w:ind w:left="820" w:right="360" w:hanging="812"/>
        <w:spacing w:after="0" w:line="256" w:lineRule="auto"/>
        <w:tabs>
          <w:tab w:leader="none" w:pos="8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March 31, 2022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20" w:right="260" w:hanging="812"/>
        <w:spacing w:after="0" w:line="256" w:lineRule="auto"/>
        <w:tabs>
          <w:tab w:leader="none" w:pos="8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p>
      <w:pPr>
        <w:spacing w:after="0" w:line="219"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04-2959321</w:t>
      </w:r>
    </w:p>
    <w:p>
      <w:pPr>
        <w:spacing w:after="0" w:line="50" w:lineRule="exact"/>
        <w:rPr>
          <w:sz w:val="24"/>
          <w:szCs w:val="24"/>
          <w:color w:val="auto"/>
        </w:rPr>
      </w:pPr>
    </w:p>
    <w:p>
      <w:pPr>
        <w:sectPr>
          <w:pgSz w:w="11900" w:h="16838" w:orient="portrait"/>
          <w:cols w:equalWidth="0" w:num="2">
            <w:col w:w="7280" w:space="720"/>
            <w:col w:w="3240"/>
          </w:cols>
          <w:pgMar w:left="320" w:top="1160" w:right="339" w:bottom="1440" w:gutter="0" w:footer="0" w:header="0"/>
          <w:type w:val="continuous"/>
        </w:sectPr>
      </w:pPr>
    </w:p>
    <w:p>
      <w:pPr>
        <w:jc w:val="center"/>
        <w:ind w:right="1260"/>
        <w:spacing w:after="0"/>
        <w:rPr>
          <w:sz w:val="20"/>
          <w:szCs w:val="20"/>
          <w:color w:val="auto"/>
        </w:rPr>
      </w:pPr>
      <w:r>
        <w:rPr>
          <w:rFonts w:ascii="Arial" w:cs="Arial" w:eastAsia="Arial" w:hAnsi="Arial"/>
          <w:sz w:val="16"/>
          <w:szCs w:val="16"/>
          <w:b w:val="1"/>
          <w:bCs w:val="1"/>
          <w:color w:val="auto"/>
        </w:rPr>
        <w:t>(State or Other Jurisdiction</w:t>
      </w:r>
    </w:p>
    <w:p>
      <w:pPr>
        <w:spacing w:after="0" w:line="13" w:lineRule="exact"/>
        <w:rPr>
          <w:sz w:val="24"/>
          <w:szCs w:val="24"/>
          <w:color w:val="auto"/>
        </w:rPr>
      </w:pPr>
    </w:p>
    <w:p>
      <w:pPr>
        <w:jc w:val="center"/>
        <w:ind w:right="1260"/>
        <w:spacing w:after="0"/>
        <w:rPr>
          <w:sz w:val="20"/>
          <w:szCs w:val="20"/>
          <w:color w:val="auto"/>
        </w:rPr>
      </w:pPr>
      <w:r>
        <w:rPr>
          <w:rFonts w:ascii="Arial" w:cs="Arial" w:eastAsia="Arial" w:hAnsi="Arial"/>
          <w:sz w:val="15"/>
          <w:szCs w:val="15"/>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6"/>
          <w:szCs w:val="16"/>
          <w:b w:val="1"/>
          <w:bCs w:val="1"/>
          <w:color w:val="auto"/>
        </w:rPr>
        <w:t>(IRS Employer</w:t>
      </w:r>
    </w:p>
    <w:p>
      <w:pPr>
        <w:spacing w:after="0" w:line="13"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color w:val="auto"/>
        </w:rPr>
        <w:t>Identification Number)</w:t>
      </w:r>
    </w:p>
    <w:p>
      <w:pPr>
        <w:spacing w:after="0" w:line="200" w:lineRule="exact"/>
        <w:rPr>
          <w:sz w:val="24"/>
          <w:szCs w:val="24"/>
          <w:color w:val="auto"/>
        </w:rPr>
      </w:pPr>
    </w:p>
    <w:p>
      <w:pPr>
        <w:sectPr>
          <w:pgSz w:w="11900" w:h="16838" w:orient="portrait"/>
          <w:cols w:equalWidth="0" w:num="2">
            <w:col w:w="6900" w:space="720"/>
            <w:col w:w="3620"/>
          </w:cols>
          <w:pgMar w:left="320" w:top="1160" w:right="339" w:bottom="1440" w:gutter="0" w:footer="0" w:header="0"/>
          <w:type w:val="continuous"/>
        </w:sectPr>
      </w:pPr>
    </w:p>
    <w:p>
      <w:pPr>
        <w:spacing w:after="0" w:line="20"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114 East Main Street</w:t>
      </w:r>
    </w:p>
    <w:p>
      <w:pPr>
        <w:spacing w:after="0" w:line="50" w:lineRule="exact"/>
        <w:rPr>
          <w:sz w:val="24"/>
          <w:szCs w:val="24"/>
          <w:color w:val="auto"/>
        </w:rPr>
      </w:pPr>
    </w:p>
    <w:p>
      <w:pPr>
        <w:ind w:left="2040"/>
        <w:spacing w:after="0"/>
        <w:rPr>
          <w:sz w:val="20"/>
          <w:szCs w:val="20"/>
          <w:color w:val="auto"/>
        </w:rPr>
      </w:pPr>
      <w:r>
        <w:rPr>
          <w:rFonts w:ascii="Arial" w:cs="Arial" w:eastAsia="Arial" w:hAnsi="Arial"/>
          <w:sz w:val="15"/>
          <w:szCs w:val="15"/>
          <w:b w:val="1"/>
          <w:bCs w:val="1"/>
          <w:color w:val="auto"/>
        </w:rPr>
        <w:t>Ayer, Massachusetts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01432</w:t>
      </w:r>
    </w:p>
    <w:p>
      <w:pPr>
        <w:spacing w:after="0" w:line="50" w:lineRule="exact"/>
        <w:rPr>
          <w:sz w:val="24"/>
          <w:szCs w:val="24"/>
          <w:color w:val="auto"/>
        </w:rPr>
      </w:pPr>
    </w:p>
    <w:p>
      <w:pPr>
        <w:sectPr>
          <w:pgSz w:w="11900" w:h="16838" w:orient="portrait"/>
          <w:cols w:equalWidth="0" w:num="2">
            <w:col w:w="7480" w:space="720"/>
            <w:col w:w="3040"/>
          </w:cols>
          <w:pgMar w:left="320" w:top="1160" w:right="339" w:bottom="1440" w:gutter="0" w:footer="0" w:header="0"/>
          <w:type w:val="continuous"/>
        </w:sectPr>
      </w:pPr>
    </w:p>
    <w:p>
      <w:pPr>
        <w:ind w:left="1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340" w:space="720"/>
            <w:col w:w="3180"/>
          </w:cols>
          <w:pgMar w:left="320" w:top="1160"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(978) 842-3000</w:t>
      </w:r>
    </w:p>
    <w:p>
      <w:pPr>
        <w:sectPr>
          <w:pgSz w:w="11900" w:h="16838" w:orient="portrait"/>
          <w:cols w:equalWidth="0" w:num="1">
            <w:col w:w="11240"/>
          </w:cols>
          <w:pgMar w:left="320" w:top="1160" w:right="339" w:bottom="1440" w:gutter="0" w:footer="0" w:header="0"/>
          <w:type w:val="continuous"/>
        </w:sectPr>
      </w:pPr>
    </w:p>
    <w:p>
      <w:pPr>
        <w:spacing w:after="0" w:line="200" w:lineRule="exact"/>
        <w:rPr>
          <w:sz w:val="24"/>
          <w:szCs w:val="24"/>
          <w:color w:val="auto"/>
        </w:rPr>
      </w:pPr>
    </w:p>
    <w:p>
      <w:pPr>
        <w:spacing w:after="0" w:line="219" w:lineRule="exact"/>
        <w:rPr>
          <w:sz w:val="24"/>
          <w:szCs w:val="24"/>
          <w:color w:val="auto"/>
        </w:rPr>
      </w:pPr>
    </w:p>
    <w:p>
      <w:pPr>
        <w:jc w:val="center"/>
        <w:ind w:left="940"/>
        <w:spacing w:after="0" w:line="266" w:lineRule="auto"/>
        <w:rPr>
          <w:sz w:val="20"/>
          <w:szCs w:val="20"/>
          <w:color w:val="auto"/>
        </w:rPr>
      </w:pPr>
      <w:r>
        <w:rPr>
          <w:rFonts w:ascii="Arial" w:cs="Arial" w:eastAsia="Arial" w:hAnsi="Arial"/>
          <w:sz w:val="18"/>
          <w:szCs w:val="18"/>
          <w:b w:val="1"/>
          <w:bCs w:val="1"/>
          <w:color w:val="auto"/>
        </w:rPr>
        <w:t>Title of each class Common Stock, $0.01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p>
      <w:pPr>
        <w:ind w:left="840"/>
        <w:spacing w:after="0"/>
        <w:tabs>
          <w:tab w:leader="none" w:pos="2920" w:val="left"/>
        </w:tabs>
        <w:rPr>
          <w:sz w:val="20"/>
          <w:szCs w:val="20"/>
          <w:color w:val="auto"/>
        </w:rPr>
      </w:pP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9" w:lineRule="exact"/>
        <w:rPr>
          <w:sz w:val="24"/>
          <w:szCs w:val="24"/>
          <w:color w:val="auto"/>
        </w:rPr>
      </w:pPr>
    </w:p>
    <w:p>
      <w:pPr>
        <w:ind w:left="1280"/>
        <w:spacing w:after="0"/>
        <w:tabs>
          <w:tab w:leader="none" w:pos="3460" w:val="left"/>
        </w:tabs>
        <w:rPr>
          <w:sz w:val="20"/>
          <w:szCs w:val="20"/>
          <w:color w:val="auto"/>
        </w:rPr>
      </w:pPr>
      <w:r>
        <w:rPr>
          <w:rFonts w:ascii="Arial" w:cs="Arial" w:eastAsia="Arial" w:hAnsi="Arial"/>
          <w:sz w:val="18"/>
          <w:szCs w:val="18"/>
          <w:b w:val="1"/>
          <w:bCs w:val="1"/>
          <w:color w:val="auto"/>
        </w:rPr>
        <w:t>AMSC</w:t>
      </w:r>
      <w:r>
        <w:rPr>
          <w:sz w:val="20"/>
          <w:szCs w:val="20"/>
          <w:color w:val="auto"/>
        </w:rPr>
        <w:tab/>
      </w:r>
      <w:r>
        <w:rPr>
          <w:rFonts w:ascii="Arial" w:cs="Arial" w:eastAsia="Arial" w:hAnsi="Arial"/>
          <w:sz w:val="18"/>
          <w:szCs w:val="18"/>
          <w:b w:val="1"/>
          <w:bCs w:val="1"/>
          <w:color w:val="auto"/>
        </w:rPr>
        <w:t>Nasdaq Global Select Market</w:t>
      </w:r>
    </w:p>
    <w:p>
      <w:pPr>
        <w:spacing w:after="0" w:line="422" w:lineRule="exact"/>
        <w:rPr>
          <w:sz w:val="24"/>
          <w:szCs w:val="24"/>
          <w:color w:val="auto"/>
        </w:rPr>
      </w:pPr>
    </w:p>
    <w:p>
      <w:pPr>
        <w:sectPr>
          <w:pgSz w:w="11900" w:h="16838" w:orient="portrait"/>
          <w:cols w:equalWidth="0" w:num="2">
            <w:col w:w="2880" w:space="540"/>
            <w:col w:w="7820"/>
          </w:cols>
          <w:pgMar w:left="320" w:top="116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240"/>
          </w:cols>
          <w:pgMar w:left="320" w:top="1160" w:right="339" w:bottom="1440" w:gutter="0" w:footer="0" w:header="0"/>
          <w:type w:val="continuous"/>
        </w:sectPr>
      </w:pPr>
    </w:p>
    <w:p>
      <w:pPr>
        <w:spacing w:after="0" w:line="21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900" w:space="160"/>
            <w:col w:w="280" w:space="80"/>
            <w:col w:w="160" w:space="180"/>
            <w:col w:w="220" w:space="100"/>
            <w:col w:w="1160"/>
          </w:cols>
          <w:pgMar w:left="320" w:top="1160" w:right="339" w:bottom="1440" w:gutter="0" w:footer="0" w:header="0"/>
          <w:type w:val="continuous"/>
        </w:sectPr>
      </w:pPr>
    </w:p>
    <w:p>
      <w:pPr>
        <w:spacing w:after="0" w:line="37"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9060" w:space="180"/>
            <w:col w:w="260" w:space="80"/>
            <w:col w:w="160" w:space="180"/>
            <w:col w:w="220" w:space="100"/>
            <w:col w:w="1000"/>
          </w:cols>
          <w:pgMar w:left="320" w:top="1160" w:right="339" w:bottom="1440" w:gutter="0" w:footer="0" w:header="0"/>
          <w:type w:val="continuous"/>
        </w:sectPr>
      </w:pPr>
    </w:p>
    <w:p>
      <w:pPr>
        <w:spacing w:after="0" w:line="37"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type w:val="continuous"/>
        </w:sectPr>
      </w:pPr>
    </w:p>
    <w:bookmarkStart w:id="1" w:name="page2"/>
    <w:bookmarkEnd w:id="1"/>
    <w:p>
      <w:pPr>
        <w:jc w:val="both"/>
        <w:ind w:firstLine="486"/>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0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jc w:val="both"/>
        <w:ind w:left="280" w:right="2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500"/>
        <w:spacing w:after="0" w:line="207" w:lineRule="exact"/>
        <w:tabs>
          <w:tab w:leader="none" w:pos="8020" w:val="left"/>
          <w:tab w:leader="none" w:pos="8720" w:val="left"/>
        </w:tabs>
        <w:rPr>
          <w:sz w:val="20"/>
          <w:szCs w:val="20"/>
          <w:color w:val="auto"/>
        </w:rPr>
      </w:pPr>
      <w:r>
        <w:rPr>
          <w:rFonts w:ascii="Arial" w:cs="Arial" w:eastAsia="Arial" w:hAnsi="Arial"/>
          <w:sz w:val="17"/>
          <w:szCs w:val="17"/>
          <w:color w:val="auto"/>
        </w:rPr>
        <w:t>Indicate by checkmark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on September 30, 2021, based on the closing price of the shares of Common Stock on the Nasdaq Global Select Market on that date ($14.58 per share) was $397.8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Number of shares outstanding of the registrant’s Common Stock, as of May 27, 2022 was 28,520,644.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color w:val="auto"/>
        </w:rPr>
        <w:t>Portions of the definitive proxy statement for the annual meeting of stockholders scheduled to be held on August 2, 2022, to be filed with the Securities and Exchange Commission (the “SEC”), are incorporated by reference in answer 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60" w:type="dxa"/>
            <w:vAlign w:val="bottom"/>
            <w:gridSpan w:val="11"/>
          </w:tcPr>
          <w:p>
            <w:pPr>
              <w:jc w:val="center"/>
              <w:ind w:right="2640"/>
              <w:spacing w:after="0"/>
              <w:rPr>
                <w:sz w:val="20"/>
                <w:szCs w:val="20"/>
                <w:color w:val="auto"/>
              </w:rPr>
            </w:pPr>
            <w:r>
              <w:rPr>
                <w:rFonts w:ascii="Arial" w:cs="Arial" w:eastAsia="Arial" w:hAnsi="Arial"/>
                <w:sz w:val="18"/>
                <w:szCs w:val="18"/>
                <w:b w:val="1"/>
                <w:bCs w:val="1"/>
                <w:color w:val="auto"/>
              </w:rPr>
              <w:t>AMERICAN SUPERCONDUCTOR CORPORATION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290"/>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1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9200" w:type="dxa"/>
            <w:vAlign w:val="bottom"/>
            <w:gridSpan w:val="1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12</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Unresolved Staff Comments</w:t>
              </w:r>
            </w:hyperlink>
          </w:p>
        </w:tc>
        <w:tc>
          <w:tcPr>
            <w:tcW w:w="806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20</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9380" w:type="dxa"/>
            <w:vAlign w:val="bottom"/>
            <w:gridSpan w:val="19"/>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21</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1012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6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21</w:t>
              </w:r>
            </w:hyperlink>
          </w:p>
        </w:tc>
      </w:tr>
      <w:tr>
        <w:trPr>
          <w:trHeight w:val="20"/>
        </w:trPr>
        <w:tc>
          <w:tcPr>
            <w:tcW w:w="4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1012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66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21</w:t>
              </w:r>
            </w:hyperlink>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7"/>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1012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22</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8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[Reserved]</w:t>
              </w:r>
            </w:hyperlink>
          </w:p>
        </w:tc>
        <w:tc>
          <w:tcPr>
            <w:tcW w:w="7280" w:type="dxa"/>
            <w:vAlign w:val="bottom"/>
            <w:tcBorders>
              <w:top w:val="single" w:sz="8" w:color="0000EE"/>
            </w:tcBorders>
            <w:gridSpan w:val="17"/>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23</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1012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24</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36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34</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57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35</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65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Changes in and Disagreements With Accountants on Accounting and Financial Disclosure</w:t>
              </w:r>
            </w:hyperlink>
          </w:p>
        </w:tc>
        <w:tc>
          <w:tcPr>
            <w:tcW w:w="36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66</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9A.</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Controls and Procedures</w:t>
              </w:r>
            </w:hyperlink>
          </w:p>
        </w:tc>
        <w:tc>
          <w:tcPr>
            <w:tcW w:w="83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66</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9B.</w:t>
            </w:r>
          </w:p>
        </w:tc>
        <w:tc>
          <w:tcPr>
            <w:tcW w:w="10120" w:type="dxa"/>
            <w:vAlign w:val="bottom"/>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66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66</w:t>
              </w:r>
            </w:hyperlink>
          </w:p>
        </w:tc>
      </w:tr>
      <w:tr>
        <w:trPr>
          <w:trHeight w:val="20"/>
        </w:trPr>
        <w:tc>
          <w:tcPr>
            <w:tcW w:w="4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9C.</w:t>
            </w:r>
          </w:p>
        </w:tc>
        <w:tc>
          <w:tcPr>
            <w:tcW w:w="1012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Disclosure Regarding Foreign Jurisdictions that Prevent Inspections</w:t>
              </w:r>
            </w:hyperlink>
          </w:p>
        </w:tc>
        <w:tc>
          <w:tcPr>
            <w:tcW w:w="66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67</w:t>
              </w:r>
            </w:hyperlink>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34"/>
        </w:trPr>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1012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Directors, Executive Officers and Corporate Governance</w:t>
              </w:r>
            </w:hyperlink>
          </w:p>
        </w:tc>
        <w:tc>
          <w:tcPr>
            <w:tcW w:w="66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67</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602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67</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Security Ownership of Certain Beneficial Owners and Management and Related Stockholder Matters</w:t>
              </w:r>
            </w:hyperlink>
          </w:p>
        </w:tc>
        <w:tc>
          <w:tcPr>
            <w:tcW w:w="282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67</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54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Certain Relationships and Related Transactions and Director Independence</w:t>
              </w:r>
            </w:hyperlink>
          </w:p>
        </w:tc>
        <w:tc>
          <w:tcPr>
            <w:tcW w:w="470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3">
              <w:r>
                <w:rPr>
                  <w:rFonts w:ascii="Arial" w:cs="Arial" w:eastAsia="Arial" w:hAnsi="Arial"/>
                  <w:sz w:val="18"/>
                  <w:szCs w:val="18"/>
                  <w:color w:val="0000EE"/>
                  <w:w w:val="79"/>
                </w:rPr>
                <w:t>67</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1012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66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67</w:t>
              </w:r>
            </w:hyperlink>
          </w:p>
        </w:tc>
      </w:tr>
      <w:tr>
        <w:trPr>
          <w:trHeight w:val="318"/>
        </w:trPr>
        <w:tc>
          <w:tcPr>
            <w:tcW w:w="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6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56"/>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10120" w:type="dxa"/>
            <w:vAlign w:val="bottom"/>
            <w:gridSpan w:val="2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Exhibits and Financial Statement Schedules</w:t>
              </w:r>
            </w:hyperlink>
          </w:p>
        </w:tc>
        <w:tc>
          <w:tcPr>
            <w:tcW w:w="660" w:type="dxa"/>
            <w:vAlign w:val="bottom"/>
            <w:gridSpan w:val="3"/>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68</w:t>
              </w:r>
            </w:hyperlink>
          </w:p>
        </w:tc>
      </w:tr>
      <w:tr>
        <w:trPr>
          <w:trHeight w:val="412"/>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Form 10-K Summary</w:t>
              </w:r>
            </w:hyperlink>
          </w:p>
        </w:tc>
        <w:tc>
          <w:tcPr>
            <w:tcW w:w="1600" w:type="dxa"/>
            <w:vAlign w:val="bottom"/>
            <w:tcBorders>
              <w:top w:val="single" w:sz="8" w:color="0000EE"/>
            </w:tcBorders>
            <w:gridSpan w:val="5"/>
          </w:tcPr>
          <w:p>
            <w:pPr>
              <w:spacing w:after="0"/>
              <w:rPr>
                <w:sz w:val="24"/>
                <w:szCs w:val="24"/>
                <w:color w:val="auto"/>
              </w:rPr>
            </w:pPr>
          </w:p>
        </w:tc>
        <w:tc>
          <w:tcPr>
            <w:tcW w:w="696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69</w:t>
              </w:r>
            </w:hyperlink>
          </w:p>
        </w:tc>
      </w:tr>
      <w:tr>
        <w:trPr>
          <w:trHeight w:val="452"/>
        </w:trPr>
        <w:tc>
          <w:tcPr>
            <w:tcW w:w="460" w:type="dxa"/>
            <w:vAlign w:val="bottom"/>
          </w:tcPr>
          <w:p>
            <w:pPr>
              <w:spacing w:after="0"/>
              <w:rPr>
                <w:sz w:val="24"/>
                <w:szCs w:val="24"/>
                <w:color w:val="auto"/>
              </w:rPr>
            </w:pPr>
          </w:p>
        </w:tc>
        <w:tc>
          <w:tcPr>
            <w:tcW w:w="5420" w:type="dxa"/>
            <w:vAlign w:val="bottom"/>
            <w:gridSpan w:val="16"/>
          </w:tcPr>
          <w:p>
            <w:pPr>
              <w:jc w:val="center"/>
              <w:ind w:left="4810"/>
              <w:spacing w:after="0"/>
              <w:rPr>
                <w:sz w:val="20"/>
                <w:szCs w:val="20"/>
                <w:color w:val="auto"/>
              </w:rPr>
            </w:pPr>
            <w:r>
              <w:rPr>
                <w:rFonts w:ascii="Arial" w:cs="Arial" w:eastAsia="Arial" w:hAnsi="Arial"/>
                <w:sz w:val="18"/>
                <w:szCs w:val="18"/>
                <w:color w:val="auto"/>
                <w:w w:val="79"/>
              </w:rPr>
              <w:t>3</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2882900</wp:posOffset>
            </wp:positionH>
            <wp:positionV relativeFrom="page">
              <wp:posOffset>448945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t>This Annual Report on Form 10-K contains forward-looking statements within the meaning of Section 21E of the Securities Exchange Act of 1934, as amended (the “Exchange Act”). Any statements in this Annual Report that relate to future events or conditions, including without limitation, the statements in Part I, “Item 1A. Risk Factors” and in Part II under “Item 7. Management’s Discussion and Analysis of Financial Condition and Results of Operations” and located elsewhere herein regarding industry prospects, our addressable markets, our competitive position, the benefits of our acquisitions, the ongoing impact of the COVID-19 pandemic on our business, financial results and financial condition, expectations for when our products become operational,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the important factors discussed under the caption “Risk Factors” in Part 1. Item 1A of this Form 10-K for the fiscal year ended March 31, 2022, which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Annual Report on Form 10-K.</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American Superconductor®, Amperium®, AMSC®, D-VAR®, PowerModule™, D-VAR VVO®, PQ-IVR®, SeaTitan®, Gridtec™ Solutions, Windtec™ Solutions, Smarter, Cleaner...Better Energy™, Orchestrate the Rhythm and Harmony of Power on the Grid™, actiVAR®, armorVAR™, NEPSI™, Neeltran™ and SafetyLOCK™ are trademarks or registered trademarks of American Superconductor Corporation or our subsidiaries. We reserve all of our rights with respect to our trademarks or registered trademarks regardless of whether they are so designated in this Annual Report on Form 10-K by an ® or</w:t>
      </w:r>
    </w:p>
    <w:p>
      <w:pPr>
        <w:spacing w:after="0" w:line="1" w:lineRule="exact"/>
        <w:rPr>
          <w:sz w:val="20"/>
          <w:szCs w:val="20"/>
          <w:color w:val="auto"/>
        </w:rPr>
      </w:pPr>
    </w:p>
    <w:p>
      <w:pPr>
        <w:ind w:firstLine="8"/>
        <w:spacing w:after="0" w:line="260"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symbol. All other brand names, product names, trademarks or service marks appearing in this Annual Report on Form 10-K are the property of their respective 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We are a leading system provider of megawatt-scale power resiliency solutions that Orchestrate the Rhythm and Harmony of Power on the Grid™, and protect and expand the capability of the Navy’s fleet. Our system level products leverage the Company’s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the power grid market, we enable electric utilities, industrial facilities, and renewable energy project developers to connect, transmit and distribute smarter, cleaner and better power through our power electronics and superconductor-based systems as well as our transmission planning services. We protect and expand the capability of the U.S. Navy surface fleet with advanced superconductor-based systems which provide superior performance advantages to the traditional methods of mine field protection.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capacity and other constraints, improve system resiliency, and increase the adoption of renewable energy generation. Demand for our solutions is driven by: the growing needs for modernized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October 1, 2020, we entered into a Stock Purchase Agreement (the “Stock Purchase Agreement”) with the selling stockholders named therein. Pursuant to the terms of the Stock Purchase Agreement and concurrently with entering into such agreement, we acquired all of the issued and outstanding</w:t>
      </w:r>
    </w:p>
    <w:p>
      <w:pPr>
        <w:jc w:val="both"/>
        <w:ind w:firstLine="8"/>
        <w:spacing w:after="0" w:line="273" w:lineRule="auto"/>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As a result of this transaction, NEPSI became a wholly-owned subsidiary and is operated by our Grid business segment.</w:t>
      </w:r>
    </w:p>
    <w:p>
      <w:pPr>
        <w:spacing w:after="0" w:line="1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May 6, 2021, we entered into a Stock Purchase Agreement (the “Neeltran Stock Purchase Agreement”) with the selling stockholders named therein. Pursuant to the terms of the Neeltran Stock Purchase Agreement and concurrently with entering into such agreement, we acquired all of the issued and outstanding (i) shares of capital stock of Neeltran, Inc., a Connecticut corporation (“Neeltran”) and (ii) Neeltran International, Inc., a Connecticut corporation (“International”). Neeltran, Inc., is a U.S. based corporation that supplies rectifiers and transformers to industrial customers. As a result of this transaction, Neeltran became a wholly-owned subsidiary and is operated by our Grid business segment.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provide solutions that address three key drivers of our business:</w:t>
      </w:r>
    </w:p>
    <w:p>
      <w:pPr>
        <w:spacing w:after="0" w:line="202" w:lineRule="exact"/>
        <w:rPr>
          <w:sz w:val="20"/>
          <w:szCs w:val="20"/>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evolving electric grid;</w:t>
      </w:r>
    </w:p>
    <w:p>
      <w:pPr>
        <w:spacing w:after="0" w:line="111"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electrification of the Naval fleet; and</w:t>
      </w:r>
    </w:p>
    <w:p>
      <w:pPr>
        <w:spacing w:after="0" w:line="111"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global demand for renewable energy.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power system products address five market opportunities (areas):</w:t>
      </w:r>
    </w:p>
    <w:p>
      <w:pPr>
        <w:spacing w:after="0" w:line="225" w:lineRule="exact"/>
        <w:rPr>
          <w:sz w:val="20"/>
          <w:szCs w:val="20"/>
          <w:color w:val="auto"/>
        </w:rPr>
      </w:pPr>
    </w:p>
    <w:p>
      <w:pPr>
        <w:jc w:val="both"/>
        <w:ind w:left="820" w:hanging="326"/>
        <w:spacing w:after="0" w:line="259" w:lineRule="auto"/>
        <w:tabs>
          <w:tab w:leader="none" w:pos="82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 xml:space="preserve">Transmission grid. </w:t>
      </w:r>
      <w:r>
        <w:rPr>
          <w:rFonts w:ascii="Arial" w:cs="Arial" w:eastAsia="Arial" w:hAnsi="Arial"/>
          <w:sz w:val="17"/>
          <w:szCs w:val="17"/>
          <w:color w:val="auto"/>
        </w:rPr>
        <w:t>We provide complete systems that enable electric utilities and renewable energy project developers to connect and transmit</w:t>
      </w:r>
      <w:r>
        <w:rPr>
          <w:rFonts w:ascii="Arial" w:cs="Arial" w:eastAsia="Arial" w:hAnsi="Arial"/>
          <w:sz w:val="17"/>
          <w:szCs w:val="17"/>
          <w:i w:val="1"/>
          <w:iCs w:val="1"/>
          <w:color w:val="auto"/>
        </w:rPr>
        <w:t xml:space="preserve"> </w:t>
      </w:r>
      <w:r>
        <w:rPr>
          <w:rFonts w:ascii="Arial" w:cs="Arial" w:eastAsia="Arial" w:hAnsi="Arial"/>
          <w:sz w:val="17"/>
          <w:szCs w:val="17"/>
          <w:color w:val="auto"/>
        </w:rPr>
        <w:t>power with exceptional efficiency, reliability, security and affordability. We provide planning services that allow us to identify power grid congestion, poor power quality, and other risks, which help us determine how our solutions can improve network performance. These services often lead to sales of our grid interconnection solutions and power quality systems for wind farms and solar power plants.</w:t>
      </w:r>
    </w:p>
    <w:p>
      <w:pPr>
        <w:spacing w:after="0" w:line="92" w:lineRule="exact"/>
        <w:rPr>
          <w:rFonts w:ascii="Arial" w:cs="Arial" w:eastAsia="Arial" w:hAnsi="Arial"/>
          <w:sz w:val="21"/>
          <w:szCs w:val="21"/>
          <w:color w:val="auto"/>
        </w:rPr>
      </w:pPr>
    </w:p>
    <w:p>
      <w:pPr>
        <w:jc w:val="both"/>
        <w:ind w:left="820" w:hanging="326"/>
        <w:spacing w:after="0" w:line="241" w:lineRule="auto"/>
        <w:tabs>
          <w:tab w:leader="none" w:pos="820" w:val="left"/>
        </w:tabs>
        <w:numPr>
          <w:ilvl w:val="0"/>
          <w:numId w:val="6"/>
        </w:numPr>
        <w:rPr>
          <w:rFonts w:ascii="Arial" w:cs="Arial" w:eastAsia="Arial" w:hAnsi="Arial"/>
          <w:sz w:val="22"/>
          <w:szCs w:val="22"/>
          <w:color w:val="auto"/>
        </w:rPr>
      </w:pPr>
      <w:r>
        <w:rPr>
          <w:rFonts w:ascii="Arial" w:cs="Arial" w:eastAsia="Arial" w:hAnsi="Arial"/>
          <w:sz w:val="18"/>
          <w:szCs w:val="18"/>
          <w:i w:val="1"/>
          <w:iCs w:val="1"/>
          <w:color w:val="auto"/>
        </w:rPr>
        <w:t xml:space="preserve">Distribution grid. </w:t>
      </w:r>
      <w:r>
        <w:rPr>
          <w:rFonts w:ascii="Arial" w:cs="Arial" w:eastAsia="Arial" w:hAnsi="Arial"/>
          <w:sz w:val="18"/>
          <w:szCs w:val="18"/>
          <w:color w:val="auto"/>
        </w:rPr>
        <w:t>We provide a direct-connect power quality system that is installed on the primary distribution network in communities,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parks, or wherever enhanced power quality is beneficial and is designed to increase the reliability and resiliency of the distribution grid to serve the needs of modern energy consumers. Our systems save utilities time and money by avoiding costly options to strengthen the distribution grid.</w:t>
      </w:r>
    </w:p>
    <w:p>
      <w:pPr>
        <w:spacing w:after="0" w:line="107" w:lineRule="exact"/>
        <w:rPr>
          <w:rFonts w:ascii="Arial" w:cs="Arial" w:eastAsia="Arial" w:hAnsi="Arial"/>
          <w:sz w:val="22"/>
          <w:szCs w:val="22"/>
          <w:color w:val="auto"/>
        </w:rPr>
      </w:pPr>
    </w:p>
    <w:p>
      <w:pPr>
        <w:jc w:val="both"/>
        <w:ind w:left="820" w:hanging="326"/>
        <w:spacing w:after="0" w:line="261" w:lineRule="auto"/>
        <w:tabs>
          <w:tab w:leader="none" w:pos="82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 xml:space="preserve">Urban Grid Infrastructure. </w:t>
      </w:r>
      <w:r>
        <w:rPr>
          <w:rFonts w:ascii="Arial" w:cs="Arial" w:eastAsia="Arial" w:hAnsi="Arial"/>
          <w:sz w:val="17"/>
          <w:szCs w:val="17"/>
          <w:color w:val="auto"/>
        </w:rPr>
        <w:t>We design systems to increase the reliability, security and capacity of the urban grid infrastructure. Today, many</w:t>
      </w:r>
      <w:r>
        <w:rPr>
          <w:rFonts w:ascii="Arial" w:cs="Arial" w:eastAsia="Arial" w:hAnsi="Arial"/>
          <w:sz w:val="17"/>
          <w:szCs w:val="17"/>
          <w:i w:val="1"/>
          <w:iCs w:val="1"/>
          <w:color w:val="auto"/>
        </w:rPr>
        <w:t xml:space="preserve"> </w:t>
      </w:r>
      <w:r>
        <w:rPr>
          <w:rFonts w:ascii="Arial" w:cs="Arial" w:eastAsia="Arial" w:hAnsi="Arial"/>
          <w:sz w:val="17"/>
          <w:szCs w:val="17"/>
          <w:color w:val="auto"/>
        </w:rPr>
        <w:t>urban substations are not networked and can only power a small section of a city. Our power dense technology based on proprietary smart materials allows for the inter-connection of substations, controlling the high fault currents that naturally result from such interconnections. If one substation is compromised, other substations help increase capacity and reliability. Our system allows instantaneous power outage recovery, potentially doubling to quadrupling a city’s reliability and resiliency while minimizing grid investment. We design systems that leverage existing grid assets while protecting cities against storms, outages, and cyber- and physical attacks.</w:t>
      </w:r>
    </w:p>
    <w:p>
      <w:pPr>
        <w:spacing w:after="0" w:line="92" w:lineRule="exact"/>
        <w:rPr>
          <w:rFonts w:ascii="Arial" w:cs="Arial" w:eastAsia="Arial" w:hAnsi="Arial"/>
          <w:sz w:val="21"/>
          <w:szCs w:val="21"/>
          <w:color w:val="auto"/>
        </w:rPr>
      </w:pPr>
    </w:p>
    <w:p>
      <w:pPr>
        <w:ind w:left="820" w:hanging="326"/>
        <w:spacing w:after="0" w:line="285" w:lineRule="auto"/>
        <w:tabs>
          <w:tab w:leader="none" w:pos="820" w:val="left"/>
        </w:tabs>
        <w:numPr>
          <w:ilvl w:val="0"/>
          <w:numId w:val="6"/>
        </w:numPr>
        <w:rPr>
          <w:rFonts w:ascii="Arial" w:cs="Arial" w:eastAsia="Arial" w:hAnsi="Arial"/>
          <w:sz w:val="19"/>
          <w:szCs w:val="19"/>
          <w:color w:val="auto"/>
        </w:rPr>
      </w:pPr>
      <w:r>
        <w:rPr>
          <w:rFonts w:ascii="Arial" w:cs="Arial" w:eastAsia="Arial" w:hAnsi="Arial"/>
          <w:sz w:val="16"/>
          <w:szCs w:val="16"/>
          <w:i w:val="1"/>
          <w:iCs w:val="1"/>
          <w:color w:val="auto"/>
        </w:rPr>
        <w:t>Marine protection systems</w:t>
      </w:r>
      <w:r>
        <w:rPr>
          <w:rFonts w:ascii="Arial" w:cs="Arial" w:eastAsia="Arial" w:hAnsi="Arial"/>
          <w:sz w:val="16"/>
          <w:szCs w:val="16"/>
          <w:color w:val="auto"/>
        </w:rPr>
        <w:t>. We sell advanced degaussing systems to the U.S. Navy. Our degaussing system creates a magnetic signature around</w:t>
      </w:r>
      <w:r>
        <w:rPr>
          <w:rFonts w:ascii="Arial" w:cs="Arial" w:eastAsia="Arial" w:hAnsi="Arial"/>
          <w:sz w:val="16"/>
          <w:szCs w:val="16"/>
          <w:i w:val="1"/>
          <w:iCs w:val="1"/>
          <w:color w:val="auto"/>
        </w:rPr>
        <w:t xml:space="preserve"> </w:t>
      </w:r>
      <w:r>
        <w:rPr>
          <w:rFonts w:ascii="Arial" w:cs="Arial" w:eastAsia="Arial" w:hAnsi="Arial"/>
          <w:sz w:val="16"/>
          <w:szCs w:val="16"/>
          <w:color w:val="auto"/>
        </w:rPr>
        <w:t>a ship to mask the ship against sea mines and torpedoes. Our degaussing system is comprised of much smaller, lighter and higher performing HTS cable coils eliminating 50-80% of the system weight and reducing overall energy consumption versus copper-based degaussing systems.</w:t>
      </w:r>
    </w:p>
    <w:p>
      <w:pPr>
        <w:spacing w:after="0" w:line="73" w:lineRule="exact"/>
        <w:rPr>
          <w:rFonts w:ascii="Arial" w:cs="Arial" w:eastAsia="Arial" w:hAnsi="Arial"/>
          <w:sz w:val="19"/>
          <w:szCs w:val="19"/>
          <w:color w:val="auto"/>
        </w:rPr>
      </w:pPr>
    </w:p>
    <w:p>
      <w:pPr>
        <w:jc w:val="both"/>
        <w:ind w:left="820" w:hanging="326"/>
        <w:spacing w:after="0" w:line="285" w:lineRule="auto"/>
        <w:tabs>
          <w:tab w:leader="none" w:pos="820" w:val="left"/>
        </w:tabs>
        <w:numPr>
          <w:ilvl w:val="0"/>
          <w:numId w:val="6"/>
        </w:numPr>
        <w:rPr>
          <w:rFonts w:ascii="Arial" w:cs="Arial" w:eastAsia="Arial" w:hAnsi="Arial"/>
          <w:sz w:val="19"/>
          <w:szCs w:val="19"/>
          <w:color w:val="auto"/>
        </w:rPr>
      </w:pPr>
      <w:r>
        <w:rPr>
          <w:rFonts w:ascii="Arial" w:cs="Arial" w:eastAsia="Arial" w:hAnsi="Arial"/>
          <w:sz w:val="16"/>
          <w:szCs w:val="16"/>
          <w:i w:val="1"/>
          <w:iCs w:val="1"/>
          <w:color w:val="auto"/>
        </w:rPr>
        <w:t xml:space="preserve">Wind Power. </w:t>
      </w:r>
      <w:r>
        <w:rPr>
          <w:rFonts w:ascii="Arial" w:cs="Arial" w:eastAsia="Arial" w:hAnsi="Arial"/>
          <w:sz w:val="16"/>
          <w:szCs w:val="16"/>
          <w:color w:val="auto"/>
        </w:rPr>
        <w:t>Our solutions enable manufacturers to field wind turbines with exceptional power output, reliability, and affordability. We supply</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 power electronics and control systems, license our highly engineered wind turbine designs, and provide extensive customer support services to wind turbine manufacturers. Our design portfolio includes a broad range of drive trains and power ratings of 2 megawatts (“MW”)</w:t>
      </w:r>
    </w:p>
    <w:p>
      <w:pPr>
        <w:sectPr>
          <w:pgSz w:w="11900" w:h="16838" w:orient="portrait"/>
          <w:cols w:equalWidth="0" w:num="1">
            <w:col w:w="11240"/>
          </w:cols>
          <w:pgMar w:left="320" w:top="823" w:right="339" w:bottom="0" w:gutter="0" w:footer="0" w:header="0"/>
        </w:sectPr>
      </w:pPr>
    </w:p>
    <w:bookmarkStart w:id="5" w:name="page6"/>
    <w:bookmarkEnd w:id="5"/>
    <w:p>
      <w:pPr>
        <w:ind w:left="820"/>
        <w:spacing w:after="0" w:line="277" w:lineRule="auto"/>
        <w:rPr>
          <w:sz w:val="20"/>
          <w:szCs w:val="20"/>
          <w:color w:val="auto"/>
        </w:rPr>
      </w:pPr>
      <w:r>
        <w:rPr>
          <w:rFonts w:ascii="Arial" w:cs="Arial" w:eastAsia="Arial" w:hAnsi="Arial"/>
          <w:sz w:val="18"/>
          <w:szCs w:val="18"/>
          <w:color w:val="auto"/>
        </w:rPr>
        <w:t>and higher. We provide a broad range of power electronics and software-based control systems that are highly integrated and designed for optimized performance, efficiency, and grid compatibility.</w:t>
      </w:r>
    </w:p>
    <w:p>
      <w:pPr>
        <w:spacing w:after="0" w:line="170"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2021 refers to the fiscal year that began on April 1, 2021. Other fiscal years follow similarly.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our competitive strengths position us well to execute on our growth plans in the markets we serve.</w:t>
      </w:r>
    </w:p>
    <w:p>
      <w:pPr>
        <w:spacing w:after="0" w:line="225" w:lineRule="exact"/>
        <w:rPr>
          <w:sz w:val="20"/>
          <w:szCs w:val="20"/>
          <w:color w:val="auto"/>
        </w:rPr>
      </w:pPr>
    </w:p>
    <w:p>
      <w:pPr>
        <w:jc w:val="both"/>
        <w:ind w:left="820" w:hanging="326"/>
        <w:spacing w:after="0" w:line="263" w:lineRule="auto"/>
        <w:tabs>
          <w:tab w:leader="none" w:pos="820" w:val="left"/>
        </w:tabs>
        <w:numPr>
          <w:ilvl w:val="0"/>
          <w:numId w:val="7"/>
        </w:numPr>
        <w:rPr>
          <w:rFonts w:ascii="Arial" w:cs="Arial" w:eastAsia="Arial" w:hAnsi="Arial"/>
          <w:sz w:val="21"/>
          <w:szCs w:val="21"/>
          <w:color w:val="auto"/>
        </w:rPr>
      </w:pPr>
      <w:r>
        <w:rPr>
          <w:rFonts w:ascii="Arial" w:cs="Arial" w:eastAsia="Arial" w:hAnsi="Arial"/>
          <w:sz w:val="17"/>
          <w:szCs w:val="17"/>
          <w:i w:val="1"/>
          <w:iCs w:val="1"/>
          <w:color w:val="auto"/>
        </w:rPr>
        <w:t xml:space="preserve">Differentiated technologies. </w:t>
      </w:r>
      <w:r>
        <w:rPr>
          <w:rFonts w:ascii="Arial" w:cs="Arial" w:eastAsia="Arial" w:hAnsi="Arial"/>
          <w:sz w:val="17"/>
          <w:szCs w:val="17"/>
          <w:color w:val="auto"/>
        </w:rPr>
        <w:t>Our products leverage the Company’s proprietary smart materials and smart software and controls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resiliency and improved performance of megawatt-scale power flow. Conventional conductors of electricity, such as aluminum and copper wire, lose energy due to resistance. Using a compound of yttrium barium copper oxide (“YBCO”), we manufacture and provide high-temperature superconductor ("HTS") wire that can conduct many times more electricity than conventional conductors with minimal power loss. Our proprietary Amperium® superconductor wire was engineered to allow us to tailor the product via laminations to meet the electrical and mechanical performance requirements of widely varying end-use applications, including power cables and fault current limiters for the Grid market. Our PowerModule™ power converters are based on proprietary software and hardware combinations and are used in a broad array of applications, including our D-VAR® grid interconnection and voltage control systems, as well as our wind turbine electrical control systems. Our unique proprietary cooler technology enables our ship protection systems ("SPS") to perform in harsh environmental conditions in a quiet and efficient manner.</w:t>
      </w:r>
    </w:p>
    <w:p>
      <w:pPr>
        <w:spacing w:after="0" w:line="89" w:lineRule="exact"/>
        <w:rPr>
          <w:rFonts w:ascii="Arial" w:cs="Arial" w:eastAsia="Arial" w:hAnsi="Arial"/>
          <w:sz w:val="21"/>
          <w:szCs w:val="21"/>
          <w:color w:val="auto"/>
        </w:rPr>
      </w:pPr>
    </w:p>
    <w:p>
      <w:pPr>
        <w:jc w:val="both"/>
        <w:ind w:left="820" w:hanging="326"/>
        <w:spacing w:after="0" w:line="238" w:lineRule="auto"/>
        <w:tabs>
          <w:tab w:leader="none" w:pos="82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 xml:space="preserve">Turnkey systems. </w:t>
      </w:r>
      <w:r>
        <w:rPr>
          <w:rFonts w:ascii="Arial" w:cs="Arial" w:eastAsia="Arial" w:hAnsi="Arial"/>
          <w:sz w:val="18"/>
          <w:szCs w:val="18"/>
          <w:color w:val="auto"/>
        </w:rPr>
        <w:t>We have developed full system solutions that we sell directly to customers. This business model leverages our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drives value beyond our power electronic and our superconductor based products, and enables us to recognize revenue and take ownership over the marketing and sales of the full systems.</w:t>
      </w:r>
    </w:p>
    <w:p>
      <w:pPr>
        <w:spacing w:after="0" w:line="108" w:lineRule="exact"/>
        <w:rPr>
          <w:rFonts w:ascii="Arial" w:cs="Arial" w:eastAsia="Arial" w:hAnsi="Arial"/>
          <w:sz w:val="22"/>
          <w:szCs w:val="22"/>
          <w:color w:val="auto"/>
        </w:rPr>
      </w:pPr>
    </w:p>
    <w:p>
      <w:pPr>
        <w:jc w:val="both"/>
        <w:ind w:left="820" w:hanging="326"/>
        <w:spacing w:after="0" w:line="241" w:lineRule="auto"/>
        <w:tabs>
          <w:tab w:leader="none" w:pos="820" w:val="left"/>
        </w:tabs>
        <w:numPr>
          <w:ilvl w:val="0"/>
          <w:numId w:val="7"/>
        </w:numPr>
        <w:rPr>
          <w:rFonts w:ascii="Arial" w:cs="Arial" w:eastAsia="Arial" w:hAnsi="Arial"/>
          <w:sz w:val="22"/>
          <w:szCs w:val="22"/>
          <w:color w:val="auto"/>
        </w:rPr>
      </w:pPr>
      <w:r>
        <w:rPr>
          <w:rFonts w:ascii="Arial" w:cs="Arial" w:eastAsia="Arial" w:hAnsi="Arial"/>
          <w:sz w:val="18"/>
          <w:szCs w:val="18"/>
          <w:i w:val="1"/>
          <w:iCs w:val="1"/>
          <w:color w:val="auto"/>
        </w:rPr>
        <w:t xml:space="preserve">Scalable, low-cost manufacturing platform. </w:t>
      </w:r>
      <w:r>
        <w:rPr>
          <w:rFonts w:ascii="Arial" w:cs="Arial" w:eastAsia="Arial" w:hAnsi="Arial"/>
          <w:sz w:val="18"/>
          <w:szCs w:val="18"/>
          <w:color w:val="auto"/>
        </w:rPr>
        <w:t>Our manufacturing of proprietary wind turbine electrical control systems and power electronics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primarily assembly operations with minimal fixed costs. We can increase the production of these products at costs that we believe are low relative to our competitors. Our proprietary manufacturing technique for Amperium superconductor wire is modular in nature, which allows us to expand manufacturing capacity at a relatively low incremental cost.</w:t>
      </w:r>
    </w:p>
    <w:p>
      <w:pPr>
        <w:spacing w:after="0" w:line="107" w:lineRule="exact"/>
        <w:rPr>
          <w:rFonts w:ascii="Arial" w:cs="Arial" w:eastAsia="Arial" w:hAnsi="Arial"/>
          <w:sz w:val="22"/>
          <w:szCs w:val="22"/>
          <w:color w:val="auto"/>
        </w:rPr>
      </w:pPr>
    </w:p>
    <w:p>
      <w:pPr>
        <w:jc w:val="both"/>
        <w:ind w:left="820" w:hanging="326"/>
        <w:spacing w:after="0" w:line="256" w:lineRule="auto"/>
        <w:tabs>
          <w:tab w:leader="none" w:pos="820" w:val="left"/>
        </w:tabs>
        <w:numPr>
          <w:ilvl w:val="0"/>
          <w:numId w:val="7"/>
        </w:numPr>
        <w:rPr>
          <w:rFonts w:ascii="Arial" w:cs="Arial" w:eastAsia="Arial" w:hAnsi="Arial"/>
          <w:sz w:val="21"/>
          <w:szCs w:val="21"/>
          <w:color w:val="auto"/>
        </w:rPr>
      </w:pPr>
      <w:r>
        <w:rPr>
          <w:rFonts w:ascii="Arial" w:cs="Arial" w:eastAsia="Arial" w:hAnsi="Arial"/>
          <w:sz w:val="17"/>
          <w:szCs w:val="17"/>
          <w:i w:val="1"/>
          <w:iCs w:val="1"/>
          <w:color w:val="auto"/>
        </w:rPr>
        <w:t xml:space="preserve">Robust patent position and engineering expertise. </w:t>
      </w:r>
      <w:r>
        <w:rPr>
          <w:rFonts w:ascii="Arial" w:cs="Arial" w:eastAsia="Arial" w:hAnsi="Arial"/>
          <w:sz w:val="17"/>
          <w:szCs w:val="17"/>
          <w:color w:val="auto"/>
        </w:rPr>
        <w:t>We have an extensive portfolio of awarded patents and patent applications worldwide and</w:t>
      </w:r>
      <w:r>
        <w:rPr>
          <w:rFonts w:ascii="Arial" w:cs="Arial" w:eastAsia="Arial" w:hAnsi="Arial"/>
          <w:sz w:val="17"/>
          <w:szCs w:val="17"/>
          <w:i w:val="1"/>
          <w:iCs w:val="1"/>
          <w:color w:val="auto"/>
        </w:rPr>
        <w:t xml:space="preserve"> </w:t>
      </w:r>
      <w:r>
        <w:rPr>
          <w:rFonts w:ascii="Arial" w:cs="Arial" w:eastAsia="Arial" w:hAnsi="Arial"/>
          <w:sz w:val="17"/>
          <w:szCs w:val="17"/>
          <w:color w:val="auto"/>
        </w:rPr>
        <w:t>have rights through exclusive and non-exclusive licenses to additional patents and patent applications worldwide. We believe our technology and manufacturing knowledge base, customer and product expertise and patent portfolio provide a strong competitive position.</w:t>
      </w:r>
    </w:p>
    <w:p>
      <w:pPr>
        <w:spacing w:after="0" w:line="94" w:lineRule="exact"/>
        <w:rPr>
          <w:rFonts w:ascii="Arial" w:cs="Arial" w:eastAsia="Arial" w:hAnsi="Arial"/>
          <w:sz w:val="21"/>
          <w:szCs w:val="21"/>
          <w:color w:val="auto"/>
        </w:rPr>
      </w:pPr>
    </w:p>
    <w:p>
      <w:pPr>
        <w:jc w:val="both"/>
        <w:ind w:left="820" w:hanging="326"/>
        <w:spacing w:after="0" w:line="25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Unique solutions for the markets we serve. </w:t>
      </w:r>
      <w:r>
        <w:rPr>
          <w:rFonts w:ascii="Arial" w:cs="Arial" w:eastAsia="Arial" w:hAnsi="Arial"/>
          <w:sz w:val="18"/>
          <w:szCs w:val="18"/>
          <w:color w:val="auto"/>
        </w:rPr>
        <w:t>We believe we provide wind turbine manufacturers with a unique and integrated approach for wind</w:t>
      </w:r>
      <w:r>
        <w:rPr>
          <w:rFonts w:ascii="Arial" w:cs="Arial" w:eastAsia="Arial" w:hAnsi="Arial"/>
          <w:sz w:val="18"/>
          <w:szCs w:val="18"/>
          <w:i w:val="1"/>
          <w:iCs w:val="1"/>
          <w:color w:val="auto"/>
        </w:rPr>
        <w:t xml:space="preserve"> </w:t>
      </w:r>
      <w:r>
        <w:rPr>
          <w:rFonts w:ascii="Arial" w:cs="Arial" w:eastAsia="Arial" w:hAnsi="Arial"/>
          <w:sz w:val="18"/>
          <w:szCs w:val="18"/>
          <w:color w:val="auto"/>
        </w:rPr>
        <w:t>turbine design and engineering, customer support services and power electronics and control systems. We also believe we are the only company in the world that is able to provide transmission planning services, grid interconnection and voltage control systems, as well as superconductor-based distribution systems for power grid operators. This unique scope of supply provides us with greater insight into our customers’ evolving needs and greater cross-selling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Building on these competitive strengths, we plan to focus on driving revenue growth and enhancing our operating results through the objectives defined below.</w:t>
      </w:r>
    </w:p>
    <w:p>
      <w:pPr>
        <w:spacing w:after="0" w:line="170" w:lineRule="exact"/>
        <w:rPr>
          <w:sz w:val="20"/>
          <w:szCs w:val="20"/>
          <w:color w:val="auto"/>
        </w:rPr>
      </w:pPr>
    </w:p>
    <w:p>
      <w:pPr>
        <w:ind w:left="820" w:hanging="326"/>
        <w:spacing w:after="0" w:line="251" w:lineRule="auto"/>
        <w:tabs>
          <w:tab w:leader="none" w:pos="820" w:val="left"/>
        </w:tabs>
        <w:numPr>
          <w:ilvl w:val="0"/>
          <w:numId w:val="8"/>
        </w:numPr>
        <w:rPr>
          <w:rFonts w:ascii="Arial" w:cs="Arial" w:eastAsia="Arial" w:hAnsi="Arial"/>
          <w:sz w:val="21"/>
          <w:szCs w:val="21"/>
          <w:color w:val="auto"/>
        </w:rPr>
      </w:pPr>
      <w:r>
        <w:rPr>
          <w:rFonts w:ascii="Arial" w:cs="Arial" w:eastAsia="Arial" w:hAnsi="Arial"/>
          <w:sz w:val="17"/>
          <w:szCs w:val="17"/>
          <w:i w:val="1"/>
          <w:iCs w:val="1"/>
          <w:color w:val="auto"/>
        </w:rPr>
        <w:t xml:space="preserve">Provide solutions from power generation to delivery. </w:t>
      </w:r>
      <w:r>
        <w:rPr>
          <w:rFonts w:ascii="Arial" w:cs="Arial" w:eastAsia="Arial" w:hAnsi="Arial"/>
          <w:sz w:val="17"/>
          <w:szCs w:val="17"/>
          <w:color w:val="auto"/>
        </w:rPr>
        <w:t>From the generation source to the distribution system, we focus on providing best-in-class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support services, technologies and solutions that make the world’s power supplies smarter, cleaner and more resilient.</w:t>
      </w:r>
    </w:p>
    <w:p>
      <w:pPr>
        <w:spacing w:after="0" w:line="96" w:lineRule="exact"/>
        <w:rPr>
          <w:rFonts w:ascii="Arial" w:cs="Arial" w:eastAsia="Arial" w:hAnsi="Arial"/>
          <w:sz w:val="21"/>
          <w:szCs w:val="21"/>
          <w:color w:val="auto"/>
        </w:rPr>
      </w:pPr>
    </w:p>
    <w:p>
      <w:pPr>
        <w:jc w:val="both"/>
        <w:ind w:left="820" w:hanging="326"/>
        <w:spacing w:after="0" w:line="238" w:lineRule="auto"/>
        <w:tabs>
          <w:tab w:leader="none" w:pos="820"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Focus on “megawatt-scale” power offerings. </w:t>
      </w:r>
      <w:r>
        <w:rPr>
          <w:rFonts w:ascii="Arial" w:cs="Arial" w:eastAsia="Arial" w:hAnsi="Arial"/>
          <w:sz w:val="18"/>
          <w:szCs w:val="18"/>
          <w:color w:val="auto"/>
        </w:rPr>
        <w:t>Our research, product development, and sales efforts focus on megawatt-scale offerings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designs of power electronics for large wind turbine platforms to systems that stabilize power flows, integrate renewable power into the grid and carry power to and from transmission and distribution substations.</w:t>
      </w:r>
    </w:p>
    <w:p>
      <w:pPr>
        <w:spacing w:after="0" w:line="108" w:lineRule="exact"/>
        <w:rPr>
          <w:rFonts w:ascii="Arial" w:cs="Arial" w:eastAsia="Arial" w:hAnsi="Arial"/>
          <w:sz w:val="22"/>
          <w:szCs w:val="22"/>
          <w:color w:val="auto"/>
        </w:rPr>
      </w:pPr>
    </w:p>
    <w:p>
      <w:pPr>
        <w:jc w:val="both"/>
        <w:ind w:left="820" w:hanging="326"/>
        <w:spacing w:after="0" w:line="256" w:lineRule="auto"/>
        <w:tabs>
          <w:tab w:leader="none" w:pos="820" w:val="left"/>
        </w:tabs>
        <w:numPr>
          <w:ilvl w:val="0"/>
          <w:numId w:val="8"/>
        </w:numPr>
        <w:rPr>
          <w:rFonts w:ascii="Arial" w:cs="Arial" w:eastAsia="Arial" w:hAnsi="Arial"/>
          <w:sz w:val="21"/>
          <w:szCs w:val="21"/>
          <w:color w:val="auto"/>
        </w:rPr>
      </w:pPr>
      <w:r>
        <w:rPr>
          <w:rFonts w:ascii="Arial" w:cs="Arial" w:eastAsia="Arial" w:hAnsi="Arial"/>
          <w:sz w:val="17"/>
          <w:szCs w:val="17"/>
          <w:i w:val="1"/>
          <w:iCs w:val="1"/>
          <w:color w:val="auto"/>
        </w:rPr>
        <w:t xml:space="preserve">Product innovation. </w:t>
      </w:r>
      <w:r>
        <w:rPr>
          <w:rFonts w:ascii="Arial" w:cs="Arial" w:eastAsia="Arial" w:hAnsi="Arial"/>
          <w:sz w:val="17"/>
          <w:szCs w:val="17"/>
          <w:color w:val="auto"/>
        </w:rPr>
        <w:t>We have a strong record of developing unique solutions for megawatt-scale power applications and will continue our focus</w:t>
      </w:r>
      <w:r>
        <w:rPr>
          <w:rFonts w:ascii="Arial" w:cs="Arial" w:eastAsia="Arial" w:hAnsi="Arial"/>
          <w:sz w:val="17"/>
          <w:szCs w:val="17"/>
          <w:i w:val="1"/>
          <w:iCs w:val="1"/>
          <w:color w:val="auto"/>
        </w:rPr>
        <w:t xml:space="preserve"> </w:t>
      </w:r>
      <w:r>
        <w:rPr>
          <w:rFonts w:ascii="Arial" w:cs="Arial" w:eastAsia="Arial" w:hAnsi="Arial"/>
          <w:sz w:val="17"/>
          <w:szCs w:val="17"/>
          <w:color w:val="auto"/>
        </w:rPr>
        <w:t>on investing in innovation. Recently, our product development efforts have included our Resilient Electric Grid ("REG") system for the transmission electricity grid, SPS for the U.S. Navy, and D-VAR Volt Var Optimization (“VVO”) for the distribution electricity grid.</w:t>
      </w:r>
    </w:p>
    <w:p>
      <w:pPr>
        <w:spacing w:after="0" w:line="94" w:lineRule="exact"/>
        <w:rPr>
          <w:rFonts w:ascii="Arial" w:cs="Arial" w:eastAsia="Arial" w:hAnsi="Arial"/>
          <w:sz w:val="21"/>
          <w:szCs w:val="21"/>
          <w:color w:val="auto"/>
        </w:rPr>
      </w:pPr>
    </w:p>
    <w:p>
      <w:pPr>
        <w:ind w:left="820" w:right="20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Provide resiliency and protection capabilities. </w:t>
      </w:r>
      <w:r>
        <w:rPr>
          <w:rFonts w:ascii="Arial" w:cs="Arial" w:eastAsia="Arial" w:hAnsi="Arial"/>
          <w:sz w:val="18"/>
          <w:szCs w:val="18"/>
          <w:color w:val="auto"/>
        </w:rPr>
        <w:t>Our products provide resiliency and protection capabilities that support an evolving power grid</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the navy fleet from rising global threats.</w:t>
      </w:r>
    </w:p>
    <w:p>
      <w:pPr>
        <w:spacing w:after="0" w:line="75"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Pursue Emerging Overseas Markets and Serve Key Markets Locally. </w:t>
      </w:r>
      <w:r>
        <w:rPr>
          <w:rFonts w:ascii="Arial" w:cs="Arial" w:eastAsia="Arial" w:hAnsi="Arial"/>
          <w:sz w:val="18"/>
          <w:szCs w:val="18"/>
          <w:color w:val="auto"/>
        </w:rPr>
        <w:t>We focus our sales efforts on overseas markets that are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aggressively in renewable energy and power grid projects. As part of our strategy, we serve our key target markets with local sales and field service personnel, which enables us to understand market dynamics and more effectively anticipate customer needs while also reducing response time. We currently serve target markets such as Australia, Canada, China, India, Korea, Japan, Singapore, South Africa, the United Kingdom, Jordan, Mexico, Spain and the United States.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Grid market overview</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It is widely believed that the electricity grids around the world require modernization through widespread technology upgrades if they are to maintain reliability while solving rapidly evolving challenges such as more frequent severe weather, threats of physical- and cyber-attacks, expanded renewable generation (both large and small scale) and new types of customer loads such as electric vehicles. In fact, a series of reports written by the Electric Power Research Institute ("EPRI") in 2016 emphasize the need for increased resiliency, flexibility and connectivity in electric grids. According to the EPRI reports, the number of geophysical, meteorological, hydrological, and climatological events in the U.S. rose to an all-time high of 247 events in 2010 – up from approximately 200 in 2009 and less than 200 in all years combined from 1980 to 2010. Available data further indicate that the existing U.S. electrical grid has been stressed by U.S. wind power generation increasing from 6 Gigawatts ("GW") in 2003 to approximately 136 GW in 2021, and photovoltaics ("PV") power generation increasing from almost zero in 2003 to approximately 120 GW as of the end of 2021.</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Growth in both wind power and PV is expected to continue with the vast majority of such intermittent generation sources unsupported by energy storage, placing stress on the power grid. Finally, the Edison Electric Institute estimates that the number of electric vehicles on the road in the U.S. is projected to reach 18.7 million in 2030, up from more than 1.0 million at the end of 2018. These facts and the dependence on the safety, security and economy of the electricity grid have prompted broad recognition worldwide of the need to modernize and enhance the reliability and security of power grids.</w:t>
      </w:r>
    </w:p>
    <w:p>
      <w:pPr>
        <w:spacing w:after="0" w:line="18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Biden Administration’s energy plan, if enacted, could positively impact the demand for our new energy power systems solutions. The energy plan intends to reform and extend the tax incentives that generate energy efficiency and clean energy jobs as well as to develop financing mechanisms that</w:t>
      </w:r>
    </w:p>
    <w:p>
      <w:pPr>
        <w:sectPr>
          <w:pgSz w:w="11900" w:h="16969" w:orient="portrait"/>
          <w:cols w:equalWidth="0" w:num="1">
            <w:col w:w="11240"/>
          </w:cols>
          <w:pgMar w:left="320" w:top="580" w:right="339" w:bottom="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leverage private sector dollars to maximize investment in the clean energy revolution. We plan to seek to collaborate with top tier wind turbine manufacturers to provide new wind farm connectivity to the U.S. power grid.</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Biden Administration also intends to spur the installation of millions of solar panels – including utility-scale, rooftop, and community solar systems. Our systems are primarily focused on addressing renewable energy installations for project developers and wind turbine manufacturers. Because solar power is dynamic and intermittently variable in nature, distribution grids will need to enhance their network’s capabilities to accommodate this new resource, while maintaining efficiency and power quality for their customers. Our system offers electric utilities superior power quality, environmental benefits, and significant cost-savings over traditional solutions.</w:t>
      </w:r>
    </w:p>
    <w:p>
      <w:pPr>
        <w:spacing w:after="0" w:line="188"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Biden Administration's energy policy also focuses on the next generation of electric grid transmission and distribution, which has been the heart of our long-term growth strategy. We believe our new energy power systems products are well suited to address this enormous challenge.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Power grid operators worldwide face various challenges, including:</w:t>
      </w:r>
    </w:p>
    <w:p>
      <w:pPr>
        <w:spacing w:after="0" w:line="225" w:lineRule="exact"/>
        <w:rPr>
          <w:sz w:val="20"/>
          <w:szCs w:val="20"/>
          <w:color w:val="auto"/>
        </w:rPr>
      </w:pPr>
    </w:p>
    <w:p>
      <w:pPr>
        <w:jc w:val="both"/>
        <w:ind w:left="820" w:hanging="326"/>
        <w:spacing w:after="0" w:line="263"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Resiliency. </w:t>
      </w:r>
      <w:r>
        <w:rPr>
          <w:rFonts w:ascii="Arial" w:cs="Arial" w:eastAsia="Arial" w:hAnsi="Arial"/>
          <w:sz w:val="18"/>
          <w:szCs w:val="18"/>
          <w:color w:val="auto"/>
        </w:rPr>
        <w:t>As our electricity mix changes with the proliferation of renewables and distributed generation, so does the need to strengthen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grid. New technologies such as the addition of electric vehicles on U.S. roads and urbanization create new challenges for power grid operators.</w:t>
      </w:r>
    </w:p>
    <w:p>
      <w:pPr>
        <w:spacing w:after="0" w:line="89"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Stability</w:t>
      </w:r>
      <w:r>
        <w:rPr>
          <w:rFonts w:ascii="Arial" w:cs="Arial" w:eastAsia="Arial" w:hAnsi="Arial"/>
          <w:sz w:val="18"/>
          <w:szCs w:val="18"/>
          <w:color w:val="auto"/>
        </w:rPr>
        <w:t>. Power grid operators are confronting power quality and stability issues arising from intermittent renewable energy sources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capacity limitations of transmission and overhead distribution lines and underground cables.</w:t>
      </w:r>
    </w:p>
    <w:p>
      <w:pPr>
        <w:spacing w:after="0" w:line="75" w:lineRule="exact"/>
        <w:rPr>
          <w:rFonts w:ascii="Arial" w:cs="Arial" w:eastAsia="Arial" w:hAnsi="Arial"/>
          <w:sz w:val="18"/>
          <w:szCs w:val="18"/>
          <w:color w:val="auto"/>
        </w:rPr>
      </w:pPr>
    </w:p>
    <w:p>
      <w:pPr>
        <w:jc w:val="both"/>
        <w:ind w:left="820" w:hanging="326"/>
        <w:spacing w:after="0" w:line="311"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Reliability</w:t>
      </w:r>
      <w:r>
        <w:rPr>
          <w:rFonts w:ascii="Arial" w:cs="Arial" w:eastAsia="Arial" w:hAnsi="Arial"/>
          <w:sz w:val="16"/>
          <w:szCs w:val="16"/>
          <w:color w:val="auto"/>
        </w:rPr>
        <w:t>. Traditional transmission lines and cables often reach their reliable voltage stability limit well below their thermal threshold. Driving</w:t>
      </w:r>
      <w:r>
        <w:rPr>
          <w:rFonts w:ascii="Arial" w:cs="Arial" w:eastAsia="Arial" w:hAnsi="Arial"/>
          <w:sz w:val="16"/>
          <w:szCs w:val="16"/>
          <w:i w:val="1"/>
          <w:iCs w:val="1"/>
          <w:color w:val="auto"/>
        </w:rPr>
        <w:t xml:space="preserve"> </w:t>
      </w:r>
      <w:r>
        <w:rPr>
          <w:rFonts w:ascii="Arial" w:cs="Arial" w:eastAsia="Arial" w:hAnsi="Arial"/>
          <w:sz w:val="16"/>
          <w:szCs w:val="16"/>
          <w:color w:val="auto"/>
        </w:rPr>
        <w:t>more power through a power grid when some lines and cables are operating above their voltage stability limit during times of peak demand can cause either unacceptably low voltage in the power grid (a brownout) or risk of a sudden, uncontrollable voltage collapse (a blackout).</w:t>
      </w:r>
    </w:p>
    <w:p>
      <w:pPr>
        <w:spacing w:after="0" w:line="54" w:lineRule="exact"/>
        <w:rPr>
          <w:rFonts w:ascii="Arial" w:cs="Arial" w:eastAsia="Arial" w:hAnsi="Arial"/>
          <w:sz w:val="16"/>
          <w:szCs w:val="16"/>
          <w:color w:val="auto"/>
        </w:rPr>
      </w:pPr>
    </w:p>
    <w:p>
      <w:pPr>
        <w:jc w:val="both"/>
        <w:ind w:left="820" w:hanging="326"/>
        <w:spacing w:after="0" w:line="273"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Capacity</w:t>
      </w:r>
      <w:r>
        <w:rPr>
          <w:rFonts w:ascii="Arial" w:cs="Arial" w:eastAsia="Arial" w:hAnsi="Arial"/>
          <w:sz w:val="17"/>
          <w:szCs w:val="17"/>
          <w:color w:val="auto"/>
        </w:rPr>
        <w:t>. The traditional way to enable increases in power grid capacity without losing voltage stability is to install more overhead power lines</w:t>
      </w:r>
      <w:r>
        <w:rPr>
          <w:rFonts w:ascii="Arial" w:cs="Arial" w:eastAsia="Arial" w:hAnsi="Arial"/>
          <w:sz w:val="17"/>
          <w:szCs w:val="17"/>
          <w:i w:val="1"/>
          <w:iCs w:val="1"/>
          <w:color w:val="auto"/>
        </w:rPr>
        <w:t xml:space="preserve"> </w:t>
      </w:r>
      <w:r>
        <w:rPr>
          <w:rFonts w:ascii="Arial" w:cs="Arial" w:eastAsia="Arial" w:hAnsi="Arial"/>
          <w:sz w:val="17"/>
          <w:szCs w:val="17"/>
          <w:color w:val="auto"/>
        </w:rPr>
        <w:t>and underground cables. However, permitting new transmission and distribution lines can take 10 years or more due to various public policy issues, such as environmental, aesthetic, and health concerns. In urban and metropolitan areas, installing additional conventional underground copper cables is similarly challenging, since many existing underground corridors carrying power distribution cables are already filled to their physical capacity and cannot accommodate any additional conventional cables. In addition, adding new conduits requires excavation to expand existing corridors or create new corridors, which are costly and disruptive undertakings.</w:t>
      </w:r>
    </w:p>
    <w:p>
      <w:pPr>
        <w:spacing w:after="0" w:line="83" w:lineRule="exact"/>
        <w:rPr>
          <w:rFonts w:ascii="Arial" w:cs="Arial" w:eastAsia="Arial" w:hAnsi="Arial"/>
          <w:sz w:val="17"/>
          <w:szCs w:val="17"/>
          <w:color w:val="auto"/>
        </w:rPr>
      </w:pPr>
    </w:p>
    <w:p>
      <w:pPr>
        <w:jc w:val="both"/>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Efficiency</w:t>
      </w:r>
      <w:r>
        <w:rPr>
          <w:rFonts w:ascii="Arial" w:cs="Arial" w:eastAsia="Arial" w:hAnsi="Arial"/>
          <w:sz w:val="18"/>
          <w:szCs w:val="18"/>
          <w:color w:val="auto"/>
        </w:rPr>
        <w:t>. Most overhead lines and underground cables use traditional conductors such as copper and aluminum, which lose power due to</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electrical resistance. At transmission voltage, electrical losses average about 7% in the United States and other developed nations, but can exceed 20% in some locations due to the distance of the line, quality of the conductor, and the power grid’s architecture and characteristics, among other factors.</w:t>
      </w:r>
    </w:p>
    <w:p>
      <w:pPr>
        <w:spacing w:after="0" w:line="92" w:lineRule="exact"/>
        <w:rPr>
          <w:rFonts w:ascii="Arial" w:cs="Arial" w:eastAsia="Arial" w:hAnsi="Arial"/>
          <w:sz w:val="18"/>
          <w:szCs w:val="18"/>
          <w:color w:val="auto"/>
        </w:rPr>
      </w:pPr>
    </w:p>
    <w:p>
      <w:pPr>
        <w:jc w:val="both"/>
        <w:ind w:left="820" w:hanging="326"/>
        <w:spacing w:after="0" w:line="286"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Security</w:t>
      </w:r>
      <w:r>
        <w:rPr>
          <w:rFonts w:ascii="Arial" w:cs="Arial" w:eastAsia="Arial" w:hAnsi="Arial"/>
          <w:sz w:val="17"/>
          <w:szCs w:val="17"/>
          <w:color w:val="auto"/>
        </w:rPr>
        <w:t>. Catastrophic equipment failures caused by aging equipment, physical and cyber events, and weather-related disasters can leave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sections of an urban environment without power for hours or days. It can be difficult to recover from extended power outages in urban load centers, worsening situations where the personal safety of residents and the economic health of businesses are threatened.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solutions for the power quality and grid infrastructure market</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address these challenges in the grid market by providing services and solutions designed to increase the power grid’s capacity, resiliency, reliability, security and efficiency. Our solutions orchestrate the rhythm of power on the grid. Our solutions include:</w:t>
      </w:r>
    </w:p>
    <w:p>
      <w:pPr>
        <w:spacing w:after="0" w:line="170" w:lineRule="exact"/>
        <w:rPr>
          <w:sz w:val="20"/>
          <w:szCs w:val="20"/>
          <w:color w:val="auto"/>
        </w:rPr>
      </w:pPr>
    </w:p>
    <w:p>
      <w:pPr>
        <w:jc w:val="both"/>
        <w:ind w:left="820" w:hanging="326"/>
        <w:spacing w:after="0" w:line="288"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D-VAR</w:t>
      </w:r>
      <w:r>
        <w:rPr>
          <w:rFonts w:ascii="Arial" w:cs="Arial" w:eastAsia="Arial" w:hAnsi="Arial"/>
          <w:sz w:val="16"/>
          <w:szCs w:val="16"/>
          <w:color w:val="auto"/>
        </w:rPr>
        <w:t>®</w:t>
      </w:r>
      <w:r>
        <w:rPr>
          <w:rFonts w:ascii="Arial" w:cs="Arial" w:eastAsia="Arial" w:hAnsi="Arial"/>
          <w:sz w:val="16"/>
          <w:szCs w:val="16"/>
          <w:i w:val="1"/>
          <w:iCs w:val="1"/>
          <w:color w:val="auto"/>
        </w:rPr>
        <w:t xml:space="preserve"> Systems</w:t>
      </w:r>
      <w:r>
        <w:rPr>
          <w:rFonts w:ascii="Arial" w:cs="Arial" w:eastAsia="Arial" w:hAnsi="Arial"/>
          <w:sz w:val="16"/>
          <w:szCs w:val="16"/>
          <w:color w:val="auto"/>
        </w:rPr>
        <w:t>. Our D-VAR system consists of power electronics and other static components used for controlling power flow and voltage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AC transmission system. Our D-VAR system aims to increase controllability and power transferability of a network, which allows more effective utilization of existing assets, and reduces the need for new transmission lines and facilities to increase electricity availability. The power that flows through AC networks comprises both real power, measured in watts, and reactive power, measured in Volt Amp Reactive (“VARs”). In simple terms, reactive power is required to support voltage in the power network. D-VAR systems can provide the reactive power needed to stabilize voltage on the grid. These systems also can be used to connect wind farms and solar power plants to the power grid seamlessly as well as to protect certain industrial facilities against voltage swells and sags. Our D-VAR sales process begins with our group of experienced transmission planners working with power grid operators, renewable energy developers, and industrial system operators to identify power grid constraints and determine how our solutions might improve network performance. These services often lead to sales of grid interconnection solutions for wind farms and solar power plants, and power quality systems for utilities and heavy industrial operations.</w:t>
      </w:r>
    </w:p>
    <w:p>
      <w:pPr>
        <w:spacing w:after="0" w:line="73" w:lineRule="exact"/>
        <w:rPr>
          <w:rFonts w:ascii="Arial" w:cs="Arial" w:eastAsia="Arial" w:hAnsi="Arial"/>
          <w:sz w:val="16"/>
          <w:szCs w:val="16"/>
          <w:color w:val="auto"/>
        </w:rPr>
      </w:pPr>
    </w:p>
    <w:p>
      <w:pPr>
        <w:jc w:val="both"/>
        <w:ind w:left="820" w:hanging="326"/>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actiVAR</w:t>
      </w:r>
      <w:r>
        <w:rPr>
          <w:rFonts w:ascii="Arial" w:cs="Arial" w:eastAsia="Arial" w:hAnsi="Arial"/>
          <w:sz w:val="18"/>
          <w:szCs w:val="18"/>
          <w:color w:val="auto"/>
        </w:rPr>
        <w:t>®</w:t>
      </w:r>
      <w:r>
        <w:rPr>
          <w:rFonts w:ascii="Arial" w:cs="Arial" w:eastAsia="Arial" w:hAnsi="Arial"/>
          <w:sz w:val="18"/>
          <w:szCs w:val="18"/>
          <w:i w:val="1"/>
          <w:iCs w:val="1"/>
          <w:color w:val="auto"/>
        </w:rPr>
        <w:t xml:space="preserve"> Systems</w:t>
      </w:r>
      <w:r>
        <w:rPr>
          <w:rFonts w:ascii="Arial" w:cs="Arial" w:eastAsia="Arial" w:hAnsi="Arial"/>
          <w:sz w:val="18"/>
          <w:szCs w:val="18"/>
          <w:color w:val="auto"/>
        </w:rPr>
        <w:t>. Our actiVAR system is a fast-switching medium-voltage reactive compensation solution that utilizes passive, fast-switching,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transient-free switching devices. The actiVAR mitigates voltage sags and reduces large inrush currents associated with starting large medium-voltage motors across-the-line. Large motors require significant amounts of reactive power to start. The flow of VARs across the power system network results in voltage sags which cause power quality issues to nearby utility customers, as well as a reduction in the motors ability to start. Traditional solutions to solve these problems utilize complex and costly adjustable speed drives and synchronous transfer switchgear solutions. The actiVAR replaces these items at a fraction of the cost. The solution is prevalent in the pump and compressors stations utilized in industrial trades. Our actiVAR sales process begins with the engineering and procurement companies during feasibility studies. We identify viable projects for this solution and assist with performance and rating calculations, which eventually lead to the adaption and purchase of the actiVAR solution.</w:t>
      </w:r>
    </w:p>
    <w:p>
      <w:pPr>
        <w:spacing w:after="0" w:line="101" w:lineRule="exact"/>
        <w:rPr>
          <w:rFonts w:ascii="Arial" w:cs="Arial" w:eastAsia="Arial" w:hAnsi="Arial"/>
          <w:sz w:val="18"/>
          <w:szCs w:val="18"/>
          <w:color w:val="auto"/>
        </w:rPr>
      </w:pPr>
    </w:p>
    <w:p>
      <w:pPr>
        <w:jc w:val="both"/>
        <w:ind w:left="820" w:hanging="326"/>
        <w:spacing w:after="0" w:line="273"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armorVAR™ Systems</w:t>
      </w:r>
      <w:r>
        <w:rPr>
          <w:rFonts w:ascii="Arial" w:cs="Arial" w:eastAsia="Arial" w:hAnsi="Arial"/>
          <w:sz w:val="17"/>
          <w:szCs w:val="17"/>
          <w:color w:val="auto"/>
        </w:rPr>
        <w:t>. Our armorVAR system consists of conventionally switched medium-voltage metal-enclosed capacitor banks and</w:t>
      </w:r>
      <w:r>
        <w:rPr>
          <w:rFonts w:ascii="Arial" w:cs="Arial" w:eastAsia="Arial" w:hAnsi="Arial"/>
          <w:sz w:val="17"/>
          <w:szCs w:val="17"/>
          <w:i w:val="1"/>
          <w:iCs w:val="1"/>
          <w:color w:val="auto"/>
        </w:rPr>
        <w:t xml:space="preserve"> </w:t>
      </w:r>
      <w:r>
        <w:rPr>
          <w:rFonts w:ascii="Arial" w:cs="Arial" w:eastAsia="Arial" w:hAnsi="Arial"/>
          <w:sz w:val="17"/>
          <w:szCs w:val="17"/>
          <w:color w:val="auto"/>
        </w:rPr>
        <w:t>harmonic filters banks. These systems are installed for reactive compensation, power factor correction, loss reduction, utility bill savings, and mitigation of common power quality concerns related to power converter-based generation and load devices. They are utilized in all industries including renewables, industrial, utility, commercial, mining, and petro-chemical industries. Our armorVAR systems also support the base VAR requirements of renewable power plants and can include fully integrated D-VAR and D-VAR VVO® solutions to form more advanced hybrid solutions that are more economical and easier to install.</w:t>
      </w:r>
    </w:p>
    <w:p>
      <w:pPr>
        <w:spacing w:after="0" w:line="83" w:lineRule="exact"/>
        <w:rPr>
          <w:rFonts w:ascii="Arial" w:cs="Arial" w:eastAsia="Arial" w:hAnsi="Arial"/>
          <w:sz w:val="17"/>
          <w:szCs w:val="17"/>
          <w:color w:val="auto"/>
        </w:rPr>
      </w:pPr>
    </w:p>
    <w:p>
      <w:pPr>
        <w:jc w:val="both"/>
        <w:ind w:left="820" w:hanging="326"/>
        <w:spacing w:after="0" w:line="25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Transformers and DC Rectifiers. </w:t>
      </w:r>
      <w:r>
        <w:rPr>
          <w:rFonts w:ascii="Arial" w:cs="Arial" w:eastAsia="Arial" w:hAnsi="Arial"/>
          <w:sz w:val="18"/>
          <w:szCs w:val="18"/>
          <w:color w:val="auto"/>
        </w:rPr>
        <w:t>Our custom transformers and rectifiers combine to form</w:t>
      </w:r>
      <w:r>
        <w:rPr>
          <w:rFonts w:ascii="Arial" w:cs="Arial" w:eastAsia="Arial" w:hAnsi="Arial"/>
          <w:sz w:val="18"/>
          <w:szCs w:val="18"/>
          <w:i w:val="1"/>
          <w:iCs w:val="1"/>
          <w:color w:val="auto"/>
        </w:rPr>
        <w:t xml:space="preserve"> power electronic </w:t>
      </w:r>
      <w:r>
        <w:rPr>
          <w:rFonts w:ascii="Arial" w:cs="Arial" w:eastAsia="Arial" w:hAnsi="Arial"/>
          <w:sz w:val="18"/>
          <w:szCs w:val="18"/>
          <w:color w:val="auto"/>
        </w:rPr>
        <w:t xml:space="preserve">systems which consists of heavy-duty industrial rectifier transformers and direct current (DC) rectifiers. These systems are installed to produce DC power for electrolytic, furnace, and special processes. They are utilized in all industries including renewables, industrial, chemical, mining, and petro-chemical industries. Our power electronic systems also support renewable wind/solar power plants and can include fully integrated D-VAR and D-VAR VVO </w:t>
      </w:r>
      <w:r>
        <w:rPr>
          <w:rFonts w:ascii="Arial" w:cs="Arial" w:eastAsia="Arial" w:hAnsi="Arial"/>
          <w:sz w:val="18"/>
          <w:szCs w:val="18"/>
          <w:i w:val="1"/>
          <w:iCs w:val="1"/>
          <w:color w:val="auto"/>
        </w:rPr>
        <w:t>actiVAR</w:t>
      </w:r>
      <w:r>
        <w:rPr>
          <w:rFonts w:ascii="Arial" w:cs="Arial" w:eastAsia="Arial" w:hAnsi="Arial"/>
          <w:sz w:val="18"/>
          <w:szCs w:val="18"/>
          <w:color w:val="auto"/>
        </w:rPr>
        <w:t xml:space="preserve">®, </w:t>
      </w:r>
      <w:r>
        <w:rPr>
          <w:rFonts w:ascii="Arial" w:cs="Arial" w:eastAsia="Arial" w:hAnsi="Arial"/>
          <w:sz w:val="18"/>
          <w:szCs w:val="18"/>
          <w:i w:val="1"/>
          <w:iCs w:val="1"/>
          <w:color w:val="auto"/>
        </w:rPr>
        <w:t>armorVAR</w:t>
      </w:r>
      <w:r>
        <w:rPr>
          <w:rFonts w:ascii="Arial" w:cs="Arial" w:eastAsia="Arial" w:hAnsi="Arial"/>
          <w:sz w:val="18"/>
          <w:szCs w:val="18"/>
          <w:color w:val="auto"/>
        </w:rPr>
        <w:t>™ solutions that are more economical and easier to install to form a complete power solution engineered to the clients specification.</w:t>
      </w:r>
    </w:p>
    <w:p>
      <w:pPr>
        <w:spacing w:after="0" w:line="97" w:lineRule="exact"/>
        <w:rPr>
          <w:rFonts w:ascii="Arial" w:cs="Arial" w:eastAsia="Arial" w:hAnsi="Arial"/>
          <w:sz w:val="18"/>
          <w:szCs w:val="18"/>
          <w:color w:val="auto"/>
        </w:rPr>
      </w:pPr>
    </w:p>
    <w:p>
      <w:pPr>
        <w:jc w:val="both"/>
        <w:ind w:left="820" w:hanging="326"/>
        <w:spacing w:after="0" w:line="291"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D-VAR VVO®. </w:t>
      </w:r>
      <w:r>
        <w:rPr>
          <w:rFonts w:ascii="Arial" w:cs="Arial" w:eastAsia="Arial" w:hAnsi="Arial"/>
          <w:sz w:val="16"/>
          <w:szCs w:val="16"/>
          <w:color w:val="auto"/>
        </w:rPr>
        <w:t>Our D-VAR VVO serves the distribution power grid market. VVO is designed to be a direct-connect 15 kilovolt class power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system for a utility's distribution network to optimally control voltage as distribution networks are increasingly impacted by distributed generation, such as roof top and community solar. We believe VVO has the potential to save utilities time and money by avoiding costly options to increase the reliability and resiliency of the distribution grid and to allow utilities to build a “plug 'n play” network to serve the demands of modern energy consumers. Our VVO target markets are electric distribution grids incorporating distributed generation, including where utility grid modernization attributes such as the following are applicable: mandated efficiency upgrades, mass adoption of rooftop solar, community solar, utility-owned micro-grids, variable load conditions on the distribution grid and voltage regulations alternatives.</w:t>
      </w:r>
    </w:p>
    <w:p>
      <w:pPr>
        <w:spacing w:after="0" w:line="71" w:lineRule="exact"/>
        <w:rPr>
          <w:rFonts w:ascii="Arial" w:cs="Arial" w:eastAsia="Arial" w:hAnsi="Arial"/>
          <w:sz w:val="16"/>
          <w:szCs w:val="16"/>
          <w:color w:val="auto"/>
        </w:rPr>
      </w:pPr>
    </w:p>
    <w:p>
      <w:pPr>
        <w:jc w:val="both"/>
        <w:ind w:left="820" w:hanging="326"/>
        <w:spacing w:after="0" w:line="308"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REG Systems</w:t>
      </w:r>
      <w:r>
        <w:rPr>
          <w:rFonts w:ascii="Arial" w:cs="Arial" w:eastAsia="Arial" w:hAnsi="Arial"/>
          <w:sz w:val="17"/>
          <w:szCs w:val="17"/>
          <w:color w:val="auto"/>
        </w:rPr>
        <w:t>. Our REG system has two primary applications that increase the reliability and the capacity of the urban infrastructure.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focused on reliability improvement, the REG system is used in a “ring” or “loop” configuration to interconnect nearby urban</w:t>
      </w:r>
    </w:p>
    <w:p>
      <w:pPr>
        <w:sectPr>
          <w:pgSz w:w="11900" w:h="16973" w:orient="portrait"/>
          <w:cols w:equalWidth="0" w:num="1">
            <w:col w:w="11240"/>
          </w:cols>
          <w:pgMar w:left="320" w:top="584" w:right="339" w:bottom="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color w:val="auto"/>
        </w:rPr>
        <w:t>substations. This enables urban utilities to share transmission connections and excess station capacity, while controlling the high fault currents that naturally result from such interconnections, providing protection against the adverse effects that follow the loss of critical substation facilities in urban areas. We believe a utility installing our REG system could double or quadruple its reliability (e.g. N-1 to N-2, or greater) by networking substations, which is a solution that utilities would generally not consider when using conventional technology in urban settings due to its disruptive nature and economic disadvantages. For applications focused on capacity improvement, the REG system can be used in a “branch” configuration. In this application, the REG system connects an existing large urban substation with a new, much smaller, and more simplified substation within the city at a lower cost. The smaller urban substation does not need large power transformers and takes up much less space, thereby significantly reducing real estate, construction, and other related costs in the urban area. The key component to the REG system is a breakthrough cable system that combines very high-power handling capacity with fault current limiting characteristics - features that are attributable to our proprietary Amperium HTS wire.</w:t>
      </w:r>
    </w:p>
    <w:p>
      <w:pPr>
        <w:spacing w:after="0" w:line="18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25" w:right="339" w:bottom="1440" w:gutter="0" w:footer="0" w:header="0"/>
        </w:sectPr>
      </w:pPr>
    </w:p>
    <w:bookmarkStart w:id="10" w:name="page11"/>
    <w:bookmarkEnd w:id="10"/>
    <w:p>
      <w:pPr>
        <w:ind w:left="180"/>
        <w:spacing w:after="0"/>
        <w:rPr>
          <w:sz w:val="20"/>
          <w:szCs w:val="20"/>
          <w:color w:val="auto"/>
        </w:rPr>
      </w:pPr>
      <w:r>
        <w:rPr>
          <w:rFonts w:ascii="Arial" w:cs="Arial" w:eastAsia="Arial" w:hAnsi="Arial"/>
          <w:sz w:val="18"/>
          <w:szCs w:val="18"/>
          <w:b w:val="1"/>
          <w:bCs w:val="1"/>
          <w:i w:val="1"/>
          <w:iCs w:val="1"/>
          <w:color w:val="auto"/>
        </w:rPr>
        <w:t>Marine market overview</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Defense spending has increased over the past six years as the U.S. military moves to rebuild and retool for competition against other great powers. In April 2022, the U.S. Navy’s 2022 shipbuilding plan covering government fiscal years 2023 to 2052, calls for a larger modernized, sustainable and lethal Navy.</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September 2021, the Navy’s fleet numbered 294 battle force ships—aircraft carriers, submarines, surface combatants, amphibious ships, combat logistics ships, and some support ships. The Navy’s 2022 shipbuilding plan reflects its 2016 force structure assessment and sets a goal of building and maintaining a fleet of 355 battle force ships.</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Since WWII, the Navy fleet has protected its warfare vessels with copper-based degaussing systems. Our HTS-based degaussing system provides world class mine protection while reducing the weight of the degaussing system by 50-80%, and reducing energy consumption.</w:t>
      </w:r>
    </w:p>
    <w:p>
      <w:pPr>
        <w:spacing w:after="0" w:line="14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believe that our HTS systems are an enabling technology for the Navy in its mission to create an all-electric ship (Super Ship). Our HTS-based SPS degaussing system has been designed into the San Antonio-class amphibious warfare ship platform, with the first system delivered in January 2022 to be deployed on the USS Fort Lauderdale. AMSC and the U.S. Navy have collaborated on AMSC’s advanced HTS-based ship protection systems. The core components of the ship protection system are common and transferable to other applications being targeted for ship implementation.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Navy fleets worldwide face various challenges, including:</w:t>
      </w:r>
    </w:p>
    <w:p>
      <w:pPr>
        <w:spacing w:after="0" w:line="225" w:lineRule="exact"/>
        <w:rPr>
          <w:sz w:val="20"/>
          <w:szCs w:val="20"/>
          <w:color w:val="auto"/>
        </w:rPr>
      </w:pPr>
    </w:p>
    <w:p>
      <w:pPr>
        <w:jc w:val="both"/>
        <w:ind w:left="820" w:hanging="326"/>
        <w:spacing w:after="0" w:line="261" w:lineRule="auto"/>
        <w:tabs>
          <w:tab w:leader="none" w:pos="820" w:val="left"/>
        </w:tabs>
        <w:numPr>
          <w:ilvl w:val="0"/>
          <w:numId w:val="11"/>
        </w:numPr>
        <w:rPr>
          <w:rFonts w:ascii="Arial" w:cs="Arial" w:eastAsia="Arial" w:hAnsi="Arial"/>
          <w:sz w:val="21"/>
          <w:szCs w:val="21"/>
          <w:color w:val="auto"/>
        </w:rPr>
      </w:pPr>
      <w:r>
        <w:rPr>
          <w:rFonts w:ascii="Arial" w:cs="Arial" w:eastAsia="Arial" w:hAnsi="Arial"/>
          <w:sz w:val="17"/>
          <w:szCs w:val="17"/>
          <w:i w:val="1"/>
          <w:iCs w:val="1"/>
          <w:color w:val="auto"/>
        </w:rPr>
        <w:t xml:space="preserve">Power Capacity. </w:t>
      </w:r>
      <w:r>
        <w:rPr>
          <w:rFonts w:ascii="Arial" w:cs="Arial" w:eastAsia="Arial" w:hAnsi="Arial"/>
          <w:sz w:val="17"/>
          <w:szCs w:val="17"/>
          <w:color w:val="auto"/>
        </w:rPr>
        <w:t>Today’s Navy continues to see increased demand for more power applied from both on and off the ship (shore power). This</w:t>
      </w:r>
      <w:r>
        <w:rPr>
          <w:rFonts w:ascii="Arial" w:cs="Arial" w:eastAsia="Arial" w:hAnsi="Arial"/>
          <w:sz w:val="17"/>
          <w:szCs w:val="17"/>
          <w:i w:val="1"/>
          <w:iCs w:val="1"/>
          <w:color w:val="auto"/>
        </w:rPr>
        <w:t xml:space="preserve"> </w:t>
      </w:r>
      <w:r>
        <w:rPr>
          <w:rFonts w:ascii="Arial" w:cs="Arial" w:eastAsia="Arial" w:hAnsi="Arial"/>
          <w:sz w:val="17"/>
          <w:szCs w:val="17"/>
          <w:color w:val="auto"/>
        </w:rPr>
        <w:t>need is driven by many factors, including the continued development of high-power density advanced weapons systems and sensors. Many power dense applications that naval engineers are working on today are already relying on the independent development of improved power distribution systems for its implementation. Free Electron Lasers, High Power Radar, Laser Self Defense Systems, Electro Magnetic Rail Guns and Active Denial (Directed Energy) systems are just a few of the Navy applications that we believe will demand higher capacity and more efficient energy transfer before deployment to a platform in the fleet can be realized.</w:t>
      </w:r>
    </w:p>
    <w:p>
      <w:pPr>
        <w:spacing w:after="0" w:line="92" w:lineRule="exact"/>
        <w:rPr>
          <w:rFonts w:ascii="Arial" w:cs="Arial" w:eastAsia="Arial" w:hAnsi="Arial"/>
          <w:sz w:val="21"/>
          <w:szCs w:val="21"/>
          <w:color w:val="auto"/>
        </w:rPr>
      </w:pPr>
    </w:p>
    <w:p>
      <w:pPr>
        <w:jc w:val="both"/>
        <w:ind w:left="820" w:hanging="326"/>
        <w:spacing w:after="0" w:line="238" w:lineRule="auto"/>
        <w:tabs>
          <w:tab w:leader="none" w:pos="820" w:val="left"/>
        </w:tabs>
        <w:numPr>
          <w:ilvl w:val="0"/>
          <w:numId w:val="11"/>
        </w:numPr>
        <w:rPr>
          <w:rFonts w:ascii="Arial" w:cs="Arial" w:eastAsia="Arial" w:hAnsi="Arial"/>
          <w:sz w:val="22"/>
          <w:szCs w:val="22"/>
          <w:color w:val="auto"/>
        </w:rPr>
      </w:pPr>
      <w:r>
        <w:rPr>
          <w:rFonts w:ascii="Arial" w:cs="Arial" w:eastAsia="Arial" w:hAnsi="Arial"/>
          <w:sz w:val="18"/>
          <w:szCs w:val="18"/>
          <w:i w:val="1"/>
          <w:iCs w:val="1"/>
          <w:color w:val="auto"/>
        </w:rPr>
        <w:t xml:space="preserve">Space and Weight Limitations. </w:t>
      </w:r>
      <w:r>
        <w:rPr>
          <w:rFonts w:ascii="Arial" w:cs="Arial" w:eastAsia="Arial" w:hAnsi="Arial"/>
          <w:sz w:val="18"/>
          <w:szCs w:val="18"/>
          <w:color w:val="auto"/>
        </w:rPr>
        <w:t>Advances in sensors and weapons for modern ship applications are expected to drive the need for new power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be light and compact, for weapons’ power draw to be more efficiently cooled and for easing installation on new ships and enabling upgrades on existing ones.</w:t>
      </w:r>
    </w:p>
    <w:p>
      <w:pPr>
        <w:spacing w:after="0" w:line="108" w:lineRule="exact"/>
        <w:rPr>
          <w:rFonts w:ascii="Arial" w:cs="Arial" w:eastAsia="Arial" w:hAnsi="Arial"/>
          <w:sz w:val="22"/>
          <w:szCs w:val="22"/>
          <w:color w:val="auto"/>
        </w:rPr>
      </w:pPr>
    </w:p>
    <w:p>
      <w:pPr>
        <w:jc w:val="both"/>
        <w:ind w:left="820" w:hanging="326"/>
        <w:spacing w:after="0" w:line="283" w:lineRule="auto"/>
        <w:tabs>
          <w:tab w:leader="none" w:pos="820" w:val="left"/>
        </w:tabs>
        <w:numPr>
          <w:ilvl w:val="0"/>
          <w:numId w:val="11"/>
        </w:numPr>
        <w:rPr>
          <w:rFonts w:ascii="Arial" w:cs="Arial" w:eastAsia="Arial" w:hAnsi="Arial"/>
          <w:sz w:val="19"/>
          <w:szCs w:val="19"/>
          <w:color w:val="auto"/>
        </w:rPr>
      </w:pPr>
      <w:r>
        <w:rPr>
          <w:rFonts w:ascii="Arial" w:cs="Arial" w:eastAsia="Arial" w:hAnsi="Arial"/>
          <w:sz w:val="16"/>
          <w:szCs w:val="16"/>
          <w:i w:val="1"/>
          <w:iCs w:val="1"/>
          <w:color w:val="auto"/>
        </w:rPr>
        <w:t xml:space="preserve">Efficiency. </w:t>
      </w:r>
      <w:r>
        <w:rPr>
          <w:rFonts w:ascii="Arial" w:cs="Arial" w:eastAsia="Arial" w:hAnsi="Arial"/>
          <w:sz w:val="16"/>
          <w:szCs w:val="16"/>
          <w:color w:val="auto"/>
        </w:rPr>
        <w:t>Increased power demands for routine (peace time) operations are straining the conventional copper-based power cable systems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currently used. The copper cables are very heavy, cumbersome, and hard to handle. The weight of the cables requires a coordinated effort between a crew on the pier and a crew on the ship. In many instances, handling these cables requires the use of a crane or a boom truck to extend them from the pier-side power substations up to the ship’s connection point. More efficient, compact, lighter weight power transfer and distribution systems are expected to be required for tomorrow’s Navy to satisfy its future mission requirements.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solutions for the marine market</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Each Navy ship can be thought of as having its own power grid. We provide advanced ship protection systems, power management, and power generation systems that are designed to help fleets increase system efficiencies, enhance warfare capabilities, and boost reliability, performance and security. Our systems support the Navy’s mission to “electrify the fleet”. Our systems allow for the ship to generate a large amount of electrical power and distribute the power through an in-board power system to a propulsion motor by way of a much smaller, lighter, and higher performing HTS cable system, enabling a more advanced, reliable, and secure solution with a smaller footprint. Our solutions include:</w:t>
      </w:r>
    </w:p>
    <w:p>
      <w:pPr>
        <w:spacing w:after="0" w:line="176" w:lineRule="exact"/>
        <w:rPr>
          <w:sz w:val="20"/>
          <w:szCs w:val="20"/>
          <w:color w:val="auto"/>
        </w:rPr>
      </w:pPr>
    </w:p>
    <w:p>
      <w:pPr>
        <w:jc w:val="both"/>
        <w:ind w:left="980" w:hanging="324"/>
        <w:spacing w:after="0" w:line="262" w:lineRule="auto"/>
        <w:tabs>
          <w:tab w:leader="none" w:pos="980" w:val="left"/>
        </w:tabs>
        <w:numPr>
          <w:ilvl w:val="0"/>
          <w:numId w:val="12"/>
        </w:numPr>
        <w:rPr>
          <w:rFonts w:ascii="Arial" w:cs="Arial" w:eastAsia="Arial" w:hAnsi="Arial"/>
          <w:sz w:val="21"/>
          <w:szCs w:val="21"/>
          <w:color w:val="auto"/>
        </w:rPr>
      </w:pPr>
      <w:r>
        <w:rPr>
          <w:rFonts w:ascii="Arial" w:cs="Arial" w:eastAsia="Arial" w:hAnsi="Arial"/>
          <w:sz w:val="17"/>
          <w:szCs w:val="17"/>
          <w:i w:val="1"/>
          <w:iCs w:val="1"/>
          <w:color w:val="auto"/>
        </w:rPr>
        <w:t>Ship Protection Systems</w:t>
      </w:r>
      <w:r>
        <w:rPr>
          <w:rFonts w:ascii="Arial" w:cs="Arial" w:eastAsia="Arial" w:hAnsi="Arial"/>
          <w:sz w:val="17"/>
          <w:szCs w:val="17"/>
          <w:color w:val="auto"/>
        </w:rPr>
        <w:t>. The primary focus of our SPS has been degaussing systems. These systems reduce a naval ship’s magnetic</w:t>
      </w:r>
      <w:r>
        <w:rPr>
          <w:rFonts w:ascii="Arial" w:cs="Arial" w:eastAsia="Arial" w:hAnsi="Arial"/>
          <w:sz w:val="17"/>
          <w:szCs w:val="17"/>
          <w:i w:val="1"/>
          <w:iCs w:val="1"/>
          <w:color w:val="auto"/>
        </w:rPr>
        <w:t xml:space="preserve"> </w:t>
      </w:r>
      <w:r>
        <w:rPr>
          <w:rFonts w:ascii="Arial" w:cs="Arial" w:eastAsia="Arial" w:hAnsi="Arial"/>
          <w:sz w:val="17"/>
          <w:szCs w:val="17"/>
          <w:color w:val="auto"/>
        </w:rPr>
        <w:t>signature, making it much more difficult for a mine to detect and damage a ship. Traditionally made of heavy copper wire, degaussing is required on all U.S. Navy combat ships. Our HTS advanced degaussing system is lightweight, compact, and often outperforms its conventional counterpart. This HTS system is estimated to enable 50-80% reduction in total degaussing system weight, offering significant potential for fuel savings or options to add different payloads. The core components of a degaussing system are transferable to other applications being targeted for ship implementation. Our SPS has been designed into the San Antonio class of amphibious assault vessels, which was first delivered in January 2022 to be deployed on the USS Fort Lauderdale. We are also seeking opportunities to propagate SPS throughout the surface fleet, creating the potential for a relatively long-term revenue stream.</w:t>
      </w:r>
    </w:p>
    <w:p>
      <w:pPr>
        <w:spacing w:after="0" w:line="92" w:lineRule="exact"/>
        <w:rPr>
          <w:rFonts w:ascii="Arial" w:cs="Arial" w:eastAsia="Arial" w:hAnsi="Arial"/>
          <w:sz w:val="21"/>
          <w:szCs w:val="21"/>
          <w:color w:val="auto"/>
        </w:rPr>
      </w:pPr>
    </w:p>
    <w:p>
      <w:pPr>
        <w:jc w:val="both"/>
        <w:ind w:left="980" w:hanging="324"/>
        <w:spacing w:after="0" w:line="282" w:lineRule="auto"/>
        <w:tabs>
          <w:tab w:leader="none" w:pos="980" w:val="left"/>
        </w:tabs>
        <w:numPr>
          <w:ilvl w:val="0"/>
          <w:numId w:val="12"/>
        </w:numPr>
        <w:rPr>
          <w:rFonts w:ascii="Arial" w:cs="Arial" w:eastAsia="Arial" w:hAnsi="Arial"/>
          <w:sz w:val="19"/>
          <w:szCs w:val="19"/>
          <w:color w:val="auto"/>
        </w:rPr>
      </w:pPr>
      <w:r>
        <w:rPr>
          <w:rFonts w:ascii="Arial" w:cs="Arial" w:eastAsia="Arial" w:hAnsi="Arial"/>
          <w:sz w:val="16"/>
          <w:szCs w:val="16"/>
          <w:i w:val="1"/>
          <w:iCs w:val="1"/>
          <w:color w:val="auto"/>
        </w:rPr>
        <w:t>In Board Power Delivery Systems</w:t>
      </w:r>
      <w:r>
        <w:rPr>
          <w:rFonts w:ascii="Arial" w:cs="Arial" w:eastAsia="Arial" w:hAnsi="Arial"/>
          <w:sz w:val="16"/>
          <w:szCs w:val="16"/>
          <w:color w:val="auto"/>
        </w:rPr>
        <w:t>. We are working on expanding HTS technology into the fleet through a variety of applications,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board power flow and management. The Navy continues to see increased demand for more power. This need is driven by many factors, including the continued development of high power density advanced weapons systems and sensors. Many power dense applications that naval engineers are working on today are already relying on improved power distribution systems for their implementation and deployment. Free Electron Lasers, High Power Radar, Laser Self Defense Systems, Electro Magnetic Rail Guns and Active Denial (Directed Energy) systems are just a few of the Navy applications that will demand higher capacity and more efficient energy transfer before deployment to a platform in the fleet can be realized. Continued space and weight limitations for these ship applications are expected to drive the need for new power solutions to be light and compact, easing installation on new ships and enabling upgrades on existing ones. Our HTS power cables enable high density energy transfer at unsurpassed efficiency levels in a compact, lightweight package.</w:t>
      </w:r>
    </w:p>
    <w:p>
      <w:pPr>
        <w:spacing w:after="0" w:line="79" w:lineRule="exact"/>
        <w:rPr>
          <w:rFonts w:ascii="Arial" w:cs="Arial" w:eastAsia="Arial" w:hAnsi="Arial"/>
          <w:sz w:val="19"/>
          <w:szCs w:val="19"/>
          <w:color w:val="auto"/>
        </w:rPr>
      </w:pPr>
    </w:p>
    <w:p>
      <w:pPr>
        <w:jc w:val="both"/>
        <w:ind w:left="980" w:hanging="324"/>
        <w:spacing w:after="0" w:line="243"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Power Generation Systems</w:t>
      </w:r>
      <w:r>
        <w:rPr>
          <w:rFonts w:ascii="Arial" w:cs="Arial" w:eastAsia="Arial" w:hAnsi="Arial"/>
          <w:sz w:val="18"/>
          <w:szCs w:val="18"/>
          <w:color w:val="auto"/>
        </w:rPr>
        <w:t>. We are also working on expanding HTS technology into the fleet through a variety of applications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generation and electric propulsion. The same HTS technology used in SPS and in board power delivery systems when applied to rotating machines results in high power density motors and generators. This enables dramatically more power to be produced in the same machinery space used for conventional systems, which in turn affords the Navy additional power for high energy density weapons without significant structural changes to the ship.</w:t>
      </w:r>
    </w:p>
    <w:p>
      <w:pPr>
        <w:spacing w:after="0" w:line="107" w:lineRule="exact"/>
        <w:rPr>
          <w:rFonts w:ascii="Arial" w:cs="Arial" w:eastAsia="Arial" w:hAnsi="Arial"/>
          <w:sz w:val="22"/>
          <w:szCs w:val="22"/>
          <w:color w:val="auto"/>
        </w:rPr>
      </w:pPr>
    </w:p>
    <w:p>
      <w:pPr>
        <w:jc w:val="both"/>
        <w:ind w:left="980" w:hanging="324"/>
        <w:spacing w:after="0" w:line="241"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18"/>
          <w:szCs w:val="18"/>
          <w:i w:val="1"/>
          <w:iCs w:val="1"/>
          <w:color w:val="auto"/>
        </w:rPr>
        <w:t xml:space="preserve">Propulsion systems. </w:t>
      </w:r>
      <w:r>
        <w:rPr>
          <w:rFonts w:ascii="Arial" w:cs="Arial" w:eastAsia="Arial" w:hAnsi="Arial"/>
          <w:sz w:val="18"/>
          <w:szCs w:val="18"/>
          <w:color w:val="auto"/>
        </w:rPr>
        <w:t>Our development work in power generation systems for the Navy extends to HTS-based electric power propulsion. In</w:t>
      </w:r>
      <w:r>
        <w:rPr>
          <w:rFonts w:ascii="Arial" w:cs="Arial" w:eastAsia="Arial" w:hAnsi="Arial"/>
          <w:sz w:val="18"/>
          <w:szCs w:val="18"/>
          <w:i w:val="1"/>
          <w:iCs w:val="1"/>
          <w:color w:val="auto"/>
        </w:rPr>
        <w:t xml:space="preserve"> </w:t>
      </w:r>
      <w:r>
        <w:rPr>
          <w:rFonts w:ascii="Arial" w:cs="Arial" w:eastAsia="Arial" w:hAnsi="Arial"/>
          <w:sz w:val="18"/>
          <w:szCs w:val="18"/>
          <w:color w:val="auto"/>
        </w:rPr>
        <w:t>board power delivery systems and power generation systems, when applied to high power density motors, enable the transition to electric propulsion. This is expected to make new ships more fuel-efficient. Our technology and systems allow the Navy to free up space for additional war-fighting capability.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11" w:name="page12"/>
    <w:bookmarkEnd w:id="11"/>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Wind market overview</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global energy mix is transitioning towards an increasing amount of renewable energy, including wind power. Wind power is unlimited in supply and its generation is a zero-emission process. Wind power has become a major pillar of power supply throughout the world. Wind power is expected to play a key role in the achievement of the objectives of the Paris Climate Change agreement and the Sustainable Development Goals.</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According to GlobalData, a research firm, approximately 91 GW of wind generation capacity were added worldwide in calendar 2021, as compared to 84 GW in calendar 2020. GlobalData anticipates that more than 85 GW of additional capacity will be added in 2022.</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According to GlobalData, annual wind installations in India for calendar 2021 were 2.9 GW and for calendar 2022 are estimated to be 3.5 GW.</w:t>
      </w:r>
    </w:p>
    <w:p>
      <w:pPr>
        <w:spacing w:after="0" w:line="23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Several factors are expected to drive the future growth in the wind power market, including substantial government incentives and mandates that have been established globally, technological improvements, turbine cost reductions, the development of the offshore wind market, and increasing cost competitiveness with existing power generation technologies. Technological advances, declining turbine production cost and fluctuating prices for some fossil fuels continue to increase the competitiveness of wind versus traditional power generation technologies.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solutions for the wind market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address the challenges of the wind power market by designing and engineering wind turbines, providing extensive support services to wind turbine manufacturers, and manufacturing and selling critical components for wind turbines.</w:t>
      </w:r>
    </w:p>
    <w:p>
      <w:pPr>
        <w:spacing w:after="0" w:line="170" w:lineRule="exact"/>
        <w:rPr>
          <w:sz w:val="20"/>
          <w:szCs w:val="20"/>
          <w:color w:val="auto"/>
        </w:rPr>
      </w:pPr>
    </w:p>
    <w:p>
      <w:pPr>
        <w:jc w:val="both"/>
        <w:ind w:left="820" w:hanging="326"/>
        <w:spacing w:after="0" w:line="241" w:lineRule="auto"/>
        <w:tabs>
          <w:tab w:leader="none" w:pos="82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Electrical Control Systems. </w:t>
      </w:r>
      <w:r>
        <w:rPr>
          <w:rFonts w:ascii="Arial" w:cs="Arial" w:eastAsia="Arial" w:hAnsi="Arial"/>
          <w:sz w:val="18"/>
          <w:szCs w:val="18"/>
          <w:color w:val="auto"/>
        </w:rPr>
        <w:t>We provide full electrical control systems (“ECS”) to manufacturers of wind turbines designed by us. Our ECS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 voltage, control power flows and maximize wind turbine efficiency, among other functions. To date, we have shipped enough core electrical components and complete ECS to power over 16,000 Megawatts (“MW”) of wind power. We believe our ECS represent approximately 5-10% of a wind turbine’s bill of materials.</w:t>
      </w:r>
    </w:p>
    <w:p>
      <w:pPr>
        <w:spacing w:after="0" w:line="107" w:lineRule="exact"/>
        <w:rPr>
          <w:rFonts w:ascii="Arial" w:cs="Arial" w:eastAsia="Arial" w:hAnsi="Arial"/>
          <w:sz w:val="22"/>
          <w:szCs w:val="22"/>
          <w:color w:val="auto"/>
        </w:rPr>
      </w:pPr>
    </w:p>
    <w:p>
      <w:pPr>
        <w:jc w:val="both"/>
        <w:ind w:left="820" w:hanging="326"/>
        <w:spacing w:after="0" w:line="241" w:lineRule="auto"/>
        <w:tabs>
          <w:tab w:leader="none" w:pos="82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 xml:space="preserve">Wind Turbine Designs. </w:t>
      </w:r>
      <w:r>
        <w:rPr>
          <w:rFonts w:ascii="Arial" w:cs="Arial" w:eastAsia="Arial" w:hAnsi="Arial"/>
          <w:sz w:val="18"/>
          <w:szCs w:val="18"/>
          <w:color w:val="auto"/>
        </w:rPr>
        <w:t>We design and develop entire state-of-the-art onshore and offshore wind turbines with power ratings of 2 MWs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for manufacturers who are in the business of producing wind turbines or who plan to enter the business of manufacturing wind turbines. These customers typically pay us licensing fees, and in some cases royalties, for wind turbine designs, and purchase from us the ECS needed to operate the wind turbines.</w:t>
      </w:r>
    </w:p>
    <w:p>
      <w:pPr>
        <w:spacing w:after="0" w:line="107" w:lineRule="exact"/>
        <w:rPr>
          <w:rFonts w:ascii="Arial" w:cs="Arial" w:eastAsia="Arial" w:hAnsi="Arial"/>
          <w:sz w:val="22"/>
          <w:szCs w:val="22"/>
          <w:color w:val="auto"/>
        </w:rPr>
      </w:pPr>
    </w:p>
    <w:p>
      <w:pPr>
        <w:jc w:val="both"/>
        <w:ind w:left="820" w:hanging="326"/>
        <w:spacing w:after="0" w:line="241" w:lineRule="auto"/>
        <w:tabs>
          <w:tab w:leader="none" w:pos="820" w:val="left"/>
        </w:tabs>
        <w:numPr>
          <w:ilvl w:val="0"/>
          <w:numId w:val="13"/>
        </w:numPr>
        <w:rPr>
          <w:rFonts w:ascii="Arial" w:cs="Arial" w:eastAsia="Arial" w:hAnsi="Arial"/>
          <w:sz w:val="22"/>
          <w:szCs w:val="22"/>
          <w:color w:val="auto"/>
        </w:rPr>
      </w:pPr>
      <w:r>
        <w:rPr>
          <w:rFonts w:ascii="Arial" w:cs="Arial" w:eastAsia="Arial" w:hAnsi="Arial"/>
          <w:sz w:val="18"/>
          <w:szCs w:val="18"/>
          <w:i w:val="1"/>
          <w:iCs w:val="1"/>
          <w:color w:val="auto"/>
        </w:rPr>
        <w:t>Customer Support Services</w:t>
      </w:r>
      <w:r>
        <w:rPr>
          <w:rFonts w:ascii="Arial" w:cs="Arial" w:eastAsia="Arial" w:hAnsi="Arial"/>
          <w:sz w:val="18"/>
          <w:szCs w:val="18"/>
          <w:color w:val="auto"/>
        </w:rPr>
        <w:t>. We provide extensive customer support services to wind turbine manufacturers. These services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designs for customers’ wind turbine manufacturing plants to establishing and localizing their supply chains and training their employees on proper wind turbine installation and maintenance. We believe these services enable customers to accelerate their entry into the wind turbine manufacturing market and lower the cost of their wind turbine platforms.</w:t>
      </w:r>
    </w:p>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approach to the wind energy markets allows our customers to use our world-class turbine engineering capabilities while minimizing their research and development costs. These services and our advanced ECS provide our customers with the ability to produce standardized or next-generation wind turbines at scale for their local market or the global market quickly and cost-effectively. Our team of highly experienced engineers works with clients to customize turbine designs specifically tailored to local markets while providing ongoing access to field services support and future technological advances.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serve customers globally through a localized sales and field service presence in our core target markets. We have served over 100 customers in the grid market since our inception, including Commonwealth Edison, YMC Incorporated, the U.S. Navy, SSE plc in the United Kingdom, Consolidated Power Projects (Pty) Ltd in South Africa, Fuji Bridex in Singapore, Vestas Wind Systems A/S in Denmark, and Ergon Energy in Australia. Additionally, our sales personnel in the United States are supported by manufacturers' sales representatives. We have designed wind turbines for and licensed wind turbine designs to wind turbine manufacturing customers including Inox Wind Limited ("Inox") in India and Doosan Heavy Industries (“Doosan”) in Korea.</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fiscal 2021, Fuji Bridex Pte Ltd accounted for 14% of our total revenues. In fiscal 2020, EPC Services Company accounted for 13% of our total revenues. In fiscal 2019, Department of Homeland Security accounted for 10% of our total revenues. No other customer accounted for more than 10% of our total revenues in each of fiscal 2021, 2020, and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Manufacturing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facilities and their primary functions are as follows:</w:t>
      </w:r>
    </w:p>
    <w:p>
      <w:pPr>
        <w:spacing w:after="0" w:line="225" w:lineRule="exact"/>
        <w:rPr>
          <w:sz w:val="20"/>
          <w:szCs w:val="20"/>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Ayer, Massachusetts — Corporate headquarters; Grid segment manufacturing, and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Westminster, Massachusetts — Grid segment manufacturing</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Pewaukee, Wisconsin — Grid segment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Richland, Washington — Grid segment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Klagenfurt, Austria —Wind segment project engineering, customer support and research and development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Queensbury, New York — Grid segment manufacturing</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Milford, Connecticut — Grid segment manufacturing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global footprint also includes sales and/or field service offices in Australia, India, South Korea, the United Kingdom and McLean, VA.</w:t>
      </w:r>
    </w:p>
    <w:p>
      <w:pPr>
        <w:spacing w:after="0" w:line="23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principal raw materials used in the manufacture of the Company’s products are nickel, silver, yttruim, copper, brass, and stainless steel. Major components are insulated gate bi-polar transistors, heatsinks, inductors, enclosures, transformers, and printed circuit boards. Most of these raw materials are available from multiple sources in the United States and world markets. Generally, the Company believes that adequate alternative sources are available for</w:t>
      </w:r>
    </w:p>
    <w:p>
      <w:pPr>
        <w:sectPr>
          <w:pgSz w:w="11900" w:h="16944" w:orient="portrait"/>
          <w:cols w:equalWidth="0" w:num="1">
            <w:col w:w="11240"/>
          </w:cols>
          <w:pgMar w:left="320" w:top="584" w:right="339" w:bottom="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majority of its key raw material and purchased component needs, however, the Company is dependent on a single or limited number of suppliers for certain materials and components.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strategy is to serve customers locally in our core target markets through a direct sales force operating out of sales offices worldwide. In addition, we utilize manufacturers’ sales representatives in the United States and Canada to market our products to utilities in North America. The sales force also leverages business development staff for our various offerings as well as our team of wind turbine engineers and power grid transmission planners, all of whom help to ensure that we have an in-depth understanding of customer needs and provide cost-effective solutions for those needs.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segment our operations into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in various aspects of our technology and product development. We believe that competitive performance in the marketplace depends upon several factors, including technical innovation, range of products and services, product quality and reliability, customer service and technical support.</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from other companies offering FACTS systems similar to our D-VAR products. These include adaptive VAR compensators, Dynamic voltage restorers (“DVRs”), and STATCOMs produced by ABB, Siemens, Mitsubishi, RXHK, NR Electric Co,. and Ingeteam, and battery-based uninterruptable power supply (“UPS”) systems offered by various companies around the world.</w:t>
      </w:r>
    </w:p>
    <w:p>
      <w:pPr>
        <w:spacing w:after="0" w:line="184" w:lineRule="exact"/>
        <w:rPr>
          <w:sz w:val="20"/>
          <w:szCs w:val="20"/>
          <w:color w:val="auto"/>
        </w:rPr>
      </w:pPr>
    </w:p>
    <w:p>
      <w:pPr>
        <w:jc w:val="both"/>
        <w:ind w:firstLine="486"/>
        <w:spacing w:after="0" w:line="212" w:lineRule="auto"/>
        <w:rPr>
          <w:sz w:val="20"/>
          <w:szCs w:val="20"/>
          <w:color w:val="auto"/>
        </w:rPr>
      </w:pPr>
      <w:r>
        <w:rPr>
          <w:rFonts w:ascii="Arial" w:cs="Arial" w:eastAsia="Arial" w:hAnsi="Arial"/>
          <w:sz w:val="18"/>
          <w:szCs w:val="18"/>
          <w:color w:val="auto"/>
        </w:rPr>
        <w:t>We face competition from other companies offering medium-voltage metal-enclosed power capacitor banks and harmonic filter banks for use on electric power systems similar to our NEPSI</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products. These include Controllix PowerSide, Elgin Power Solutions (formally Gilbert), Scott Engineering and QVARx.</w:t>
      </w:r>
    </w:p>
    <w:p>
      <w:pPr>
        <w:spacing w:after="0" w:line="204" w:lineRule="exact"/>
        <w:rPr>
          <w:sz w:val="20"/>
          <w:szCs w:val="20"/>
          <w:color w:val="auto"/>
        </w:rPr>
      </w:pPr>
    </w:p>
    <w:p>
      <w:pPr>
        <w:jc w:val="both"/>
        <w:ind w:firstLine="486"/>
        <w:spacing w:after="0" w:line="207" w:lineRule="auto"/>
        <w:rPr>
          <w:sz w:val="20"/>
          <w:szCs w:val="20"/>
          <w:color w:val="auto"/>
        </w:rPr>
      </w:pPr>
      <w:r>
        <w:rPr>
          <w:rFonts w:ascii="Arial" w:cs="Arial" w:eastAsia="Arial" w:hAnsi="Arial"/>
          <w:sz w:val="17"/>
          <w:szCs w:val="17"/>
          <w:color w:val="auto"/>
        </w:rPr>
        <w:t>We face competition from other companies offering DC power supply systems similar to our Neeltran</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products. These include Scr Controlled Rectifiers, IGBT controlled choppers produced by ABB, Siemens, Friem Dynapower, and Nidec offering systems around the world.</w:t>
      </w:r>
    </w:p>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Ultra EMS, L3 Harris, and Raytheon have the bulk of the copper-based business today.</w:t>
      </w:r>
    </w:p>
    <w:p>
      <w:pPr>
        <w:spacing w:after="0" w:line="18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power module conversion equipment and our electrical control systems are designed and integrated into our wind turbine designs in a way to achieve maximum performance of the turbine. Typically, we are the exclusive provider of the power module conversion equipment and electrical control systems for our wind turbine designs. As a result, our power conversion equipment and electrical control systems see limited competition. Other companies that serve the wind turbine components industry include ABB, Hopewind and Semikron. We also face indirect competition in the wind energy market from global manufacturers of wind turbines, such as Siemens Gamesa, General Electric, Vestas and Suzlon. We face competition for the supply of wind turbine engineering design services from design engineering firms such as Aerodyn and W2E.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An important part of our business strategy is to develop a strong worldwide patent position in all of our technology areas. Our intellectual property (“IP”) portfolio includes both patents we own and patents we license from others. We devote substantial resources to building a strong patent position. Together with the international counterparts of our patents and patent applications, we own an extensive portfolio of patents and patent applications worldwide and have rights through exclusive and non-exclusive licenses. We believe that our current patent position, together with our ability to obtain licenses from other parties to the extent necessary, will provide us with sufficient proprietary rights to develop and sell our products. However, for the reasons described below, we cannot assure you that this will be the case.</w:t>
      </w:r>
    </w:p>
    <w:p>
      <w:pPr>
        <w:spacing w:after="0" w:line="17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contest the scope or validity of those patents, or design around patented processes or products as necessary. If companies holding patents or patent applications that we need to license are competitors, we believe the strength of our patent portfolio will improve our ability to enter into license or cross-license arrangements with these companies. We have already successfully negotiated cross-licenses with several competitors.</w:t>
      </w:r>
    </w:p>
    <w:p>
      <w:pPr>
        <w:spacing w:after="0" w:line="16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Failure to obtain all necessary patents, licenses and other IP rights upon reasonable terms could significantly reduce the scope of our business and have a material adverse effect on our results of operations. We do not now know the likelihood of successfully contesting the scope or validity of patents held by others. In any event, we could incur substantial costs in challenging the patents of other companies. Moreover, third parties could challenge some of our patents or patent applications, and we could incur substantial costs in defending the scope and validity of our own patents or patent applications whether or not a challenge is ultimately successful.</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Grid Patents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received patents and filed a significant number of additional patent applications on power quality and reliability systems, including our D-VAR products. Our products are covered by patents and patents pending worldwide on both our systems and power converter products. The patents and applications focus on inventions that significantly improve product performance and reduce product costs, thereby providing a competitive advantage.</w:t>
      </w:r>
    </w:p>
    <w:p>
      <w:pPr>
        <w:sectPr>
          <w:pgSz w:w="11900" w:h="16838" w:orient="portrait"/>
          <w:cols w:equalWidth="0" w:num="1">
            <w:col w:w="11240"/>
          </w:cols>
          <w:pgMar w:left="320" w:top="580"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 w:name="page16"/>
    <w:bookmarkEnd w:id="15"/>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HTS Patents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Since the discovery of high temperature superconductors in 1986, rapid technical advances have characterized the HTS industry, which in turn have resulted in a large number of patents, including overlapping patents, relating to superconductivity. As a result, the patent situation in the field of HTS technology and products is unusually complex. We have obtained licenses to patents and patent applications covering some HTS materials. We currently have non-exclusive rights to a fundamental U.S. patent (U.S. 8,060,169 B1) covering 2G and similar HTS wire and applications and may elect in the future to allow our rights under this license to lapse. However, we may have to obtain additional licenses to HTS materials.</w:t>
      </w:r>
    </w:p>
    <w:p>
      <w:pPr>
        <w:spacing w:after="0" w:line="1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are focusing on the production of our Amperium wire, and we intend to continue to maintain a leadership position in 2G HTS wire through a combination of patents, licenses and proprietary expertise. In addition to our owned patents and patent applications in 2G HTS wire, we have obtained licenses from (i) MIT for the MOD process we use to deposit the YBCO layer, and (ii) Alcatel-Lucent on the YBCO material.</w:t>
      </w:r>
    </w:p>
    <w:p>
      <w:pPr>
        <w:spacing w:after="0" w:line="1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extensive patents and patents pending covering applications of HTS wire, such as HTS fault current limiting technology including our fault current limiting cable, HTS rotating machines and ship protection systems. Since the superconductor rotating machine and the fault current limiting cable applications are relatively new, we believe that we have a particularly strong patent position in these areas. At present, we believe we have the world’s broadest and most fundamental patent position in superconductor rotating machines technology. We have also filed a series of patents on our concept for our proprietary fault current limiting technology. However, there can be no assurance that that these patents will be sufficient to assure our freedom of action in these fields without further licensing from others. See Part I, Item 1A, “Risk Factors,” for more information regarding the status of the commercialization of our Amperium wire products.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Wind Patents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Under our Windtec™ Solutions brand, we design a variety of wind turbine systems and license these designs, including expertise and patent rights, to third parties for an upfront fee, plus in some cases, future royalties. Our wind turbine designs are covered by patents and patents pending worldwide on wind turbine technology. We have patent coverage on the unique design features of our blade pitch control system, which ensures optimal aerodynamic flow conditions on the turbine blades and improves system efficiency and performance. The pitch system includes a patented SafetyLOCK™ feature that causes the blades to rotate to a feathered position to prevent the rotor blades from spinning during a fault.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We cannot provide any assurance that these measures will prevent the unauthorized disclosure or use of that information. In addition, we cannot provide any assurance that others, including our competitors, will not independently develop the same or comparable technology that is one of our trade secrets.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aim to provide a safe and positive work environment for our employees that emphasizes respect for individuals and high standards of integrity. The health and safety of our employees is of utmost importance to us. Recognizing and respecting our global presence, we strive to maintain a diverse and inclusive workforce everywhere we operate. As of March 31, 2022, we employed 326 persons. None of our employees is represented by a labor union.</w:t>
      </w:r>
    </w:p>
    <w:p>
      <w:pPr>
        <w:spacing w:after="0" w:line="1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our employees are the foundation of our success and that our future growth depends, in part, on our ability to continue to attract and retain the best and brightest talent, including key management professionals, scientists, engineers, researchers, manufacturing personnel, and marketing and sales professionals. In order for us to attract the best talent, we provide a collaborative, inclusive and innovative work environment, competitive compensation, and opportunities for our employees to grow. We are focused on continuing to build an inclusive culture that inspires leadership, encourages innovative thinking, and supports the development and advancement of all.</w:t>
      </w:r>
    </w:p>
    <w:p>
      <w:pPr>
        <w:spacing w:after="0" w:line="18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human capital management objectives include attracting, incentivizing, and integrating our existing and future employees. We strive to attract and retain talented employees by offering competitive compensation and benefits that support their health and financial well-being. We use a combination of fixed and variable pay including base salary, bonuses, performance awards and stock-based compensation. The principal purposes of our equity incentive plans are to attract, retain and motivate employees through the granting of stock-based compensation awards. We offer employees benefits that vary by country and are designed to address local laws and cultures and to be competitive in the marketplace.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internet address is www.amsc.com. We are not including the information contained in our website as part of, or incorporating it by reference into, this document. We make available, free of charge, through our website our annual reports on Form 10-K, quarterly reports on Form 10-Q, current reports on Form 8-K and amendments to these reports filed or furnished pursuant to Section 13(a) or 15(d) of the Exchange Act, as soon as reasonably practicable after we electronically file such materials with, or furnish such materials to, the SEC.</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intend to disclose on our website any amendments to, or waivers of, our Code of Business Conduct and Ethics that are required to be disclosed pursuant to the SEC or the rules of the Nasdaq Stock Market, LLC.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and biographical summaries set forth below contain information with respect to our executive officers as of the date of this filing: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Daniel P. McGahn</w:t>
            </w:r>
          </w:p>
        </w:tc>
        <w:tc>
          <w:tcPr>
            <w:tcW w:w="7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John W. Kosiba, Jr.</w:t>
            </w:r>
          </w:p>
        </w:tc>
        <w:tc>
          <w:tcPr>
            <w:tcW w:w="7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18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i w:val="1"/>
          <w:iCs w:val="1"/>
          <w:color w:val="auto"/>
        </w:rPr>
        <w:t xml:space="preserve">Daniel P. McGahn </w:t>
      </w:r>
      <w:r>
        <w:rPr>
          <w:rFonts w:ascii="Arial" w:cs="Arial" w:eastAsia="Arial" w:hAnsi="Arial"/>
          <w:sz w:val="16"/>
          <w:szCs w:val="16"/>
          <w:color w:val="auto"/>
        </w:rPr>
        <w:t>joined us in December 2006 and has been chief executive officer and a member of our board of directors since June 2011 and</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of the board since July 2018. He previously served as president and chief operating officer from December 2009 to June 2011, as senior vice president and general manager of our AMSC Superconductors business unit from April 2008 until December 2009, as vice president of our AMSC</w:t>
      </w:r>
    </w:p>
    <w:p>
      <w:pPr>
        <w:sectPr>
          <w:pgSz w:w="11900" w:h="16971" w:orient="portrait"/>
          <w:cols w:equalWidth="0" w:num="1">
            <w:col w:w="11240"/>
          </w:cols>
          <w:pgMar w:left="320" w:top="584" w:right="339" w:bottom="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Superconductors business unit from March 2007 to April 2008 and as vice president of strategic planning and development from December 2006 to March 2007. From 2003 to 2006, Mr. McGahn served as executive vice president and chief marketing officer of Konarka Technologies. We believe Mr. McGahn’s qualifications to sit on our board of directors include his extensive experience with our company, including serving as our president since 2009, experience in the power electronics industry and strategic planning expertise gained while working in senior management as a consultant for other public and private companies.</w:t>
      </w:r>
    </w:p>
    <w:p>
      <w:pPr>
        <w:spacing w:after="0" w:line="18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i w:val="1"/>
          <w:iCs w:val="1"/>
          <w:color w:val="auto"/>
        </w:rPr>
        <w:t xml:space="preserve">John W. Kosiba, Jr. </w:t>
      </w:r>
      <w:r>
        <w:rPr>
          <w:rFonts w:ascii="Arial" w:cs="Arial" w:eastAsia="Arial" w:hAnsi="Arial"/>
          <w:sz w:val="17"/>
          <w:szCs w:val="17"/>
          <w:color w:val="auto"/>
        </w:rPr>
        <w:t>has served as senior vice president, chief financial officer and treasurer since April 4, 2017. Mr. Kosiba joined us as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finance operations, in June 2010. He then served as vice president, finance operations, from September 2011 to May 2013. Prior to his appointment as senior vice president and chief financial officer, Mr. Kosiba served most recently as senior vice president, Gridtec solutions and finance operations, where he was responsible for (i) overseeing finance and accounting operations, budgeting, strategic planning and financial planning and analysis for the company, and (ii) managing the day-to-day business operations of our Gridtec solutions’ business segment. From January 2008 until June 2010, Mr. Kosiba served as division director and controller of Amphenol Aerospace, a division of Amphenol Corporation and a manufacturer of interconnect products for the military, commercial aerospace and industrial markets. In this role, Mr. Kosiba was responsible for overseeing finance, accounting, budgeting, audit and all aspects of financial planning and analysis for the division.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tabs>
          <w:tab w:leader="none" w:pos="14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Performance</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which may continue in the future. Our operating results may fluctuate significantly from quarter to quarter and may fall below expectations in any particular fiscal quarter.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were not profitable in fiscal 2021 and have recorded net losses for the last three fiscal years. We may not be profitable in fiscal 2022 or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1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There is currently substantial uncertainty in our business, which makes it difficult to evaluate our business and future prospects. In addition, our operating results historically have been difficult to predict and have at times fluctuated from quarter to quarter due to a variety of factors, many of which are outside of our control. As a result of all of these factors, comparing our operating results on a period-to-period basis may not be meaningful, and you should not rely on our past results as an indication of our future performance. In addition, we have in the past provided, and may continue to, provide public guidance on our expected operating and financial results for future periods. Such guidance is comprised of forward-looking statements subject to the risks and uncertainties described in this Annual Report on Form 10-K and in our other public filings and statements. Our actual results may not always be in line with or exceed the guidance we have provided. If our revenue or operating results fall below the expectations of investors or any securities analysts that follow our company in any period or we do not meet our guidance, the trading price of our common stock would likely decline.</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operating expenses do not always vary directly with revenue and may be difficult to adjust in the short term. As a result, if revenue for a particular quarter is below our expectations, we may not be able to proportionately reduce operating expenses for that quarter, and therefore such a revenue shortfall would have a disproportionate effect on our operating results for that quarter.</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We have a history of negative operating cash flows, and we may require additional financing in the future, which may not be available to us.</w:t>
      </w:r>
    </w:p>
    <w:p>
      <w:pPr>
        <w:spacing w:after="0" w:line="24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March 31, 2022, we had approximately $49.5 million of cash, cash equivalents, marketable securities and restricted cash, and during the fiscal year ended March 31, 2022, we used $19.0 million in cash for our operating activities. We have historically experienced net losses. We plan to continue to closely monitor our expenses and, if required, will further reduce operating costs and capital spending to enhance liquidity.</w:t>
      </w:r>
    </w:p>
    <w:p>
      <w:pPr>
        <w:spacing w:after="0" w:line="16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liquidity is highly dependent on our ability to profitably grow our revenues, control our operating costs, and secure additional financing, if required. We may require additional capital to conduct our business and adequately respond to future business challenges or opportunities, including, but not limited to, the need to develop new products or enhance existing products, maintain or expand research and development projects, collateralize performance bonds or letters of credit, acquire new businesses or assets, and the need to build inventory or to invest other cash to support business growth. In order to raise additional capital, we may offer shares of our common stock or other securities convertible into or exchangeable for our common stock. To the extent that we raise additional capital through the sale of equity or convertible debt securities, the ownership interest of each of our existing stockholders will be diluted, and the terms of these securities may include liquidation or other preferences that adversely affect the rights of our common stockholders.</w:t>
      </w:r>
    </w:p>
    <w:p>
      <w:pPr>
        <w:spacing w:after="0" w:line="192"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In the event that additional liquidity is required, there can be no assurance that such financing would be available or, if available, that such financing could be obtained upon terms acceptable to us, which would have a material adverse effect on our business, financial condition and prospects.</w:t>
      </w:r>
    </w:p>
    <w:p>
      <w:pPr>
        <w:spacing w:after="0" w:line="12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may be required to issue performance bonds or provide letters of credit, which restricts our ability to access any cash used as collateral for the bonds or letters of credit.</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While we have been required to provide performance bonds in the form of surety bonds or other forms of security and letters of credit in the past, the size of the bonds and letters of credit was not material. In recent years, we have entered into contracts that require us to post bonds and to deliver letters of credit of significant magnitude. For example, as part of the agreement with Commonwealth Edison Company (“ComEd”) to install the Resilient Electric Grid (“REG”) system in Chicago, we delivered an irrevocable letter of credit in the amount of $5.0 million to secure certain of our obligations under the Subcontract Agreement and deposited $5.0 million in an escrow account as collateral to secure such letter of credit. Similarly, in many other instances, we have been required to deposit cash in escrow accounts as collateral for these instruments, which is unavailable to us for general use for significant periods of time. Should we be unable to obtain performance bonds or letters of credit in the future, significant future potential revenue could become unavailable to us. Further, should our working capital situation deteriorate, we would not be able to access the restricted cash to meet working capital requirements.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exchange rates could adversely affect our results of operations.</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Currency exchange rate fluctuations could have an adverse effect on our revenues and results of operations, and we could experience losses with respect to hedging activities. In fiscal 2021, 38% of our revenues were recognized from sales outside of the United States. In addition, approximately 8% of our revenues in fiscal 2021 were derived under sales contracts where prices were denominated in the Euro. Unfavorable currency fluctuations could require us to increase prices to foreign customers, which could result in a lesser number of orders, and therefore lower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However, we cannot be certain that our efforts will be adequate to protect us against significant currency fluctuations or that such efforts will not expose us to additional exchange rate risks.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and may lead investors and other users to lose confidence in our financial data.</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Maintaining effective internal control over financial reporting is necessary for us to produce reliable financial statements. In the quarter ended December 31, 2020, we identified a material weakness in our internal control over financial reporting. A material weakness is a deficiency, or a combination of deficiencies, in internal control over financial reporting, such that there is a reasonable possibility that a material misstatement of the financial statements will not be prevented or detected on a timely basis.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Although the material weakness was remediated during the quarter ended March 31, 2021, if additional material weaknesses or significant deficiencies in our internal control over financial reporting are discovered or occur in the future, our consolidated financial statements may contain material misstatements and we could be required to restate our financial results.</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we are unable to maintain effective internal controls, we may not have adequate, accurate or timely financial information, and we may be unable to meet our reporting obligations or comply with the requirements of the SEC or the Sarbanes-Oxley Act of 2002, which could result in the imposition of sanctions, including the inability of registered broker dealers to make a market in our common stock, or an investigation by regulatory authorities. Any such action or other negative results caused by our inability to meet our reporting requirements or to comply with legal and regulatory requirements or by our disclosure of an accounting, reporting or control issue could adversely affect the trading price of our securities and our business. Significant deficiencies or material weaknesses in our internal control over financial reporting could also reduce our ability to obtain financing or could increase the cost of any financing we obtain.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realize all of the sales expected from our backlog of orders and contracts.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cannot assure you that we will realize the revenue we expect to generate from our backlog in the periods we expect to realize such revenue, or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w:t>
      </w:r>
    </w:p>
    <w:p>
      <w:pPr>
        <w:spacing w:after="0" w:line="2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backlog of orders, if realized, may not result in profitable revenue. Backlog represents the value of contracts and purchase orders received for which delivery is expected in the next twelve months. Our customers have the right under some circumstances and with some penalties or consequences to terminate, reduce or defer firm orders that we have in backlog. In addition, our government contracts are subject to the risks described below. If our customers terminate, reduce or defer firm orders, we may be protected from certain costs and losses, but our sales will nevertheless be adversely affected, and we may not generate the revenue we expect.</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we strive to maintain ongoing relationships with our customers, there is an ongoing risk that they may cancel orders or reschedule orders due to fluctuations in their business needs or purchasing budgets.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This has had, and may continue to have, an adverse effect on our ability to grow our revenues. In addition, current and future suppliers may be less likely to grant us credit, resulting in a negative impact on our working capital and cash flows.</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company that contracts with the U.S. government, we are subject to financial audits and other reviews by the U.S. government of our costs and performance, accounting, and general business practices relating to these contracts. Based on the results of these audits, the U.S. government may adjust our contract-related costs and fees. We cannot be certain that adjustments arising from government audits and reviews would not have a material adverse effect on our results of operations.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U.S. government contracts customarily contain other provisions that give the government substantial rights and remedies, many of which are not typically found in commercial contracts, including provisions that allow the government to:</w:t>
      </w:r>
    </w:p>
    <w:p>
      <w:pPr>
        <w:spacing w:after="0" w:line="170" w:lineRule="exact"/>
        <w:rPr>
          <w:sz w:val="20"/>
          <w:szCs w:val="20"/>
          <w:color w:val="auto"/>
        </w:rPr>
      </w:pPr>
    </w:p>
    <w:p>
      <w:pPr>
        <w:ind w:left="500" w:hanging="19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certain rights to the intellectual property that we develop under the contract;</w:t>
      </w:r>
    </w:p>
    <w:p>
      <w:pPr>
        <w:spacing w:after="0" w:line="225" w:lineRule="exact"/>
        <w:rPr>
          <w:rFonts w:ascii="Arial" w:cs="Arial" w:eastAsia="Arial" w:hAnsi="Arial"/>
          <w:sz w:val="18"/>
          <w:szCs w:val="18"/>
          <w:color w:val="auto"/>
        </w:rPr>
      </w:pPr>
    </w:p>
    <w:p>
      <w:pPr>
        <w:ind w:left="500" w:hanging="195"/>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to award future contracts if actual or apparent organizational conflicts of interest are discovered, or to impose organizational conflict mitigation measures as a condition of eligibility for an award;</w:t>
      </w:r>
    </w:p>
    <w:p>
      <w:pPr>
        <w:spacing w:after="0" w:line="170" w:lineRule="exact"/>
        <w:rPr>
          <w:rFonts w:ascii="Arial" w:cs="Arial" w:eastAsia="Arial" w:hAnsi="Arial"/>
          <w:sz w:val="18"/>
          <w:szCs w:val="18"/>
          <w:color w:val="auto"/>
        </w:rPr>
      </w:pPr>
    </w:p>
    <w:p>
      <w:pPr>
        <w:ind w:left="500" w:hanging="195"/>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debar us from doing business with the government or a specific government agency; and</w:t>
      </w:r>
    </w:p>
    <w:p>
      <w:pPr>
        <w:spacing w:after="0" w:line="225" w:lineRule="exact"/>
        <w:rPr>
          <w:rFonts w:ascii="Arial" w:cs="Arial" w:eastAsia="Arial" w:hAnsi="Arial"/>
          <w:sz w:val="18"/>
          <w:szCs w:val="18"/>
          <w:color w:val="auto"/>
        </w:rPr>
      </w:pPr>
    </w:p>
    <w:p>
      <w:pPr>
        <w:ind w:left="500" w:hanging="195"/>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pursue criminal or civil remedies under the False Claims Act, False Statements Act and similar remedy provisions unique to government contracting.</w:t>
      </w:r>
    </w:p>
    <w:p>
      <w:pPr>
        <w:spacing w:after="0" w:line="24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All of our U.S. government contracts, as well as certain of our contracts with third parties that are dependent on U.S. government contracts, can be terminated by the U.S. government for its convenience, including our contract with the Department of Homeland Security (“DHS”) to deploy our REG system in ComEd’s electric grid in Chicago, Illinois (“Project REG”). Termination-for-convenience provisions typically provide only for our recovery of costs incurred or committed, and for settlement of expenses and profit on work completed prior to termination. In addition to the right of the U.S. government to terminate its contracts with us, U.S. government contracts are conditioned upon the continuing approval by the U.S. Congress of the necessary spending to honor such contracts. Congress often appropriates funds for a program on a fiscal 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the U.S. Congress for future fiscal years. In addition, government shutdowns could prevent or delay such contracts from being funded.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362" w:gutter="0" w:footer="0" w:header="0"/>
        </w:sectPr>
      </w:pPr>
    </w:p>
    <w:bookmarkStart w:id="19" w:name="page20"/>
    <w:bookmarkEnd w:id="19"/>
    <w:p>
      <w:pPr>
        <w:jc w:val="both"/>
        <w:ind w:firstLine="486"/>
        <w:spacing w:after="0" w:line="257" w:lineRule="auto"/>
        <w:rPr>
          <w:sz w:val="20"/>
          <w:szCs w:val="20"/>
          <w:color w:val="auto"/>
        </w:rPr>
      </w:pPr>
      <w:r>
        <w:rPr>
          <w:rFonts w:ascii="Arial" w:cs="Arial" w:eastAsia="Arial" w:hAnsi="Arial"/>
          <w:sz w:val="18"/>
          <w:szCs w:val="18"/>
          <w:color w:val="auto"/>
        </w:rPr>
        <w:t>We cannot be certain that our U.S. government contracts, including our contract for Project REG, or our contracts with third parties that relate to projects for the U.S. government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our business, financial condition and results of operations.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Since March 2020, COVID-19 has spread throughout the globe, including in the Commonwealth of Massachusetts where our headquarters are located, and in other areas where we have business operations. In response to the pandemic, we have followed the guidelines of the U.S. Centers for Disease Control and Prevention ("CDC") and applicable state government authorities to protect the health and safety of our employees, their families, our suppliers, our customers and our communities. While these existing measures, and COVID-19 generally, have not materially disrupted our business to date, any future actions necessitated by the COVID-19 pandemic may result in disruption to our business.</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suppliers have experienced some production disruption due to the COVID-19 pandemic and related delays in sourcing materials. As a result, we have been experiencing delays or difficulty sourcing products and some inflationary pressure in our supply chains, which have started to and could continue to negatively affect our business and financial results. Even if we are able to find alternate sources for such products, they may cost more, which could adversely impact our profitability and financial condition.</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Inox’s ability to perform under the supply contract has been and may continue to be hampered by the long-term impacts of the COVID-19 pandemic. Our other customers may become adversely impacted by the long-term impacts of the COVID-19 pandemic. As a result of a deterioration in economic conditions resulting from COVID-19, our customers and potential customers may reduce demand for our products, decrease their spending or reconsider orders, all of which would adversely affect our business, operating results and financial condition.</w:t>
      </w:r>
    </w:p>
    <w:p>
      <w:pPr>
        <w:spacing w:after="0" w:line="1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COVID-19 pandemic continues to evolve. The extent to which the pandemic impacts our business, liquidity, results of operations and financial condition will depend on future developments, which are highly uncertain and cannot be predicted with confidence, including the duration of the pandemic, the location, duration and magnitude of future waves of infection, new mutations of the virus, timing, effectiveness and adoption of vaccines, travel restrictions and social distancing in the United States and other countries, the duration and extent of future business closures or business disruptions and the effectiveness of actions taken to contain and treat the disease. If we, our customers or suppliers experience prolonged shutdowns or other business disruptions, our business, liquidity, results of operations and financial condition and the trading price of our common stock are likely to be materially adversely affected, and our ability to access the capital markets may be limited.</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Changes in U.S. government defense spending could negatively impact our financial position, results of operations, liquidity and overall business.</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several contracts with the U.S. government, including defense-related programs with the U.S. Department of Defense. Changes in U.S. government defense spending for various reasons, including as a result of potential changes in policy positions or priorities that may result from the U.S. presidential and congressional elections, could negatively impact our results of operations, financial condition and liquidity. Our programs are subject to U.S. government policies, budget decisions and appropriation processes which are driven by numerous factors including: (1) geopolitical events; (2) macroeconomic conditions; and (3) the ability of the U.S. government to enact relevant legislation, such as appropriations bills. In recent years, U.S. government appropriations have been affected by larger U.S. government budgetary issues and related legislation. In prior years, the U.S. government has been unable to timely complete its budget process before the end of its fiscal year, resulting in governmental shut-downs or providing only enough funds for U.S. government agencies to continue operating at prior-year levels. Significant changes in U.S. government defense spending or changes in U.S. government priorities, policies and requirements could have a material adverse effect on our results of operations, financial condition and liquidity.</w:t>
      </w:r>
    </w:p>
    <w:p>
      <w:pPr>
        <w:spacing w:after="0" w:line="166"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b w:val="1"/>
          <w:bCs w:val="1"/>
          <w:i w:val="1"/>
          <w:iCs w:val="1"/>
          <w:color w:val="auto"/>
        </w:rPr>
        <w:t>We rely upon third-party suppliers for the components and subassemblies of many of our Grid and Wind products, making us vulnerable to supply shortages and price fluctuations, which could harm our business.</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Many of our components and subassemblies are currently manufactured for us by a limited number of qualified suppliers. Any interruption in the supply of components or subassemblies, or our inability to obtain substitute components or subassemblies from alternate sources at acceptable prices in a timely manner, could impair our ability to meet the demand of our customers, which would have an adverse effect on our business and operating results.</w:t>
      </w:r>
    </w:p>
    <w:p>
      <w:pPr>
        <w:spacing w:after="0" w:line="14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order to minimize costs and time to market, we have and will continue to identify local suppliers that meet our quality standards to produce certain of our subassemblies and components. These efforts may not be successful. In addition, any event that negatively impacts our supply, including, among others, wars, terrorist activities, cyberattacks, natural disasters and outbreaks of infectious disease, including the COVID-19 pandemic, could delay or suspend shipments of products or the release of new products or could result in the delivery of inferior products. Our revenues from the affected products would decline or we could incur losses until such time as we are able to restore our production processes or put in place alternative contract manufacturers or suppliers. Even though we carry business interruption insurance policies, we may suffer losses as a result of business interruptions that exceed the coverage available under our insurance policies.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Uncertainty surrounding our prospects and financial condition may have an adverse effect on our customer and supplier relationships.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relationships with our customers and suppliers are predicated on the belief that we will continue to operate. Our customers, particularly in the utility industry, are generally risk averse and may not enter into sales contracts with us if there is uncertainty regarding our ability to support working capital needs of large-scale projects.</w:t>
      </w:r>
    </w:p>
    <w:p>
      <w:pPr>
        <w:spacing w:after="0" w:line="18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have not manufactured our Amperium wire in commercial quantities, and a failure to manufacture our Amperium wire in commercial quantities at acceptable cost and quality levels would substantially limit our future revenue and profit potential.</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part of our effort to increase manufacturing efficiency, we moved from our former manufacturing facility located in Devens, Massachusetts to our smaller-scale leased facility located in Ayer, Massachusetts. However, we have not yet manufactured our Amperium wire in commercial quantities at our Ayer facility or any other facility. Failure to successfully produce commercial quantities of HTS wire with an acceptable yield and cost could adversely affect our ability to meet customer demand for our products and could increase the cost of production versus projections, both of which could adversely impact our operating and financial results.</w:t>
      </w:r>
    </w:p>
    <w:p>
      <w:pPr>
        <w:sectPr>
          <w:pgSz w:w="11900" w:h="16838" w:orient="portrait"/>
          <w:cols w:equalWidth="0" w:num="1">
            <w:col w:w="11240"/>
          </w:cols>
          <w:pgMar w:left="320" w:top="584" w:right="339" w:bottom="0" w:gutter="0" w:footer="0" w:header="0"/>
        </w:sectPr>
      </w:pPr>
    </w:p>
    <w:bookmarkStart w:id="20" w:name="page21"/>
    <w:bookmarkEnd w:id="20"/>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success is dependent upon attracting and retaining qualified personnel and our inability to do so could significantly damage our business and prospects.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spacing w:after="0" w:line="19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a U.S. federal government contractor, we are requiring all U.S. based employees at sites that service or support our U.S. federal government contracts to be fully vaccinated. In addition, vaccine mandates have been and may be announced in jurisdictions in which our businesses operate. Our implementation of these requirements may result in attrition, including attrition of key personnel and skilled labor, and difficulty securing future labor needs, which could have a material adverse effect on our business,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A significant portion of our Wind segment revenues are derived from a single customer. If this customer’s business is negatively affected, it could adversely impact our business.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Revenues from Inox are supported by a supply contract to purchase, and a license to make, use and supply, wind turbine ECS. Inox has been active in the new central and state government auction regime in India and has a cumulative order book of over 1.4 GW. However, we cannot predict if and how successful Inox will be in executing on these orders or in obtaining new orders under the new central and state auction regime. In addition, Inox’s ability to perform under the supply contract has been and may continue to be hampered by the prolonged impacts of the COVID-19 pandemic. Any failure by Inox to succeed under this regime, or any delay in Inox’s ability to deliver its wind turbines, could result in fewer ECS shipments to Inox. Inox has historically failed to post letters of credit and take delivery of forecasted ECS quantities.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in addressing the wind energy market is dependent on the manufacturers that license our designs.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Because an important element of our strategy for addressing the wind energy market involves the license of our wind turbine designs to manufacturers of those systems, the financial benefits to us from our products for the wind energy market are dependent on the success of these manufacturers in selling wind turbines based on our designs. We may not be able to enter into marketing or distribution arrangements with third parties on financially acceptable terms, or at all, and third parties may not be successful in selling our products or applications incorporating our products.</w:t>
      </w:r>
    </w:p>
    <w:p>
      <w:pPr>
        <w:spacing w:after="0" w:line="15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be adversely impacted in the event of a failure or security breach of our or any critical third parties' information technology infrastructure and networks.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rely upon the capacity, reliability, and security of information technology hardware and software infrastructure and networks (collectively, "IT Systems"), and our ability to expand and update IT Systems in response to our changing needs. We manage certain IT Systems but also rely on IT Systems and various products and services provided by critical third-party vendors and others in the supply chain. We also collect and store sensitive and confidential information in the ordinary course of our business. Any failure to manage, expand, or update our IT Systems or any disruption to or failure in the operation of such IT Systems could harm our business. In addition, the costs associated with updating and securing our IT Systems are likely to increase as such security measures become more complex, which may harm our operating results and financial condition.</w:t>
      </w:r>
    </w:p>
    <w:p>
      <w:pPr>
        <w:spacing w:after="0" w:line="17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Despite our implementation of security measures, all IT Systems are vulnerable to disruption, compromise and damage from computer viruses, bugs or vulnerabilities, natural disasters, human error, intentional conduct, cyberattacks, unauthorized access and other similar disruptions. Our business is also subject to break-ins, sabotage, and intentional acts of vandalism by third parties as well as employees. Our business activities in China may increase our risks to such breaches. We cannot guarantee the security or protection of any IT Systems. Threat actors, such as ransomware groups, are becoming increasingly sophisticated in using techniques that are designed to circumvent controls, evade detection and remove or obfuscate forensic evidence. As a result, we and our third-party providers may be unable to timely or effectively anticipate, detect, or recover from cyberattacks in the future. We also face increased cyber risk due to the number of our and others' employees who are (and may continue to be) working remotely.</w:t>
      </w:r>
    </w:p>
    <w:p>
      <w:pPr>
        <w:spacing w:after="0" w:line="16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Any system failure, accident, security breach, or cyberattack could result in disruptions to our operations, loss, damage or compromise to our data, or inappropriate disclosure of confidential information. Any or all of the foregoing could harm our reputation, result in substantial remediation and compliance costs, lead to lost revenues and business opportunities, lead to regulatory investigations and litigation, and related fines or penalties, increase our insurance premiums and have other materially adverse effects on our business and results. Our insurance policies may not cover, or may be insufficient to cover, any or all costs, losses and liability associated with any cyberattacks, security incidents or other disruptions.</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Failure to comply with evolving data privacy and data protection laws and regulations or to otherwise protect personal data, may adversely impact our business and financial results.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subject to many rapidly evolving privacy and data protection laws and regulations in the United States, Europe and around the world. This requires us to operate in a complex environment where there are significant constraints on how we can process personal data across our business. For example, European General Data Protection Regulation (the “GDPR”), which became effective in May 2018, has established stringent data protection requirements for companies doing business in or handling personal data of individuals in the European Union. The GDPR imposes obligations on data controllers and processors including the requirement to maintain a record of their data processing and to implement policies and procedures as part of their mandated privacy governance framework. Breaches of the GDPR could result in substantial fines, which in some cases could be up to four percent of our worldwide revenue. In addition, a breach of the GDPR or other data privacy or data protection laws or regulations could result in regulatory investigations, reputational damage, orders to cease/change our use of data, enforcement notices, as well potential civil claims including class action type litigation. There is a risk that we may be subject to fines and penalties, litigation and reputational harm if we fail to properly process or protect the data or privacy of third parties or comply with the GDPR, and other laws that have been enacted, such as the California Consumer Privacy Act and other applicable data privacy and data protection regimes.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Many of our revenue opportunities are dependent upon subcontractors and other business collaborators.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Many of the revenue opportunities for our business involve projects, such as the installation of superconductor cables in power grids and electrical system hardware in wind turbines, in which we collaborate with other companies, including suppliers of cryogenic systems, manufacturers of electric power cables and manufacturers of wind turbines. As a result, most of our current and planned revenue-generating projects involve business collaborators on whose performance our revenue is dependent. If these business collaborators fail to deliver their products or perform their obligations on a timely basis or fail to generate sufficient demand for the systems they manufacture, our revenue from the project may be delayed or decreased, and we may not be successful in selling our products.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ind w:left="14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financial performance could be harmed.</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future financial performance and success are dependent in large part upon our ability to implement our business strategy successfully. Our business strategy envisions several initiatives, including driving revenue growth and enhancing operating results by increasing customer adoption of our products by targeting high-growth segments with commercial and system-level products. We may not be able to implement our business strategy successfully or achieve the anticipated benefits of our business plan. If we are unable to do so, our long-term growth and profitability may be adversely affected. Even if we are able to implement some or all of the initiatives of our business plan successfully, our operating results may not improve to the extent we anticipate, or at all.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ability to implement our business strategy could also be affected by a number of factors beyond our control, such as increased competition, legal developments, government regulation, general economic conditions, including as a result of the COVID-19 pandemic and the ongoing war between Russia and Ukraine, or increased operating costs or expenses.</w:t>
      </w:r>
    </w:p>
    <w:p>
      <w:pPr>
        <w:spacing w:after="0" w:line="184"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incur warranty expenses and may damage our market reputation and prevent us from achieving increased sales and market share.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Consistent with customary practice in our industry, we guarantee our products and/or services to be free from defects in material and workmanship under normal use and service. We generally provide a one- to three-year warranty on our products, commencing upon installation. A provision is recorded upon revenue recognition to cost of revenues for estimated warranty expense based on historical experience. The possibility of future product failures or issues related to services we provided could cause us to incur substantial expenses to repair or replace defective products or re-perform such services potentially in excess of our reserves. Furthermore, widespread product failures may damage our market reputation and reduce our market share and cause sales to decline.</w:t>
      </w:r>
    </w:p>
    <w:p>
      <w:pPr>
        <w:spacing w:after="0" w:line="192" w:lineRule="exact"/>
        <w:rPr>
          <w:sz w:val="20"/>
          <w:szCs w:val="20"/>
          <w:color w:val="auto"/>
        </w:rPr>
      </w:pPr>
    </w:p>
    <w:p>
      <w:pPr>
        <w:ind w:left="140" w:right="140"/>
        <w:spacing w:after="0" w:line="381" w:lineRule="auto"/>
        <w:rPr>
          <w:sz w:val="20"/>
          <w:szCs w:val="20"/>
          <w:color w:val="auto"/>
        </w:rPr>
      </w:pPr>
      <w:r>
        <w:rPr>
          <w:rFonts w:ascii="Arial" w:cs="Arial" w:eastAsia="Arial" w:hAnsi="Arial"/>
          <w:sz w:val="15"/>
          <w:szCs w:val="15"/>
          <w:b w:val="1"/>
          <w:bCs w:val="1"/>
          <w:i w:val="1"/>
          <w:iCs w:val="1"/>
          <w:color w:val="auto"/>
        </w:rPr>
        <w:t>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w:t>
      </w:r>
    </w:p>
    <w:p>
      <w:pPr>
        <w:spacing w:after="0" w:line="10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U.S. Foreign Corrupt Practices Act and similar worldwide anti-bribery laws in non-U.S. jurisdictions generally prohibit companies and their intermediaries from making improper payments to non-U.S. officials for the purpose of obtaining or retaining business. Many of our customers outside of the United States are, either directly or indirectly, related to governmental entities and are therefore subject to such anti-bribery laws. Our policies mandate compliance with these anti-bribery laws. We operate in many parts of the world that have experienced governmental corruption to some degree, and in certain circumstances strict compliance with anti-bribery laws may conflict with local customs and practices. Our internal control policies and procedures may not always protect us from reckless or criminal acts committed by our employees or agents. Violations of these laws, or allegations of such violations, could disrupt our business and result in a material adverse effect on our business, results of operations and financial condition.</w:t>
      </w:r>
    </w:p>
    <w:p>
      <w:pPr>
        <w:spacing w:after="0" w:line="166"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b w:val="1"/>
          <w:bCs w:val="1"/>
          <w:i w:val="1"/>
          <w:iCs w:val="1"/>
          <w:color w:val="auto"/>
        </w:rPr>
        <w:t>We have had limited success marketing and selling our superconductor products and system-level solutions, and our failure to more broadly market and sell our products and solutions could lower our revenue and cash flow.</w:t>
      </w:r>
    </w:p>
    <w:p>
      <w:pPr>
        <w:spacing w:after="0" w:line="1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To date, we have had limited success marketing and selling our superconductor products and system-level solutions. Once our products and solutions are ready for widespread commercial use, we will have to develop a marketing and sales organization that will effectively demonstrate the advantages of our products over more traditional products, competing superconductor products and other technologies. We may not be successful in our efforts to market this technology and we may not be able to establish an effective sales and distribution organization.</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decide to enter into arrangements with third parties for the marketing or distribution of our products, including arrangements in which our products, such as Amperium wire, are included as a component of a larger product, such as a power cable system. By entering into marketing and sales alliances, the financial benefits to us of commercializing our products will be dependent on the efforts of others.</w:t>
      </w:r>
    </w:p>
    <w:p>
      <w:pPr>
        <w:spacing w:after="0" w:line="184" w:lineRule="exact"/>
        <w:rPr>
          <w:sz w:val="20"/>
          <w:szCs w:val="20"/>
          <w:color w:val="auto"/>
        </w:rPr>
      </w:pPr>
    </w:p>
    <w:p>
      <w:pPr>
        <w:ind w:left="140" w:right="120"/>
        <w:spacing w:after="0" w:line="277" w:lineRule="auto"/>
        <w:rPr>
          <w:sz w:val="20"/>
          <w:szCs w:val="20"/>
          <w:color w:val="auto"/>
        </w:rPr>
      </w:pPr>
      <w:r>
        <w:rPr>
          <w:rFonts w:ascii="Arial" w:cs="Arial" w:eastAsia="Arial" w:hAnsi="Arial"/>
          <w:sz w:val="18"/>
          <w:szCs w:val="18"/>
          <w:b w:val="1"/>
          <w:bCs w:val="1"/>
          <w:i w:val="1"/>
          <w:iCs w:val="1"/>
          <w:color w:val="auto"/>
        </w:rPr>
        <w:t>We may acquire additional complementary businesses or technologies, which may require us to incur substantial costs for which we may never realize the anticipated benefits.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recent acquisitions have required substantial integration and management efforts. As a result of any additional acquisition we pursue, management’s attention and resources may be further diverted from our other businesses. An acquisition may also involve the payment of a significant purchase price, which could reduce our cash position or dilute our stockholders and require significant transaction-related expenses.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Achieving the benefits of any acquisition involves additional risks, including:</w:t>
      </w:r>
    </w:p>
    <w:p>
      <w:pPr>
        <w:spacing w:after="0" w:line="225" w:lineRule="exact"/>
        <w:rPr>
          <w:sz w:val="20"/>
          <w:szCs w:val="20"/>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management or other key personnel that may harm relationships with the acquired business’s customers and employees;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liabilities of the acquired business;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and employees’ attention from other business matters as a result of the integration process;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mistaken assumptions about volumes, revenues and costs associated with the acquired business, including synergies;</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 used to finance the acquisition; and</w:t>
      </w:r>
    </w:p>
    <w:p>
      <w:pPr>
        <w:spacing w:after="0" w:line="225" w:lineRule="exact"/>
        <w:rPr>
          <w:rFonts w:ascii="Arial" w:cs="Arial" w:eastAsia="Arial" w:hAnsi="Arial"/>
          <w:sz w:val="18"/>
          <w:szCs w:val="18"/>
          <w:color w:val="auto"/>
        </w:rPr>
      </w:pPr>
    </w:p>
    <w:p>
      <w:pPr>
        <w:ind w:left="480" w:hanging="189"/>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difficulties operating in new product areas, with new customers, or in new geographic areas.</w:t>
      </w:r>
    </w:p>
    <w:p>
      <w:pPr>
        <w:sectPr>
          <w:pgSz w:w="11900" w:h="16838" w:orient="portrait"/>
          <w:cols w:equalWidth="0" w:num="1">
            <w:col w:w="11240"/>
          </w:cols>
          <w:pgMar w:left="320" w:top="584" w:right="339" w:bottom="0" w:gutter="0" w:footer="0" w:header="0"/>
        </w:sectPr>
      </w:pPr>
    </w:p>
    <w:bookmarkStart w:id="23" w:name="page24"/>
    <w:bookmarkEnd w:id="23"/>
    <w:p>
      <w:pPr>
        <w:jc w:val="both"/>
        <w:ind w:firstLine="486"/>
        <w:spacing w:after="0" w:line="263" w:lineRule="auto"/>
        <w:rPr>
          <w:sz w:val="20"/>
          <w:szCs w:val="20"/>
          <w:color w:val="auto"/>
        </w:rPr>
      </w:pPr>
      <w:r>
        <w:rPr>
          <w:rFonts w:ascii="Arial" w:cs="Arial" w:eastAsia="Arial" w:hAnsi="Arial"/>
          <w:sz w:val="18"/>
          <w:szCs w:val="18"/>
          <w:color w:val="auto"/>
        </w:rPr>
        <w:t>We cannot provide any assurance that we will realize any of the anticipated benefits of any acquisition, including our NEPSI Acquisition completed in October 2020, and Neeltran, Inc. acquisition completed in May 2021, and if we fail to realize these anticipated benefits, our operating performance could suffer.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Our Markets</w:t>
      </w:r>
    </w:p>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Our success depends upon the commercial adoption of the REG system, which is currently limited, and a widespread commercial market for our products may not develop.</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date, there has been no widespread commercial use of the REG system. It is uncertain whether a robust commercial market for those new and unproven products will ever develop.</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we believe in-grid demonstrations of REG systems are necessary to convince utilities and power grid operators of the benefits of this technology. Even if a project is funded, completion of projects can be delayed as a result of other factors. It is possible that the market demands we currently anticipate for our REG system will not develop and that they will never achieve widespread commercial acceptance. In such event, we would not be able to implement our strategy, and our results of operations could be reduced or eliminated. Even if a commercial market for our REG systems were to develop, commercial terms requested by utilities and power grid operators relating to bonding requirements, limitations of liability, warranty periods, or other contractual provisions, may not be acceptable to us, which could impede our ability to enter into contractual arrangements for the sale of our REG system.</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Adverse changes in domestic and global economic conditions could adversely affect our operating results.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have become increasingly subject to the risks arising from adverse changes in domestic and global economic conditions. In recent years, particularly in fiscal 2020 and 2021 as a result of the COVID-19 pandemic and in late fiscal 2021 and 2022 as a result of the war between Russia and Ukraine, financial markets have been volatile and the state of both the domestic and global economies has been uncertain. Adverse credit conditions in the future could have a negative impact on our ability to execute on future strategic activities. In addition, if credit is difficult to obtain in the future, some customers may delay or reduce purchases. Similarly, inflationary pressures have increased and may increase our costs or force us to increase prices for our products. In particular, in fiscal 2021, we experienced substantial inflationary pressure in our supply chain. These events have resulted or could in the future result in higher product costs, reductions in sales of our products, longer sales cycles, slower adoption of new technologies, increased accounts receivable and inventory write-offs and increased price competition. Any of these events would likely harm our business, results of operations and financial condition.</w:t>
      </w:r>
    </w:p>
    <w:p>
      <w:pPr>
        <w:spacing w:after="0" w:line="165"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w:t>
      </w:r>
    </w:p>
    <w:p>
      <w:pPr>
        <w:spacing w:after="0" w:line="18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operations in India. Our financial performance depends upon our ability to carry on our operations and sell our products in markets such as India, as well as other emerging markets around the world. We are, and will continue to be, subject to financial, political, economic and business risks in connection with our operations and sales in these emerging markets. In addition to the business risks inherent in developing and servicing these markets, economic conditions may be more volatile, legal and regulatory systems less developed and predictable, and the possibility of various types of adverse governmental action more pronounced in emerging markets. In addition, inflation, fluctuations in currency and interest rates, competitive factors, civil unrest, public health emergencies and labor problems could affect our revenues, expenses and results of operations. Our operations could also be adversely affected by acts of war, terrorism or the threat of any of these events as well as government actions such as controls on imports, exports and prices, tariffs, new forms of taxation, or changes in fiscal regimes and increased government regulation in the countries in which we operate or service customers. Unexpected or uncontrollable events or circumstances in any of these markets could have a material adverse effect on our financial results and cash flows.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financial performance could be affected by the political and social environment in India. In recent years, India has experienced civil unrest and terrorism and has been involved in conflicts with neighboring countries. The potential for hostilities between India and Pakistan has been high in light of tensions related to recent terrorist incidents in India and the unsettled nature of the regional geopolitical environment, including events in and related to Afghanistan and Iraq.</w:t>
      </w:r>
    </w:p>
    <w:p>
      <w:pPr>
        <w:spacing w:after="0" w:line="18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With respect to our activities in all emerging markets, we may be impacted by issues with managing foreign sales operations, including long payment cycles, potential difficulties in accounts receivable collection and, especially from significant customers, fluctuations in the timing and amount of orders. The adverse effect of any of these issues on our business could be increased due to the concentration of our business with a small number of customers. Operations in foreign countries also expose us to risks relating to difficulties in enforcing our proprietary rights, currency fluctuations and adverse or deteriorating economic conditions. For example, the ongoing war between Ukraine and Russia has caused increased raw material costs and material shortages for, and, adversely impacted, certain of our suppliers. If we experience problems with obtaining registrations, compliance with foreign country or applicable U.S. laws, or if we experience difficulties in payments or intellectual property matters in foreign jurisdictions, or if significant political, economic or regulatory changes occur, our results of operations would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b w:val="1"/>
          <w:bCs w:val="1"/>
          <w:i w:val="1"/>
          <w:iCs w:val="1"/>
          <w:color w:val="auto"/>
        </w:rPr>
        <w:t>Our products face competition, which could limit our ability to acquire or retain customers.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markets for our products are competitive and many of our competitors have substantially greater financial resources and research and development, manufacturing and marketing capabilities than we do. In addition, as our target markets develop, other large industrial companies may enter these fields and compete with us.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from other companies offering FACTS systems similar to our D-VAR products. These include adaptive VAR compensators, Dynamic voltage restorers (“DVRs”), and STATCOMs produced by ABB, Siemens, Mitsubishi, RXHK, NR Electric Co,. and Ingeteam, and battery-based uninterruptible power supply (“UPS”) systems offered by various companies around the world.</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face competition from other companies offering medium-voltage metal-enclosed power capacitor banks and harmonic filter banks for use on electric power systems similar to our NEPSI products. These include Controllix PowerSide, Elgin Power Solutions (formally Gilbert), Scott Engineering and QVARx.</w:t>
      </w:r>
    </w:p>
    <w:p>
      <w:pPr>
        <w:spacing w:after="0" w:line="184"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face competition from other companies offering DC power supply systems similar to our Neeltran products. These include Scr Controlled Rectifiers, IGBT controlled choppers produced by ABB, Siemens, Friem Dynapower, and Nidec offering systems around the world.</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our HTS-based REG product, we are offering a new approach that provides alternatives to utilities for power system design. Therefore, we believe that we compete with traditional approaches such as new full-sized substations, overhead and underground transmission, and urban power transformers.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we are currently the only company that can offer HTS-based SPS products that have been fully qualified for use aboard U.S. Navy surface combatants. Therefore, the primary competition for our SPS products is currently coming from defense contractors that provide the copper-based systems that our lighter, more efficient HTS versions have been developed to replace. Companies such as L3 Harris, Raytheon, and Ultra have the bulk of the copper-based business today.</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the HTS wire, superconductor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8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With respect to our Wind business, other companies that serve the wind turbine components industry include ABB, Hopewind, and Semikron. We also face indirect competition in the wind energy market from global manufacturers of wind turbines, such as Siemens Gamesa, General Electric, Vestas and Suzlon. We face competition for the supply of wind turbine engineering design services from design engineering firms such as Aerovide and W2E.</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international operations are subject to risks that we do not face in the United States, which could have an adverse effect on our operating results.</w:t>
      </w:r>
    </w:p>
    <w:p>
      <w:pPr>
        <w:spacing w:after="0" w:line="26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recent years, a substantial amount of our consolidated revenues were recognized from customers outside of the United States. For example, 38% of our revenues in fiscal 2021 and 41% of our revenues in fiscal 2020 were recognized from sales outside the United States. We also manufacture certain of our products and purchase a portion of our raw materials and components from suppliers in other foreign countries. The ongoing war between Ukraine and Russia has caused increased raw material costs and material shortages and, as a result, adversely impacted certain of our suppliers. Our international operations are subject to a variety of risks that we do not face in the United States, including:</w:t>
      </w:r>
    </w:p>
    <w:p>
      <w:pPr>
        <w:spacing w:after="0" w:line="176"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longer payment cycles for sales in foreign countries and difficulties in collecting accounts receivable;</w:t>
      </w:r>
    </w:p>
    <w:p>
      <w:pPr>
        <w:spacing w:after="0" w:line="13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our foreign offices and the increased travel, infrastructure and legal compliance costs associated with multiple international locations;</w:t>
      </w:r>
    </w:p>
    <w:p>
      <w:pPr>
        <w:spacing w:after="0" w:line="75"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withholding taxes or other taxes on our foreign income and repatriated cash, and tariffs or other restrictions on foreign trade or investment, including export duties and quotas, trade and employment restrictions;</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or unexpected adverse changes in, foreign laws or regulatory requirements;</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exposure to foreign currency exchange rate risk;</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 and</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 pandemics, political unrest, war or acts of terrorism.</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Trade tensions between the U.S. and China, the U.S. and Russia, as well as those between the U.S. and Canada, Mexico and other countries have been escalating in recent years. For example, in March 2022, the U.S. and other countries imposed broad-based sanction programs against Russia, Belarus, the Crimea Region of Ukraine, the so-called Donetsk People's Republic and the so-called Luhansk People's Republic. The situation is rapidly evolving as a result of the war in Ukraine, and the United States,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cannot predict whether the United States or any other country will impose new quotas, tariffs, taxes or other trade barriers upon the importation or exportation of our products or gauge the effect that new barriers would have on our financial position or results of operations. These new tariffs or any additional tariffs or other trade barriers may cause our costs to increase, our products to be less competitive, and our business, results of operations and financial position to be materially adversely affected.</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overall success in international markets depends, in part, upon our ability to succeed in differing legal, regulatory, economic, social and political conditions. We may not be successful in developing and implementing policies and strategies that will be effective in managing these risks in each country where we do business or conduct operations. Our failure to manage these risks successfully could harm our international operations and reduce our international sales, thus lowering our total revenue and increasing losses.</w:t>
      </w:r>
    </w:p>
    <w:p>
      <w:pPr>
        <w:sectPr>
          <w:pgSz w:w="11900" w:h="16838" w:orient="portrait"/>
          <w:cols w:equalWidth="0" w:num="1">
            <w:col w:w="11240"/>
          </w:cols>
          <w:pgMar w:left="320" w:top="584" w:right="339" w:bottom="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Growth of the wind energy market depends largely on the availability and size of government subsidies, economic incentives and legislative programs designed to support the growth of wind energy.</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At present, the cost of wind energy exceeds the cost of conventional power generation in many locations around the world. Various governments have used different policy initiatives to encourage or accelerate the development and adoption of wind energy and other renewable energy sources. Renewable energy policies are in place in the European Union, certain countries in Asia, including India, China, Japan and South Korea, and many of the states in Australia and the United States. Examples of government sponsored financial incentives include capital cost rebates, feed-in tariffs, tax credits, net metering and other incentives to end-users, distributors, system integrators and manufacturers of wind energy products to promote the use of wind energy and to reduce dependency on other forms of energy. In the United States, various legislation and regulations designed to support the growth of wind energy have been implemented or proposed by the federal government, such as the Production Tax Credit for Renewable Energy (“PTC”) and the Clean Power Plan. Governments, including the U.S. government, may decide to reduce or eliminate these economic incentives, or curtail legislative programs supportive of wind energy technologies for political, financial or other reasons. Any reductions in, or eliminations of, government subsidies, economic incentives or favorable legislative programs before the wind energy industry reaches a sufficient scale to be cost-effective in a non-subsidized marketplace could reduce demand for our products and adversely affect our business prospects and results of operations.</w:t>
      </w:r>
    </w:p>
    <w:p>
      <w:pPr>
        <w:spacing w:after="0" w:line="17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Lower prices for other fuel sources may reduce the demand for wind energy development, which could have a material adverse effect on our ability to grow our Wind business.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wind energy market is affected by the price and availability of other fuels, including nuclear, coal, natural gas and oil, as well as other sources of renewable energy. To the extent renewable energy, particularly wind energy, becomes less cost-competitive due to reduced government targets, increases in the cost of wind energy, as a result of new regulations, and incentives that favor alternative renewable energy, cheaper alternatives or otherwise, demand for wind energy and other forms of renewable energy could decrease. Slow growth or a long-term reduction in the demand for renewable energy could have a material adverse effect on our ability to grow our Wind business.</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and inaction could harm our reputation and adversely impact our financial results.</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There has been increasing public focus by investors, customers, environmental activists, the media and governmental and nongovernmental organizations on a variety of environmental, social and other sustainability matters. If we are not effective in addressing environmental, social and other sustainability matters affecting our business, or setting and meeting relevant sustainability goals, our reputation and financial results may suffer. We may experience increased costs in order to execute upon any sustainability goals and measure achievement of those goals, which could have an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Technologies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contractors, consultants, outside scientific collaborators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or independently develop processes or products that are similar or identical to our trade secrets and courts outside the United States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patents may not provide meaningful protection for our technology, which could result in us losing some or all of our market position.</w:t>
      </w:r>
    </w:p>
    <w:p>
      <w:pPr>
        <w:spacing w:after="0" w:line="24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124"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15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15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Moreover, we could incur substantial litigation costs in defending the validity of or enforcing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Many of our superconductor products are in the early stages of commercialization, while others are still under development. There are a number of technological challenges that we must successfully address to complete our development and commercialization efforts for superconductor products. We will also need to improve the performance and reduce the cost of our Amperium wire to expand the number of commercial applications for it. We may be unable to meet such technological challenges or to sufficiently improve the performance and reduce the costs of our Amperium wire. Delays in development, as a result of technological challenges or other factors, may result in the introduction or commercial acceptance of our superconductor products later than anticipated.</w:t>
      </w:r>
    </w:p>
    <w:p>
      <w:pPr>
        <w:sectPr>
          <w:pgSz w:w="11900" w:h="16838" w:orient="portrait"/>
          <w:cols w:equalWidth="0" w:num="1">
            <w:col w:w="11240"/>
          </w:cols>
          <w:pgMar w:left="320" w:top="368" w:right="339" w:bottom="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jc w:val="both"/>
        <w:ind w:right="20" w:firstLine="162"/>
        <w:spacing w:after="0" w:line="308" w:lineRule="auto"/>
        <w:rPr>
          <w:sz w:val="20"/>
          <w:szCs w:val="20"/>
          <w:color w:val="auto"/>
        </w:rPr>
      </w:pPr>
      <w:r>
        <w:rPr>
          <w:rFonts w:ascii="Arial" w:cs="Arial" w:eastAsia="Arial" w:hAnsi="Arial"/>
          <w:sz w:val="17"/>
          <w:szCs w:val="17"/>
          <w:b w:val="1"/>
          <w:bCs w:val="1"/>
          <w:i w:val="1"/>
          <w:iCs w:val="1"/>
          <w:color w:val="auto"/>
        </w:rPr>
        <w:t>Third parties have or may acquire patents that cover the materials, processes and technologies we use or may use in the future to manufacture our Amperium products, and our success depends on our ability to license such patents or other proprietary rights.</w:t>
      </w:r>
    </w:p>
    <w:p>
      <w:pPr>
        <w:spacing w:after="0" w:line="14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expect that some or all of the HTS materials, processes and technologies we use in designing and manufacturing our products are or will become covered by patents issued to other parties, including our competitors. The owners of these patents may refuse to grant licenses to us, or may be willing to do so only on terms that we find commercially unreasonable. If we are unable to obtain these licenses, we may have to contest the validity or scope of those patents or re-engineer our products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16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technology and products could infringe intellectual property rights of others, which may require costly litigation and, if we are not successful, could cause us to pay substantial damages and disrupt our business.</w:t>
      </w:r>
    </w:p>
    <w:p>
      <w:pPr>
        <w:spacing w:after="0" w:line="17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recent years, there has been significant litigation involving patents and other intellectual property rights in many technology-related industries. There may be patents or patent applications in the United States or other countries that are pertinent to our products or business of which we are not aware. The technology that we incorporate into and use to develop and manufacture our current and future products, including the technologies we license, may be subject to claims that they infringe the patents or proprietary rights of others. The success of our business will also depend on our ability to develop new technologies without infringing or misappropriating the proprietary rights of others. Third parties may allege that we infringe patents, trademarks or copyrights, or that we misappropriated trade secrets. These allegations could result in significant costs and diversion of the attention of management. If a successful claim were brought against us and we are found to infringe a third party’s intellectual property rights, we could be required to pay substantial damages, including treble damages if it is determined that we have willfully infringed such rights, or be enjoined from using the technology deemed to be infringing, or using, making or selling products deemed to be infringing. If we have supplied infringing products or technology to third parties, we may be obligated to indemnify these third parties for damages they may be required to pay to the patent holder and for any losses they may sustain as a result of the infringement. In addition, we may need to attempt to license the intellectual property right from such third party or spend time and money to design around or avoid the intellectual property. Any such license may not be available on reasonable terms, or at all. An adverse determination may subject us to significant liabilities and/or disrupt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common stock has experienced, and may continue to experience, market price and volume fluctuations, which may prevent our stockholders from selling our common stock at a profit and could lead to costly litigation against us that could divert our management’s attention.</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market price of our common stock has historically experienced volatility and may continue to experience such volatility in the future. Factors such as our financial performance, liquidity requirements, technological achievements by us and our competitors, the establishment of development or strategic relationships with other companies, strategic acquisitions, new customer orders and contracts, and our introduction of commercial products may have a significant effect on the market price of our common stock. The stock market in general, and the stock of high technology companies, in particular, have, in recent years, experienced extreme price and volume fluctuations, which are often unrelated to the performance or condition of particular companies, such as in connection with the ongoing coronavirus outbreak. Such broad market fluctuations have and could continue to adversely affect the market price of our common stock. Due to these factors, the price of our common stock may decline, and investors may be unable to resell their shares of our common stock for a profit. Following periods of volatility in the market price of a particular company’s securities, securities class action litigation has often been brought against that company. In the past, we have been subject to a number of class action lawsuits which were filed against us on behalf of certain purchasers of our common stock. If we become subject to additional litigation of this kind in the future, it could result in additional litigation costs, a damages award against us and the further diversion of our management’s attention.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Unfavorable results of legal proceedings could have a material adverse effect on our business, operating results and financial condition.</w:t>
      </w:r>
    </w:p>
    <w:p>
      <w:pPr>
        <w:spacing w:after="0" w:line="23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we may become subject to legal proceedings and claims that arise in or outside the ordinary course of business. Results of legal proceedings cannot be predicted with certainty. Our insurance coverage may be insufficient, our assets may be insufficient to cover any amounts that exceed our insurance coverage, and we may have to pay damage awards or otherwise may enter into settlement arrangements in connection with such claims. Any such payments or settlement arrangements in legal proceedings could have a material adverse effect on our business, operating results or financial condition. Regardless of merit, legal proceedings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to finance our operations.</w:t>
      </w:r>
    </w:p>
    <w:p>
      <w:pPr>
        <w:spacing w:after="0" w:line="17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spacing w:after="0"/>
        <w:tabs>
          <w:tab w:leader="none" w:pos="14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corporate headquarters and Grid manufacturing operations are located in a leased 88,000-square-foot facility in Ayer, Massachusetts. Additionally, we have Grid manufacturing operations located in a leased 77,500 square-foot facility in Westminster, Massachusetts as well as an owned 35,000 square-foot facility in Queensbury, New York and an owned 85,000 square-foot facility in New Milford, Connecticut.</w:t>
      </w:r>
    </w:p>
    <w:p>
      <w:pPr>
        <w:spacing w:after="0" w:line="1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also occupy leased facilities located in Australia, Austria, India, Wisconsin, Washington and the United Kingdom with a combined total of approximately 72,000 square feet of space. These leases have varying expiration dates through November 2027 which can generally be terminated at our request after a six-month advance notice. These locations focus primarily on research and development, sales and/or field service and do not have significant leases or physical presence. We believe all of these facilities are well-maintained and suitable for their intended uses.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regarding our significant properties, as of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24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Supporting</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Square footage</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Owned/Leased</w:t>
            </w:r>
          </w:p>
        </w:tc>
      </w:tr>
      <w:tr>
        <w:trPr>
          <w:trHeight w:val="210"/>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Ayer, Massachusetts</w:t>
            </w:r>
          </w:p>
        </w:tc>
        <w:tc>
          <w:tcPr>
            <w:tcW w:w="3880" w:type="dxa"/>
            <w:vAlign w:val="bottom"/>
          </w:tcPr>
          <w:p>
            <w:pPr>
              <w:ind w:left="320"/>
              <w:spacing w:after="0"/>
              <w:rPr>
                <w:sz w:val="20"/>
                <w:szCs w:val="20"/>
                <w:color w:val="auto"/>
              </w:rPr>
            </w:pPr>
            <w:r>
              <w:rPr>
                <w:rFonts w:ascii="Arial" w:cs="Arial" w:eastAsia="Arial" w:hAnsi="Arial"/>
                <w:sz w:val="18"/>
                <w:szCs w:val="18"/>
                <w:color w:val="auto"/>
              </w:rPr>
              <w:t>Corporate &amp; Grid Segment</w:t>
            </w:r>
          </w:p>
        </w:tc>
        <w:tc>
          <w:tcPr>
            <w:tcW w:w="1560" w:type="dxa"/>
            <w:vAlign w:val="bottom"/>
            <w:gridSpan w:val="2"/>
          </w:tcPr>
          <w:p>
            <w:pPr>
              <w:jc w:val="right"/>
              <w:ind w:right="330"/>
              <w:spacing w:after="0"/>
              <w:rPr>
                <w:sz w:val="20"/>
                <w:szCs w:val="20"/>
                <w:color w:val="auto"/>
              </w:rPr>
            </w:pPr>
            <w:r>
              <w:rPr>
                <w:rFonts w:ascii="Arial" w:cs="Arial" w:eastAsia="Arial" w:hAnsi="Arial"/>
                <w:sz w:val="18"/>
                <w:szCs w:val="18"/>
                <w:color w:val="auto"/>
              </w:rPr>
              <w:t>88,000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Westminster, Massachusetts</w:t>
            </w: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Grid Segment</w:t>
            </w:r>
          </w:p>
        </w:tc>
        <w:tc>
          <w:tcPr>
            <w:tcW w:w="15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77,500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Queensbury, New York</w:t>
            </w:r>
          </w:p>
        </w:tc>
        <w:tc>
          <w:tcPr>
            <w:tcW w:w="3880" w:type="dxa"/>
            <w:vAlign w:val="bottom"/>
          </w:tcPr>
          <w:p>
            <w:pPr>
              <w:ind w:left="320"/>
              <w:spacing w:after="0"/>
              <w:rPr>
                <w:sz w:val="20"/>
                <w:szCs w:val="20"/>
                <w:color w:val="auto"/>
              </w:rPr>
            </w:pPr>
            <w:r>
              <w:rPr>
                <w:rFonts w:ascii="Arial" w:cs="Arial" w:eastAsia="Arial" w:hAnsi="Arial"/>
                <w:sz w:val="18"/>
                <w:szCs w:val="18"/>
                <w:color w:val="auto"/>
              </w:rPr>
              <w:t>Grid Segment</w:t>
            </w:r>
          </w:p>
        </w:tc>
        <w:tc>
          <w:tcPr>
            <w:tcW w:w="1560" w:type="dxa"/>
            <w:vAlign w:val="bottom"/>
            <w:gridSpan w:val="2"/>
          </w:tcPr>
          <w:p>
            <w:pPr>
              <w:jc w:val="right"/>
              <w:ind w:right="33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Milford, Connecticut</w:t>
            </w:r>
          </w:p>
        </w:tc>
        <w:tc>
          <w:tcPr>
            <w:tcW w:w="3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Grid Segment</w:t>
            </w:r>
          </w:p>
        </w:tc>
        <w:tc>
          <w:tcPr>
            <w:tcW w:w="15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85,000</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r>
      <w:tr>
        <w:trPr>
          <w:trHeight w:val="432"/>
        </w:trPr>
        <w:tc>
          <w:tcPr>
            <w:tcW w:w="12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8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LEGAL PROCEEDINGS</w:t>
            </w: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party to any material legal proceedings.</w:t>
      </w:r>
    </w:p>
    <w:p>
      <w:pPr>
        <w:spacing w:after="0" w:line="200" w:lineRule="exact"/>
        <w:rPr>
          <w:sz w:val="20"/>
          <w:szCs w:val="20"/>
          <w:color w:val="auto"/>
        </w:rPr>
      </w:pPr>
    </w:p>
    <w:p>
      <w:pPr>
        <w:spacing w:after="0" w:line="237"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460" w:hanging="1457"/>
        <w:spacing w:after="0" w:line="277" w:lineRule="auto"/>
        <w:tabs>
          <w:tab w:leader="none" w:pos="14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has been listed on the Nasdaq Global Select Market under the symbol “AMSC” since 1991.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number of holders of record of our common stock on May 27, 2022 was 182.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graph compares the cumulative total stockholder return on our common stock from March 31, 2017 to March 31, 2022 with the cumulative total return of (i) the Nasdaq Composite Index and (ii) the Nasdaq Electrical Components &amp; Equipment Index.</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graph assumes the investment of $100.00 on March 31, 2017 in our common stock, the Nasdaq Composite Index and the Nasdaq Electrical Components &amp; Equipment Index, and assumes any dividends are reinvested. Measurement points are March 31, 2017; March 31, 2018; March 31, 2019; March 31, 2020; March 31, 2021; and March 31, 2022.</w:t>
      </w:r>
    </w:p>
    <w:p>
      <w:pPr>
        <w:spacing w:after="0" w:line="396" w:lineRule="exact"/>
        <w:rPr>
          <w:sz w:val="20"/>
          <w:szCs w:val="20"/>
          <w:color w:val="auto"/>
        </w:rPr>
      </w:pPr>
    </w:p>
    <w:p>
      <w:pPr>
        <w:jc w:val="center"/>
        <w:ind w:left="440" w:right="2140"/>
        <w:spacing w:after="0" w:line="266" w:lineRule="auto"/>
        <w:rPr>
          <w:sz w:val="20"/>
          <w:szCs w:val="20"/>
          <w:color w:val="auto"/>
        </w:rPr>
      </w:pPr>
      <w:r>
        <w:rPr>
          <w:rFonts w:ascii="Arial" w:cs="Arial" w:eastAsia="Arial" w:hAnsi="Arial"/>
          <w:sz w:val="18"/>
          <w:szCs w:val="18"/>
          <w:b w:val="1"/>
          <w:bCs w:val="1"/>
          <w:color w:val="auto"/>
        </w:rPr>
        <w:t>COMPARISON OF 5 YEAR CUMULATIVE TOTAL RETURN Among American Superconductor Corporation, the Nasdaq Composite Index and the Nasdaq Electrical Components &amp;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2940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vMerge w:val="restart"/>
          </w:tcPr>
          <w:p>
            <w:pPr>
              <w:spacing w:after="0"/>
              <w:rPr>
                <w:sz w:val="20"/>
                <w:szCs w:val="20"/>
                <w:color w:val="auto"/>
              </w:rPr>
            </w:pPr>
            <w:r>
              <w:rPr>
                <w:rFonts w:ascii="Arial" w:cs="Arial" w:eastAsia="Arial" w:hAnsi="Arial"/>
                <w:sz w:val="18"/>
                <w:szCs w:val="18"/>
                <w:b w:val="1"/>
                <w:bCs w:val="1"/>
                <w:color w:val="auto"/>
                <w:w w:val="99"/>
              </w:rPr>
              <w:t>Company/Index</w:t>
            </w: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7"/>
              </w:rPr>
              <w:t>Fiscal year ended March 31,</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60" w:type="dxa"/>
            <w:vAlign w:val="bottom"/>
            <w:tcBorders>
              <w:bottom w:val="single" w:sz="8" w:color="auto"/>
            </w:tcBorders>
            <w:vMerge w:val="continue"/>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American Superconductor Corporation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84.84</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187.46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276.38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Nasdaq Composite Index</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120.76</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133.60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134.52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233.26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252.05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Electrical Components &amp; Equipment Index</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111.71</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110.99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648"/>
        </w:trPr>
        <w:tc>
          <w:tcPr>
            <w:tcW w:w="13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26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RESERVED</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3" w:name="page34"/>
    <w:bookmarkEnd w:id="33"/>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9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in-board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84" w:lineRule="exact"/>
        <w:rPr>
          <w:sz w:val="20"/>
          <w:szCs w:val="20"/>
          <w:color w:val="auto"/>
        </w:rPr>
      </w:pPr>
    </w:p>
    <w:p>
      <w:pPr>
        <w:jc w:val="both"/>
        <w:ind w:left="520" w:hanging="229"/>
        <w:spacing w:after="0" w:line="296"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our Gridtec™ Solutions, our Grid business segment enables electric utilities and renewable energy project developers to connect,</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66" w:lineRule="exact"/>
        <w:rPr>
          <w:rFonts w:ascii="Arial" w:cs="Arial" w:eastAsia="Arial" w:hAnsi="Arial"/>
          <w:sz w:val="16"/>
          <w:szCs w:val="16"/>
          <w:color w:val="auto"/>
        </w:rPr>
      </w:pPr>
    </w:p>
    <w:p>
      <w:pPr>
        <w:jc w:val="both"/>
        <w:ind w:left="520" w:hanging="229"/>
        <w:spacing w:after="0" w:line="25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Wind. </w:t>
      </w:r>
      <w:r>
        <w:rPr>
          <w:rFonts w:ascii="Arial" w:cs="Arial" w:eastAsia="Arial" w:hAnsi="Arial"/>
          <w:sz w:val="18"/>
          <w:szCs w:val="18"/>
          <w:color w:val="auto"/>
        </w:rPr>
        <w:t>Through our Windtec™ Solutions, our Wind business segment enables manufacturers to field wind turbines with exceptional power output,</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MW and higher. We provide a broad range of power electronics and software-based control systems that are highly integrated and designed for optimized performance, efficiency, and grid compatibility.</w:t>
      </w:r>
    </w:p>
    <w:p>
      <w:pPr>
        <w:spacing w:after="0" w:line="93"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beginning on April 1 of that same year. For example, fiscal 2021 refers to the fiscal year beginning on April 1, 2021. Other fiscal years follow similarly.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4" w:name="page35"/>
    <w:bookmarkEnd w:id="34"/>
    <w:p>
      <w:pPr>
        <w:jc w:val="both"/>
        <w:ind w:firstLine="486"/>
        <w:spacing w:after="0" w:line="268"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resilient electric grid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agreed, among other things, to provide the REG system and to supervise ComEd’s installation of the REG system in Chicago. As part of our separate cost sharing arrangement with DHS under the Prime Contract, we received funding provided by DHS in connection with the Subcontract Agreement of approximately $10.0 million, which represents the total amount of revenue we recognized over the term of the Subcontract Agreement and includes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successfully integrated the REG system on Com Ed's electric power grid and the REG system became fully operational in August 2021.</w:t>
      </w:r>
    </w:p>
    <w:p>
      <w:pPr>
        <w:spacing w:after="0" w:line="18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On October 1, 2020, we entered into a Stock Purchase Agreement (the “Stock Purchase Agreement”) with the selling stockholders named therein. Pursuant to the terms of the Stock Purchase Agreement and concurrently with entering into such agreement, we acquired all of the issued and outstanding</w:t>
      </w:r>
    </w:p>
    <w:p>
      <w:pPr>
        <w:jc w:val="both"/>
        <w:ind w:firstLine="8"/>
        <w:spacing w:after="0" w:line="273"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As a result of this transaction, NEPSI became a wholly-owned subsidiary and is operated by our Grid business segment.</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NEPSI purchase price was $26.0 million in cash on hand and 873,657 restricted shares of our common stock. As part of the transaction, in the future, the selling stockholders may receive up to an additional 1,000,000 restricted shares of our common stock upon the achievement of certain specified future revenue objectives during varying periods of up to four years after the closing.</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6, 2021, we acquired all of the issued and outstanding shares of capital stock of (i) Neeltran, Inc., a Connecticut corporation (“Neeltran”) that supplies rectifiers and transformers to industrial customers, and (ii) Neeltran International, Inc., a Connecticut corporation (“International”), as well as the real property that serves as Neeltran’s headquarters.</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COVID-19 pandemic continues to rapidly evolve. We are experiencing substantial inflationary pressure in our supply chain, some delays in sourcing materials needed for our products and some production disruption resulting from higher than typical employee absenteeism due to the highly contagious omicron variant which have increased our cost of revenues and decreased gross margin. The extent to which the outbreak impacts our business, liquidity, results of operations and financial condition will depend on future developments, which are highly uncertain and cannot be predicted with confidence. Changes in macroeconomic and market conditions arising from the COVID-19 pandemic, or for other reasons, such as the ongoing war between Russia and Ukraine, including inflation, labor force availability, sourcing, material delays and global supply chain disruptions could have a material adverse effect on our business, financial condition and results of operation.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2022 and March 31, 2021</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 discussion of our results of operations for the year ended March 31, 2020, including a year-to-year comparison between fiscal 2020 and fiscal 2019, refer to Part II, Item 7, “Management’s Discussion and Analysis of Financial Condition and Results of Operations” in our Annual Report on Form 10-K for the year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Total revenues increased by 24% to $108.4 million in fiscal 2021 from $87.1 million in fiscal 2020. Our revenues are summarized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Arial" w:cs="Arial" w:eastAsia="Arial" w:hAnsi="Arial"/>
                <w:sz w:val="18"/>
                <w:szCs w:val="18"/>
                <w:b w:val="1"/>
                <w:bCs w:val="1"/>
                <w:color w:val="auto"/>
              </w:rPr>
              <w:t>Fiscal Years Ended March 31,</w:t>
            </w:r>
          </w:p>
        </w:tc>
      </w:tr>
      <w:tr>
        <w:trPr>
          <w:trHeight w:val="210"/>
        </w:trPr>
        <w:tc>
          <w:tcPr>
            <w:tcW w:w="8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Grid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98,876</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70,528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Wind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108,435</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87,125</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Revenues in our Grid business unit are derived from our D-VAR product sales, NEPSI product sales, Neeltran product sales, HTS wire sales, ship protection systems ("SPS"), government-sponsored electric utility projects and other prototype development contracts. We also engineer, install and commission our products on a turnkey-basis for some customers. The Grid business unit accounted for 91% of total revenues in fiscal 2021 and 81% in fiscal 2020. Grid revenues increased 40% to $98.9 million in fiscal 2021 from $70.5 million in fiscal 2020. The increase in revenues was driven by the contribution from the NEPSI Acquisition and Neeltran Acquisition as well as growth in the D-VAR, Volt Var Optimization ("VVO") and SPS product lines.</w:t>
      </w:r>
    </w:p>
    <w:p>
      <w:pPr>
        <w:spacing w:after="0" w:line="16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Revenues in our Wind business unit are derived from wind turbine electrical control systems and core components, wind turbine license and development contracts, service contracts and consulting arrangements. Our Wind business unit accounted for 9% of total revenues in fiscal 2021 and 19% in fiscal 2020. Revenues in the Wind business unit decreased 42% to $9.6 million in fiscal 2021 from $16.6 million in fiscal 2020. The decrease over the prior year period was primarily driven by shipments of electrical control systems ("ECS") to Doosan in the fiscal year ended March 31, 2021 with no similar shipments in fiscal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Cost of revenues increased by 36% to $94.9 million in fiscal 2021, compared to $69.7 million in fiscal 2020. Gross margin decreased to 12% in fiscal 2021 from 20% in fiscal 2020. The decrease in gross margin in fiscal 2021 was due to an unfavorable product mix, inflation pressure in our supply chain, some delays in sourcing materials due to the COVID-19 pandemic and purchase accounting adjustments associated with the Neeltran Acquisition. Cost of revenues in fiscal 2021 includes total amortization expense of $0.2 million as a result of the NEPSI and Neeltran acquired backlog intangible assets. In addition, a fair value purchase adjustment of approximately $0.6 million for the step-up basis assigned to acquired inventory, to properly reflect the fair value in purchase accounting, was charged to cost of revenues in the fiscal year ended March 31, 2022. The step up was assigned to acquired work-in-progress and finished goods inventory that were completely delivered during fiscal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Research and development (“R&amp;D”) expenses decreased by 5% to $10.5 million, or 10% of revenue in fiscal 2021, compared to $11.0 million, or 13% of revenue, in fiscal 2020. The decrease in R&amp;D expenses is a result of lower total compensation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Selling, general and administrative (“SG&amp;A”) expenses increased by 9% to $27.5 million, or 25% of revenue in fiscal 2021 from $25.3 million, or 29% of revenue, in fiscal 2020. The increase in SG&amp;A expenses on a dollar basis is primarily the result of higher compensation, higher stock compensation expense and additional outside services expenses.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recorded $2.5 million in fiscal 2021 and $1.2 million in fiscal 2020 in amortization expense related to our core technology and know-how, customer relationships, and other intangible assets. The increase in amortization expense is primarily a result of the NEPSI and Neeltran Acquisitions.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gain of $ 5.9 million in the year ended March 31, 2022. The change in the fair value of our contingent consideration for the earnout payment on the NEPSI Acquisition resulted in a loss of $3.0 million in the year ended March 31, 2021. The change in the fair value was primarily driven by the change in our stock price, which is a key valuation metric.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713"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46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Unallocated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Fiscal Years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411"/>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(20,725)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(13,318)</w:t>
            </w:r>
          </w:p>
        </w:tc>
      </w:tr>
      <w:tr>
        <w:trPr>
          <w:trHeight w:val="216"/>
        </w:trPr>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(3,302)</w:t>
            </w:r>
          </w:p>
        </w:tc>
      </w:tr>
      <w:tr>
        <w:trPr>
          <w:trHeight w:val="230"/>
        </w:trPr>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(6,545)</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(23,165)</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sectPr>
      </w:pPr>
    </w:p>
    <w:p>
      <w:pPr>
        <w:spacing w:after="0" w:line="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Grid segment generated an operating loss of $20.7 million in fiscal 2021 and $13.3 million in fiscal 2020. The increase in the Grid business unit operating loss was due to lower gross margins driven by less favorable margins from the Neeltran acquired backlog as well as purchase accounting adjustments related to the acquisition.</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Wind segment generated an operating loss of $1.6 million in fiscal 2021 and $3.3 million in fiscal 2020. The decrease in the Wind business unit operating loss was due to lower costs of revenues on lower revenues driven by fewer shipments of ECS than in fiscal 2020.</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Unallocated corporate expenses in fiscal 2021 consisted of a gain on contingent consideration of $5.9 million offset by stock-based compensation expense of $4.7 million. Unallocated corporate expenses in fiscal 2020 consisted of a loss on contingent consideration of $3.0 million and stock-based compensation expense of $3.5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net was $0.1 million in fiscal 2021 compared to $0.4 million for fiscal 2020. The decrease in interest income, net, was related to a lower cash balance earning lower interest rates in fiscal 2021 than in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Other expense, net was less than $0.1 million in fiscal 2021, compared to other expense, net of $0.8 million in fiscal 2020. The decrease in other expense was driven by the impacts of more favorable fluctuations in foreign currencies in fiscal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recorded an income tax benefit of $1.8 million in fiscal 2021 compared to income tax benefit of $0.8 million in fiscal 2020. The increase in income tax benefit is a result of purchase accounting for the acquired intangible assets and the resulting deferred tax liability from the NEPSI Acquisition. The Company recorded a deferred tax liability of $2.3 million, primarily for the difference in book and tax basis on the intangible assets acquired in fiscal 2021. As a result, the Company was able to benefit from additional deferred tax assets and therefore released a corresponding valuation allowance of $2.3 million during the fiscal year ended March 31, 2022. The tax benefit was offset during fiscal 2021 by income tax expense in foreign jurisdictions.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Net loss was $19.2 million in fiscal 2021, compared to net loss of $22.7 million in fiscal 2020. The decrease in net loss was driven primarily by the change in fair value of the contingent consideration for the earnout payment on the NEPSI Acquisition.</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the “Risk Factors” section in Part I, Item 1A, for a discussion of certain factors that may affect our future results of operations and financial condition.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Non-GAAP Measures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generally accepted accounting principles in the United States (“GAAP”). The non-GAAP measures included in this Form 10-K, however, should be considered in addition to, and not as a substitute for or superior to the comparable measure prepared in accordance with GAAP.</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define non-GAAP net loss as net loss before stock-based compensation, amortization of acquisition-related intangibles, acquisition costs, changes in fair value of contingent consideration,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Year ended March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(19,193)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Acquisition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Non-GAAP net loss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(17,078)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(14,123)</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Non-GAAP net loss per share</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27,203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23,879</w:t>
            </w: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incurred non-GAAP net losses of $17.1 million or $0.63 per share for fiscal 2021, compared to $14.1 million, or $0.59 per share, for fiscal 2020. The increase in non-GAAP net loss in fiscal 2021 compared to fiscal 2020 was due to a higher operating loss driven by lower gross margin and higher operating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experienced recurring operating losses and as of March 31, 2022 had an accumulated deficit of $1,020.5 million.</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At March 31, 2022, we had cash, cash equivalents, marketable securities and restricted cash of $49.5 million, compared to $80.7 million at March 31, 2021, a decrease of $31.2 million. As of March 31, 2022, we had approximately $2.6 million of cash, cash equivalents and restricted cash in foreign bank accounts. Our cash and cash equivalents, marketable securities and restricted cash are summarized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49,486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80,679</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Net cash used in operating activities was $19.0 million and $8.7 million in fiscal 2021 and 2020, respectively. The increase in net cash used in operations in fiscal 2021 compared to fiscal 2020 was driven primarily by decreased collections in fiscal 2021 and higher inventory balances in fiscal 2021.</w:t>
      </w:r>
    </w:p>
    <w:p>
      <w:pPr>
        <w:spacing w:after="0" w:line="12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Net cash used in investing activities was $7.2 million in fiscal 2021, compared to net cash provided by investing activities of $2.5 million in fiscal 2020. The increase in net cash used in investing activities in fiscal 2021 compared to fiscal 2020 was due primarily to the sale of marketable securities in fiscal 2020 in which there was no similar transaction in fiscal 2021 offset by decreased cash used for acquisitions in fiscal 2021.</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financing activities was $0.1 million and $50.8 million in fiscal 2021 and 2020, respectively. The decrease in net cash provided by financing activities in fiscal 2021 compared to fiscal 2020 was primarily due to the proceeds from our October 2020 offering of common stock in which there was no similar transaction in fiscal 2021.</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March 31, 2022, we had $6.1 million of restricted cash included in long-term assets and $2.8 million of restricted cash in short-term assets. At March 31, 2021, we had $5.6 million of restricted cash included in long-term assets and $2.2 million of restricted cash in short-term assets. These amounts included in restricted cash primarily represent collateral deposits to secure surety bonds and letters of credit for various customer contracts including the Subcontract Agreement with ComEd. These deposits are held in interest bearing accounts.</w:t>
      </w:r>
    </w:p>
    <w:p>
      <w:pPr>
        <w:spacing w:after="0" w:line="18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March 31, 2022, while others are considered future commitments. We have various contractual arrangements, under which we have committed to purchase certain minimum quantities of goods or services on an annual basis. For information regarding our other contractual obligations, refer to Note 12, "Contingent Consideration," Note 14, "Debt," Note 15, "Leases" and Note 17, "Commitments and Contingencies" to our consolidated financial statements included elsewhere in this Annual Report on Form 10-K.</w:t>
      </w:r>
    </w:p>
    <w:p>
      <w:pPr>
        <w:spacing w:after="0" w:line="19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including our ability to collect revenues under our agreements with Inox, control our operating costs, and our ability to raise additional capital, if necessary. There can be no assurance that we will be able to raise additional capital on favorable terms or at all, or execute on any other means of improving our liquidity as described above. Additionally, the impact of the COVID-19 pandemic or other sources of instability, including the ongoing war between Russia and Ukraine,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From time to time, we are involved in legal and administrative proceedings and claims of various types.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943"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Following the release of ASU 2019-10 in November 2019, the new effective date, as long as we remain a smaller reporting company, would be annual reporting periods beginning after December 15, 2022. We are currently evaluating the impact, if any, that the adoption of ASU 2016-13 may have on our consolidated financial statements.</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As of April 1, 2021, we have adopted ASU 2019-12 and noted no material impact on our consolidated financial statements.</w:t>
      </w:r>
    </w:p>
    <w:p>
      <w:pPr>
        <w:spacing w:after="0" w:line="18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We are currently evaluating the impact, if any, that the adoption of ASU 2021-08 may have on our consolidated financial statements.</w:t>
      </w:r>
    </w:p>
    <w:p>
      <w:pPr>
        <w:spacing w:after="0" w:line="1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We do not expect the impact of the adoption of ASU 2021-10 to be material on our consolidated financial statements.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Our accounting policies that involve the most significant judgments and estimates are as follows: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For certain arrangements, such as contracts to perform research and development, prototype development contracts and certain customized product sales, we record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In addition, some contracts contain an element of variable consideration, including liquidated damages and/or penalties, which requires payment to the customer in the event that delivery timelines or milestones are not met. We estimate the total consideration payable by the customer when the contracts contain variable consideration provisions, based on the most likely amount anticipated to be recognized for transferring the promised goods or services. As a result, we may constrain revenue to the extent that a significant reversal in the amount of cumulative revenue recognized will not occur when the uncertainty associated with the variable consideration is subsequently resolved.</w:t>
      </w:r>
    </w:p>
    <w:p>
      <w:pPr>
        <w:spacing w:after="0" w:line="16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Significant judgement is required to estimate the total expected costs and variable consideration for projects that typically have a timeline of 12-24 months. Any increase or decrease in estimated costs to complete a performance obligation without a corresponding change to the contract price could impact the calculation of cumulative revenue to date and gross profit on the project. Similar, if we recognize revenue based upon our current estimate of variable consideration, and our estimate is later adjusted, we may be required to increase or decrease cumulative revenue to date and gross profit on the project. Factors that may result in a change to our estimate include delays in manufacturing, unforeseen engineering problems, the performance of subcontractors and material suppliers, among others.</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have a long history of working with multiple types of projects and preparing cost estimates, and we rely on the expertise of key personnel to prepare what we believe are reasonable best estimates given available facts and circumstances. Due to the nature of the work involved, however, judgment is involved to estimate the total costs to complete, and the amounts estimated could have a material impact on the revenue we recognize in each accounting period. We cannot estimate unforeseen events and circumstances which may result in actual results being materially different from previous estimates.</w:t>
      </w:r>
    </w:p>
    <w:p>
      <w:pPr>
        <w:spacing w:after="0" w:line="15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See Note 4, “Revenue Recognition,” for further information regarding the Company’s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 xml:space="preserve">We account for acquisitions using the purchase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purchase price for each acquisition is allocated to the assets acquired and liabilities assumed based on their estimated fair values at the date of acquisition. The excess purchase price over the estimated fair value of the net assets acquired is recorded as goodwill. Intangible assets, if identified, are also recorded.</w:t>
      </w:r>
    </w:p>
    <w:p>
      <w:pPr>
        <w:spacing w:after="0" w:line="14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Determining the fair value of certain assets and liabilities assumed is judgmental in nature and often involves the use of significant estimates and assumptions as well as the use of specialists as needed. The Company utilizes management estimates and an independent third-party valuation firm to assist in determining the fair values of assets acquired, including intangible assets and liabilities assumed. The primary intangible assets acquired include customer relationship and trade names. Intangible assets are initially valued using a methodology commensurate with the intended use of the asset. The fair value of customer relationships is measured using the multi-period excess earnings method (“MPEEM”). The fair value of the trade names is measured using a relief-from-royalty (“RFR”) approach. The basis for future sales projections for both the MPEEM and RFR are based on internal revenue forecasts which the Company believes represents reasonable market participant assumptions. The future cash flows are discounted using an applicable discount rate. The key uncertainties in the calculations, as applicable, are the selection of an appropriate royalty rate, assumptions used in developing estimates of future cash flows, including revenue growth and expense forecasts, assumed customer attrition rates, as well as perceived risks associated with those forecasts in determining the discount rate. There is inherent uncertainty in forecasted cash flows and therefore, actual results may differ and could result in a subsequent impairment charge of acquired intangibles and/or goodwill.</w:t>
      </w:r>
    </w:p>
    <w:p>
      <w:pPr>
        <w:spacing w:after="0" w:line="18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consideration for our acquisitions may include future payments that are contingent upon the occurrence of a particular event. We record a contingent consideration obligation for such contingent consideration payments at fair value on the acquisition date. We estimate the fair value of contingent consideration obligations through valuation models that incorporate probability adjusted assumptions related to the achievement of the milestones and the likelihood of making related payments.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 See Note 3, "Acquisitions," for additional information. See Note 3, "Acquisitions," for additional information.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left="18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3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periodically evaluate our long-lived assets, consisting principally of fixed and amortizable intangible assets for potential impairment. We evaluate our long-lived assets whenever events or circumstances suggest that the carrying amount of an asset or group of assets may not be recoverable from the estimated undiscounted future cash flows.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judgments regarding the existence of impairment indicators are based on market and operational performance. Indicators of potential impairment include:</w:t>
      </w:r>
    </w:p>
    <w:p>
      <w:pPr>
        <w:spacing w:after="0" w:line="17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group is used;</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 group;</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identification of other impaired assets within a reporting unit;</w:t>
      </w:r>
    </w:p>
    <w:p>
      <w:pPr>
        <w:spacing w:after="0" w:line="130"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3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group; and</w:t>
      </w:r>
    </w:p>
    <w:p>
      <w:pPr>
        <w:spacing w:after="0" w:line="7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evaluate recoverability of long-lived assets and definite-lived intangible assets by estimating the undiscounted future cash flows associated with the expected uses and disposition of those assets. When those caparisons indicate that the carrying value of those assets is greater than the undiscounted cash flows, we recognize an impairment loss for the amount that the carrying value exceeds the fair value. The Company has not made any material changes to the method of evaluating for impairment during the last three years. There were no indicators requiring further impairment testing on our long-lived assets during the fiscal years ended March 31, 2022 or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Goodwill represents the excess of cost over net assets of acquired businesses that are consolidated. We perform our annual assessment of goodwill on February 28th of each fiscal year and whenever events or changes in circumstances or a triggering event indicate that the carrying amount may not be recoverable. An entity is permitted to first assess qualitatively whether it is necessary to perform a goodwill impairment test. Significant judgment is required to determine if an indication of impairment has taken place. Factors to be considered include the following: adverse change in operating results, decline in strategic business plans, significantly lower future cash flows, and sustainable declines in market data such as market capitalization. The quantitative impairment test is required only if the entity concludes that it is more likely than not that a reporting unit’s fair value is less than its carrying amount. We determine the fair value of a reporting unit based on an income approach utilizing a discounted cash flow adjusted for entity specific factors. The income approach includes estimates and assumptions about revenue growth rates, operating margins and terminal growth rates, discounted by an estimated weighted-average cost of capital derived from other publicly-traded companies that are similar but not identical from an operational and economic standpoint. These estimates are based on historical experiences, our projects of future operating activity and our weighted-average cost of capital. A significant change in events, circumstances or any of these assumptions could adversely affect these estimates, which could result in an impairment.</w:t>
      </w:r>
    </w:p>
    <w:p>
      <w:pPr>
        <w:spacing w:after="0" w:line="17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performed our annual assessment of goodwill on February 28, 2022 and noted no triggering events from the analysis date to March 31, 2022 and determined that there was no impairment to goodwill. See Note 5, “Goodwill,” for further information regarding the our goodwill valuation assumptions.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 All deferred tax assets and liabilities are presented as non-current in the Consolidated Balance Sheet.</w:t>
      </w:r>
    </w:p>
    <w:p>
      <w:pPr>
        <w:spacing w:after="0" w:line="171"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color w:val="auto"/>
        </w:rPr>
        <w:t>We regularly assess our ability to realize our deferred tax assets. Assessments of the realization of deferred tax assets require that management consider all available evidence, both positive and negative, and make significant judgments about many factors, including the amount and likelihood of future taxable income. Based on all the available evidence, we have recorded valuation allowances to reduce our deferred tax assets to the amount that is more likely than not to be realizable due to the taxable losses that have been incurred since our inception and uncertainty around our future profitability.</w:t>
      </w:r>
    </w:p>
    <w:p>
      <w:pPr>
        <w:spacing w:after="0" w:line="15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See Note 13, “Income Taxes,” of our consolidated financial statements for further information regarding our income tax assumptions and expenses.</w:t>
      </w:r>
    </w:p>
    <w:p>
      <w:pPr>
        <w:spacing w:after="0" w:line="38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item is not required for smaller reporting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American Superconductor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audited the accompanying consolidated balance sheets of American Superconductor Corporation and its subsidiaries (the Company) as of March 31, 2022 and 2021, the related consolidated statements of operations, comprehensive income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March 31, 2022 and 2021,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described in Notes 1 and 4 of the consolidated financial statements, a significant portion of the Company’s revenue is generated pursuant to nonstandard written contractual arrangements to design, develop, and/or manufacture products, and to provide related technical and other services according to the specifications of the customers. Because of the uniqueness of the terms and conditions in the customer contracts, there is significant analysis, and at times significant judgments, that are made by management when evaluating the contracts for proper revenue recognition. The Company’s performance obligations under these contractual agreements are satisfied over time or at a point in time. For performance obligations satisfied over time, revenue is generally recognized by measuring progress through costs incurred to date relative to total estimated costs at completion, which requires management to estimate both total expected project costs and expected gross margin, including evaluating customer change orders, to determine the appropriate amount of revenue to recognize, which can require significant management judgment. For contracts with multiple performance obligations when the standalone selling price is not directly observable, the Company uses its best estimate of the standalone selling price of each distinct good or service in the contract using the cost-plus reasonable margin approach and a relief from royalty method for licenses, which include significant management estimates.</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identified revenue recognition pertaining to customer contracts as a critical audit matter as there are significant judgments exercised by management in determining revenue recognition. Given the high degree of management judgment involved in analyzing the terms and conditions of the Company’s unique customer contracts and the various management estimates that are used in the revenue calculations, the audit effort required to evaluate management’s judgments in determining revenue recognition for the Company’s contracts was extensive and required a high degree of auditor judgment.</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audit procedures related to revenue recognition included the following, among others:</w:t>
      </w:r>
    </w:p>
    <w:p>
      <w:pPr>
        <w:spacing w:after="0" w:line="225" w:lineRule="exact"/>
        <w:rPr>
          <w:sz w:val="20"/>
          <w:szCs w:val="20"/>
          <w:color w:val="auto"/>
        </w:rPr>
      </w:pPr>
    </w:p>
    <w:p>
      <w:pPr>
        <w:jc w:val="both"/>
        <w:ind w:left="1040" w:hanging="317"/>
        <w:spacing w:after="0" w:line="263"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revenue recognition and tested controls specific to management’s analysis of customer contract terms and application of relevant accounting guidance as well as determination of significant assumptions used in computing revenue for design and operating effectiveness,</w:t>
      </w:r>
    </w:p>
    <w:p>
      <w:pPr>
        <w:spacing w:after="0" w:line="183" w:lineRule="exact"/>
        <w:rPr>
          <w:rFonts w:ascii="Arial" w:cs="Arial" w:eastAsia="Arial" w:hAnsi="Arial"/>
          <w:sz w:val="18"/>
          <w:szCs w:val="18"/>
          <w:color w:val="auto"/>
        </w:rPr>
      </w:pPr>
    </w:p>
    <w:p>
      <w:pPr>
        <w:ind w:left="1040" w:hanging="317"/>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selected a sample of contracts with customers and related revenue transactions and performed the following audit procedures:</w:t>
      </w:r>
    </w:p>
    <w:p>
      <w:pPr>
        <w:spacing w:after="0" w:line="237" w:lineRule="exact"/>
        <w:rPr>
          <w:sz w:val="20"/>
          <w:szCs w:val="20"/>
          <w:color w:val="auto"/>
        </w:rPr>
      </w:pPr>
    </w:p>
    <w:p>
      <w:pPr>
        <w:jc w:val="both"/>
        <w:ind w:left="1360" w:hanging="326"/>
        <w:spacing w:after="0" w:line="255" w:lineRule="auto"/>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Obtained customer contract, related invoices, purchase orders, and management revenue recognition analysis for each testing selection, to evaluate if relevant contractual terms and transaction price were appropriately considered by management and conclusions on revenue recognition method were in accordance with the relevant accounting guidance;</w:t>
      </w:r>
    </w:p>
    <w:p>
      <w:pPr>
        <w:spacing w:after="0" w:line="2" w:lineRule="exact"/>
        <w:rPr>
          <w:rFonts w:ascii="Arial" w:cs="Arial" w:eastAsia="Arial" w:hAnsi="Arial"/>
          <w:sz w:val="18"/>
          <w:szCs w:val="18"/>
          <w:color w:val="auto"/>
        </w:rPr>
      </w:pPr>
    </w:p>
    <w:p>
      <w:pPr>
        <w:ind w:left="1360" w:hanging="326"/>
        <w:spacing w:after="0" w:line="260" w:lineRule="auto"/>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management’s estimations of total contract cost and contract profit by assessing actual costs to date against projections made throughout the course of the contract term;</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Impairment</w:t>
      </w:r>
    </w:p>
    <w:p>
      <w:pPr>
        <w:sectPr>
          <w:pgSz w:w="11900" w:h="16838" w:orient="portrait"/>
          <w:cols w:equalWidth="0" w:num="1">
            <w:col w:w="11240"/>
          </w:cols>
          <w:pgMar w:left="320" w:top="580" w:right="339" w:bottom="0" w:gutter="0" w:footer="0" w:header="0"/>
        </w:sectPr>
      </w:pPr>
    </w:p>
    <w:bookmarkStart w:id="45" w:name="page46"/>
    <w:bookmarkEnd w:id="45"/>
    <w:p>
      <w:pPr>
        <w:jc w:val="both"/>
        <w:ind w:firstLine="486"/>
        <w:spacing w:after="0" w:line="293" w:lineRule="auto"/>
        <w:rPr>
          <w:sz w:val="20"/>
          <w:szCs w:val="20"/>
          <w:color w:val="auto"/>
        </w:rPr>
      </w:pPr>
      <w:r>
        <w:rPr>
          <w:rFonts w:ascii="Arial" w:cs="Arial" w:eastAsia="Arial" w:hAnsi="Arial"/>
          <w:sz w:val="16"/>
          <w:szCs w:val="16"/>
          <w:color w:val="auto"/>
        </w:rPr>
        <w:t>As described in Notes 1 and 5 to the consolidated financial statements, the Company’s goodwill balance was $43.5 million as of March 31, 2022. Management tests goodwill for impairment, at the reporting unit level, as of February 28 of each fiscal year, or more frequently if events or changes in circumstances indicate the asset might be impaired. To test goodwill for impairment, management compares the estimated fair value of each reporting unit with the carrying amount of each reporting unit, including the recorded goodwill. In estimating the fair value of each reporting unit, management uses a methodology which combines an income approach, using a discounted cash flows method, with a market approach, using a peer-based guideline company method based on the average of published multiples of earnings of comparable entities with similar operations and economic characteristics.</w:t>
      </w:r>
    </w:p>
    <w:p>
      <w:pPr>
        <w:spacing w:after="0" w:line="16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identified the goodwill impairment assessment for the Company’s reporting units with material goodwill as a critical audit matter because of the significant estimates and assumptions used by management when estimating the fair value of the these reporting units, including management’s forecasts of revenue and expense growth rates and management’s selection of the discount rates for the income approaches and management’s estimates of the multiples of earnings of comparable entities with similar operations and economic characteristics for the market approaches. Auditing management’s estimates and assumptions involved a high degree of auditor judgment and increased audit effort, including the use of our valuation specialists, due to the impact these assumptions have on the goodwill impairment assessment.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audit procedures related to the assessment of goodwill impairment included the following, among others:</w:t>
      </w:r>
    </w:p>
    <w:p>
      <w:pPr>
        <w:spacing w:after="0" w:line="225" w:lineRule="exact"/>
        <w:rPr>
          <w:sz w:val="20"/>
          <w:szCs w:val="20"/>
          <w:color w:val="auto"/>
        </w:rPr>
      </w:pPr>
    </w:p>
    <w:p>
      <w:pPr>
        <w:ind w:left="1040" w:hanging="317"/>
        <w:spacing w:after="0" w:line="258"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revenue and expense growth rates, including comparing projections to historical results.</w:t>
      </w:r>
    </w:p>
    <w:p>
      <w:pPr>
        <w:spacing w:after="0" w:line="1" w:lineRule="exact"/>
        <w:rPr>
          <w:rFonts w:ascii="Arial" w:cs="Arial" w:eastAsia="Arial" w:hAnsi="Arial"/>
          <w:sz w:val="18"/>
          <w:szCs w:val="18"/>
          <w:color w:val="auto"/>
        </w:rPr>
      </w:pPr>
    </w:p>
    <w:p>
      <w:pPr>
        <w:ind w:left="1040" w:right="20" w:hanging="317"/>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tested the underlying data used by management in their development of forecasts of revenue and expense growth rates for accuracy and completeness.</w:t>
      </w:r>
    </w:p>
    <w:p>
      <w:pPr>
        <w:ind w:left="1040" w:hanging="317"/>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evaluated the reasonableness of management's selection of comparable entities with similar operations and economic characteristics.</w:t>
      </w:r>
    </w:p>
    <w:p>
      <w:pPr>
        <w:spacing w:after="0" w:line="32" w:lineRule="exact"/>
        <w:rPr>
          <w:rFonts w:ascii="Arial" w:cs="Arial" w:eastAsia="Arial" w:hAnsi="Arial"/>
          <w:sz w:val="16"/>
          <w:szCs w:val="16"/>
          <w:color w:val="auto"/>
        </w:rPr>
      </w:pPr>
    </w:p>
    <w:p>
      <w:pPr>
        <w:ind w:left="1040" w:right="280" w:hanging="317"/>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valuation specialists, we evaluated the reasonableness of the Company's valuation methodology and significant assumptions by:</w:t>
      </w:r>
    </w:p>
    <w:p>
      <w:pPr>
        <w:ind w:left="1800" w:hanging="324"/>
        <w:spacing w:after="0" w:line="250" w:lineRule="auto"/>
        <w:rPr>
          <w:rFonts w:ascii="Arial" w:cs="Arial" w:eastAsia="Arial" w:hAnsi="Arial"/>
          <w:sz w:val="18"/>
          <w:szCs w:val="18"/>
          <w:color w:val="auto"/>
        </w:rPr>
      </w:pPr>
      <w:r>
        <w:rPr>
          <w:rFonts w:ascii="Arial" w:cs="Arial" w:eastAsia="Arial" w:hAnsi="Arial"/>
          <w:sz w:val="18"/>
          <w:szCs w:val="18"/>
          <w:color w:val="auto"/>
        </w:rPr>
        <w:t>o Evaluating the reasonableness of the discount rate and multiples of earnings by comparing the underlying source information to publicly available market data and verifying the accuracy of the calculations.</w:t>
      </w:r>
    </w:p>
    <w:p>
      <w:pPr>
        <w:ind w:left="1460"/>
        <w:spacing w:after="0"/>
        <w:rPr>
          <w:rFonts w:ascii="Arial" w:cs="Arial" w:eastAsia="Arial" w:hAnsi="Arial"/>
          <w:sz w:val="18"/>
          <w:szCs w:val="18"/>
          <w:color w:val="auto"/>
        </w:rPr>
      </w:pPr>
      <w:r>
        <w:rPr>
          <w:rFonts w:ascii="Arial" w:cs="Arial" w:eastAsia="Arial" w:hAnsi="Arial"/>
          <w:sz w:val="17"/>
          <w:szCs w:val="17"/>
          <w:color w:val="auto"/>
        </w:rPr>
        <w:t>o   Evaluating the appropriateness of the valuation methods used by management and testing their mathematical accuracy.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340" w:right="1100"/>
        <w:spacing w:after="0" w:line="250" w:lineRule="auto"/>
        <w:rPr>
          <w:sz w:val="20"/>
          <w:szCs w:val="20"/>
          <w:color w:val="auto"/>
        </w:rPr>
      </w:pPr>
      <w:r>
        <w:rPr>
          <w:rFonts w:ascii="Arial" w:cs="Arial" w:eastAsia="Arial" w:hAnsi="Arial"/>
          <w:sz w:val="18"/>
          <w:szCs w:val="18"/>
          <w:color w:val="auto"/>
        </w:rPr>
        <w:t>Cash and cash equivalents Marketable securities Accounts receivable Inventory</w:t>
      </w:r>
    </w:p>
    <w:p>
      <w:pPr>
        <w:spacing w:after="0" w:line="2"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color w:val="auto"/>
        </w:rPr>
        <w:t>Prepaid expenses and other current assets Restricted cash</w:t>
      </w:r>
    </w:p>
    <w:p>
      <w:pPr>
        <w:ind w:left="820"/>
        <w:spacing w:after="0"/>
        <w:rPr>
          <w:sz w:val="20"/>
          <w:szCs w:val="20"/>
          <w:color w:val="auto"/>
        </w:rPr>
      </w:pPr>
      <w:r>
        <w:rPr>
          <w:rFonts w:ascii="Arial" w:cs="Arial" w:eastAsia="Arial" w:hAnsi="Arial"/>
          <w:sz w:val="18"/>
          <w:szCs w:val="18"/>
          <w:color w:val="auto"/>
        </w:rPr>
        <w:t>Total current assets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net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Right-of-use asset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tax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500"/>
        <w:spacing w:after="0" w:line="259" w:lineRule="auto"/>
        <w:rPr>
          <w:sz w:val="20"/>
          <w:szCs w:val="20"/>
          <w:color w:val="auto"/>
        </w:rPr>
      </w:pPr>
      <w:r>
        <w:rPr>
          <w:rFonts w:ascii="Arial" w:cs="Arial" w:eastAsia="Arial" w:hAnsi="Arial"/>
          <w:sz w:val="18"/>
          <w:szCs w:val="18"/>
          <w:b w:val="1"/>
          <w:bCs w:val="1"/>
          <w:color w:val="auto"/>
        </w:rPr>
        <w:t>AMERICAN SUPERCONDUCTOR CORPORATION PART I — FINANCIAL INFORMATION ITEM 1. FINANCIAL STATEMENTS CONSOLIDATED BALANCE SHEETS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67,814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13,267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13,306</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4"/>
        </w:trPr>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94,336</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13,656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9,153</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173,887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-2510790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-2236470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-1962785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-1687830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-1405255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-1130935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-856615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-582295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-307975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200"/>
            <w:col w:w="7720"/>
          </w:cols>
          <w:pgMar w:left="320" w:top="823" w:right="339" w:bottom="1440" w:gutter="0" w:footer="0" w:header="0"/>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29,140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19,810</w:t>
            </w: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current portion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Debt, current portion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22,812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13,266</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53,964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40,738</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long term portion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7,991</w:t>
            </w: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Lease liability, long term portion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Debt, long-term portion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0"/>
        </w:trPr>
        <w:tc>
          <w:tcPr>
            <w:tcW w:w="8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32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64,498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52,274</w:t>
            </w:r>
          </w:p>
        </w:tc>
      </w:tr>
      <w:tr>
        <w:trPr>
          <w:trHeight w:val="210"/>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Common stock, $0.01 par value, 75,000,000 shares authorized; 28,919,990 and 27,988,536 shares issued and</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28,522,359 and 27,593,400 shares outstanding at March 31, 2022 and 2021,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1,133,536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1,121,495</w:t>
            </w: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397,631 and 395,136 shares at March 31, 2022 and 2021, respectively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(3,593)</w:t>
            </w:r>
          </w:p>
        </w:tc>
      </w:tr>
      <w:tr>
        <w:trPr>
          <w:trHeight w:val="216"/>
        </w:trPr>
        <w:tc>
          <w:tcPr>
            <w:tcW w:w="83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(1,020,506)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(1,001,313)</w:t>
            </w:r>
          </w:p>
        </w:tc>
      </w:tr>
      <w:tr>
        <w:trPr>
          <w:trHeight w:val="20"/>
        </w:trPr>
        <w:tc>
          <w:tcPr>
            <w:tcW w:w="8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320" w:type="dxa"/>
            <w:vAlign w:val="bottom"/>
          </w:tcPr>
          <w:p>
            <w:pPr>
              <w:ind w:left="8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109,389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116,592</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3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173,887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7" w:name="page48"/>
    <w:bookmarkEnd w:id="47"/>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428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w w:val="93"/>
              </w:rPr>
              <w:t>(In thousands, except per share data)</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7"/>
              </w:rPr>
              <w:t>Fiscal Year Ended March 31,</w:t>
            </w:r>
          </w:p>
        </w:tc>
      </w:tr>
      <w:tr>
        <w:trPr>
          <w:trHeight w:val="209"/>
        </w:trPr>
        <w:tc>
          <w:tcPr>
            <w:tcW w:w="40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108,435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4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69,671</w:t>
            </w:r>
          </w:p>
        </w:tc>
        <w:tc>
          <w:tcPr>
            <w:tcW w:w="100" w:type="dxa"/>
            <w:vAlign w:val="bottom"/>
          </w:tcPr>
          <w:p>
            <w:pPr>
              <w:spacing w:after="0"/>
              <w:rPr>
                <w:sz w:val="18"/>
                <w:szCs w:val="18"/>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17,454</w:t>
            </w:r>
          </w:p>
        </w:tc>
      </w:tr>
      <w:tr>
        <w:trPr>
          <w:trHeight w:val="216"/>
        </w:trPr>
        <w:tc>
          <w:tcPr>
            <w:tcW w:w="40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10,470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11,015</w:t>
            </w: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25,322</w:t>
            </w:r>
          </w:p>
        </w:tc>
      </w:tr>
      <w:tr>
        <w:trPr>
          <w:trHeight w:val="216"/>
        </w:trPr>
        <w:tc>
          <w:tcPr>
            <w:tcW w:w="4000" w:type="dxa"/>
            <w:vAlign w:val="bottom"/>
          </w:tcPr>
          <w:p>
            <w:pPr>
              <w:ind w:left="340"/>
              <w:spacing w:after="0"/>
              <w:rPr>
                <w:sz w:val="20"/>
                <w:szCs w:val="20"/>
                <w:color w:val="auto"/>
              </w:rPr>
            </w:pPr>
            <w:r>
              <w:rPr>
                <w:rFonts w:ascii="Arial" w:cs="Arial" w:eastAsia="Arial" w:hAnsi="Arial"/>
                <w:sz w:val="18"/>
                <w:szCs w:val="18"/>
                <w:color w:val="auto"/>
              </w:rPr>
              <w:t>Amortization of acquisition related intangibles</w:t>
            </w: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2,467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Change in fair value on contingent consideration</w:t>
            </w: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r>
      <w:tr>
        <w:trPr>
          <w:trHeight w:val="210"/>
        </w:trPr>
        <w:tc>
          <w:tcPr>
            <w:tcW w:w="400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40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40,619</w:t>
            </w:r>
          </w:p>
        </w:tc>
        <w:tc>
          <w:tcPr>
            <w:tcW w:w="100" w:type="dxa"/>
            <w:vAlign w:val="bottom"/>
            <w:tcBorders>
              <w:top w:val="single" w:sz="8" w:color="CCEEFF"/>
            </w:tcBorders>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loss</w:t>
            </w: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(21,089)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(23,165)</w:t>
            </w:r>
          </w:p>
        </w:tc>
      </w:tr>
      <w:tr>
        <w:trPr>
          <w:trHeight w:val="216"/>
        </w:trPr>
        <w:tc>
          <w:tcPr>
            <w:tcW w:w="40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income, net</w:t>
            </w:r>
          </w:p>
        </w:tc>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r>
      <w:tr>
        <w:trPr>
          <w:trHeight w:val="20"/>
        </w:trPr>
        <w:tc>
          <w:tcPr>
            <w:tcW w:w="400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Loss before income tax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(21,042)</w:t>
            </w:r>
          </w:p>
        </w:tc>
        <w:tc>
          <w:tcPr>
            <w:tcW w:w="5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(23,510)</w:t>
            </w:r>
          </w:p>
        </w:tc>
      </w:tr>
      <w:tr>
        <w:trPr>
          <w:trHeight w:val="230"/>
        </w:trPr>
        <w:tc>
          <w:tcPr>
            <w:tcW w:w="5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(1,849)</w:t>
            </w: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(832)</w:t>
            </w:r>
          </w:p>
        </w:tc>
      </w:tr>
      <w:tr>
        <w:trPr>
          <w:trHeight w:val="210"/>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(0.95)</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(0.71)</w:t>
            </w:r>
          </w:p>
        </w:tc>
        <w:tc>
          <w:tcPr>
            <w:tcW w:w="6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(0.95)</w:t>
            </w:r>
          </w:p>
        </w:tc>
      </w:tr>
      <w:tr>
        <w:trPr>
          <w:trHeight w:val="197"/>
        </w:trPr>
        <w:tc>
          <w:tcPr>
            <w:tcW w:w="80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27,203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23,879</w:t>
            </w:r>
          </w:p>
        </w:tc>
      </w:tr>
      <w:tr>
        <w:trPr>
          <w:trHeight w:val="20"/>
        </w:trPr>
        <w:tc>
          <w:tcPr>
            <w:tcW w:w="8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27,203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23,879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48" w:name="page49"/>
    <w:bookmarkEnd w:id="48"/>
    <w:p>
      <w:pPr>
        <w:jc w:val="center"/>
        <w:spacing w:after="0" w:line="275" w:lineRule="auto"/>
        <w:rPr>
          <w:sz w:val="20"/>
          <w:szCs w:val="20"/>
          <w:color w:val="auto"/>
        </w:rPr>
      </w:pPr>
      <w:r>
        <w:rPr>
          <w:rFonts w:ascii="Arial" w:cs="Arial" w:eastAsia="Arial" w:hAnsi="Arial"/>
          <w:sz w:val="18"/>
          <w:szCs w:val="18"/>
          <w:b w:val="1"/>
          <w:bCs w:val="1"/>
          <w:color w:val="auto"/>
        </w:rPr>
        <w:t>AMERICAN SUPERCONDUCTOR CORPORATION CONSOLIDATED STATEMENTS OF COMPREHENSIVE INCOME (LOSS)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(19,193)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currency translation losses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other comprehensive loss, net of tax</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(19,207)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(22,739)</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80"/>
              <w:spacing w:after="0" w:line="182" w:lineRule="exact"/>
              <w:rPr>
                <w:sz w:val="20"/>
                <w:szCs w:val="20"/>
                <w:color w:val="auto"/>
              </w:rPr>
            </w:pPr>
            <w:r>
              <w:rPr>
                <w:rFonts w:ascii="Arial" w:cs="Arial" w:eastAsia="Arial" w:hAnsi="Arial"/>
                <w:sz w:val="16"/>
                <w:szCs w:val="16"/>
                <w:b w:val="1"/>
                <w:bCs w:val="1"/>
                <w:color w:val="auto"/>
              </w:rPr>
              <w:t>Paid-in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60"/>
              <w:spacing w:after="0" w:line="182" w:lineRule="exact"/>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5"/>
                <w:szCs w:val="15"/>
                <w:color w:val="auto"/>
              </w:rPr>
            </w:pPr>
          </w:p>
        </w:tc>
        <w:tc>
          <w:tcPr>
            <w:tcW w:w="120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Comprehensive</w:t>
            </w:r>
          </w:p>
        </w:tc>
        <w:tc>
          <w:tcPr>
            <w:tcW w:w="120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Par Value</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22,902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1,053,507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(2,666)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(978,635)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72,219</w:t>
            </w:r>
          </w:p>
        </w:tc>
        <w:tc>
          <w:tcPr>
            <w:tcW w:w="0" w:type="dxa"/>
            <w:vAlign w:val="bottom"/>
          </w:tcPr>
          <w:p>
            <w:pPr>
              <w:spacing w:after="0"/>
              <w:rPr>
                <w:sz w:val="1"/>
                <w:szCs w:val="1"/>
                <w:color w:val="auto"/>
              </w:rPr>
            </w:pPr>
          </w:p>
        </w:tc>
      </w:tr>
      <w:tr>
        <w:trPr>
          <w:trHeight w:val="183"/>
        </w:trPr>
        <w:tc>
          <w:tcPr>
            <w:tcW w:w="30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Exercise of stock options</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 ESPP</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w w:val="93"/>
              </w:rPr>
              <w:t>Issuance of common stock - restricted shares</w:t>
            </w: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494</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Issuance of stock for 401(k) match</w:t>
            </w: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9"/>
              </w:rPr>
              <w:t>Issuance of common stock - equity offering</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3,670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51,477</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rPr>
              <w:t>Issuance of common stock - NEPSI</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acquisition</w:t>
            </w: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874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12,433</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treasury stock</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Cumulative translation adjustment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(22,678)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(22,678)</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Pr>
          <w:p>
            <w:pPr>
              <w:spacing w:after="0"/>
              <w:rPr>
                <w:sz w:val="20"/>
                <w:szCs w:val="20"/>
                <w:color w:val="auto"/>
              </w:rPr>
            </w:pPr>
            <w:r>
              <w:rPr>
                <w:rFonts w:ascii="Arial" w:cs="Arial" w:eastAsia="Arial" w:hAnsi="Arial"/>
                <w:sz w:val="16"/>
                <w:szCs w:val="16"/>
                <w:color w:val="auto"/>
              </w:rPr>
              <w:t>Balance at March 31, 2021</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27,988</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1,121,495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(3,593)</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(277)</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(1,001,313)</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116,592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 ESPP</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rPr>
              <w:t>Issuance of common stock - Bonus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payments</w:t>
            </w: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0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3"/>
              </w:rPr>
              <w:t>Issuance of common stock - restricted shares</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4,661</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Issuance of stock for 401(k) match</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rPr>
              <w:t>Issuance of common stock - Neeltran</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acquisition</w:t>
            </w:r>
          </w:p>
        </w:tc>
        <w:tc>
          <w:tcPr>
            <w:tcW w:w="1320" w:type="dxa"/>
            <w:vAlign w:val="bottom"/>
            <w:gridSpan w:val="3"/>
          </w:tcPr>
          <w:p>
            <w:pPr>
              <w:jc w:val="right"/>
              <w:ind w:right="220"/>
              <w:spacing w:after="0"/>
              <w:rPr>
                <w:sz w:val="20"/>
                <w:szCs w:val="20"/>
                <w:color w:val="auto"/>
              </w:rPr>
            </w:pPr>
            <w:r>
              <w:rPr>
                <w:rFonts w:ascii="Arial" w:cs="Arial" w:eastAsia="Arial" w:hAnsi="Arial"/>
                <w:sz w:val="16"/>
                <w:szCs w:val="16"/>
                <w:color w:val="auto"/>
              </w:rPr>
              <w:t>302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4,387</w:t>
            </w:r>
          </w:p>
        </w:tc>
        <w:tc>
          <w:tcPr>
            <w:tcW w:w="0" w:type="dxa"/>
            <w:vAlign w:val="bottom"/>
          </w:tcPr>
          <w:p>
            <w:pPr>
              <w:spacing w:after="0"/>
              <w:rPr>
                <w:sz w:val="1"/>
                <w:szCs w:val="1"/>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treasury stock</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Cumulative translation adjustment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(19,193)</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(19,193)</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40" w:type="dxa"/>
            <w:vAlign w:val="bottom"/>
          </w:tcPr>
          <w:p>
            <w:pPr>
              <w:spacing w:after="0"/>
              <w:rPr>
                <w:sz w:val="20"/>
                <w:szCs w:val="20"/>
                <w:color w:val="auto"/>
              </w:rPr>
            </w:pPr>
            <w:r>
              <w:rPr>
                <w:rFonts w:ascii="Arial" w:cs="Arial" w:eastAsia="Arial" w:hAnsi="Arial"/>
                <w:sz w:val="16"/>
                <w:szCs w:val="16"/>
                <w:color w:val="auto"/>
              </w:rPr>
              <w:t>Balance at March 31, 2022</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28,920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289</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1,133,536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(3,639)</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(291)</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(1,020,506)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109,389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(19,193)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(22,678)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5,352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3,060</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Non-cash interest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Other non-cash items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Unrealized foreign exchange loss/(gain) on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8,106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(5,047)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(8,057)</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(18,977)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(8,681)</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Sale of marketable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30,152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paid for acquisition, net of cash received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(11,479)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Proceeds from the maturity of marketable securities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5,189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other assets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Repurchase of treasury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Repayment of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public equity offering,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51,477</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Proceeds from exercise of employee stock options and ESPP</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50,828</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(26,053)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44,675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75,539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30,864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49,486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75,539</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Cash paid for income taxes, net of refunds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Issuance of common stock in connection with the purchase of Northeast Power Systems, Inc</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12,433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Issuance of common stock in connection with the purchase of Neeltran, Inc.</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Issuance of common stock to settle liabilities</w:t>
            </w:r>
          </w:p>
        </w:tc>
        <w:tc>
          <w:tcPr>
            <w:tcW w:w="9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2,761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protect and expand the capability of the Navy's fleet. The Company’s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consolidated financial statements have been prepared on a going concern basis in accordance with United States generally accepted accounting principles (“GAAP”) and the Securities and Exchange Commission’s (“SEC”) instructions to Form 10-K. The going concern basis of presentation assumes that the Company will continue operations and will be able to realize its assets and discharge its liabilities and commitments in the normal course of business.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has historically experienced recurring operating losses and as of March 31, 2022, the Company had an accumulated deficit of $1,020.5 million. In addition, the Company has historically experienced recurring negative operating cash flows. At March 31, 2022, the Company had cash and cash equivalents of $40.6 million. Cash used in operations for the year ended March 31, 2022 was $19.0 million.</w:t>
      </w:r>
    </w:p>
    <w:p>
      <w:pPr>
        <w:spacing w:after="0" w:line="18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w:t>
      </w:r>
      <w:r>
        <w:rPr>
          <w:rFonts w:ascii="Arial" w:cs="Arial" w:eastAsia="Arial" w:hAnsi="Arial"/>
          <w:sz w:val="16"/>
          <w:szCs w:val="16"/>
          <w:i w:val="1"/>
          <w:iCs w:val="1"/>
          <w:color w:val="auto"/>
        </w:rPr>
        <w:t xml:space="preserve">3 </w:t>
      </w:r>
      <w:r>
        <w:rPr>
          <w:rFonts w:ascii="Arial" w:cs="Arial" w:eastAsia="Arial" w:hAnsi="Arial"/>
          <w:sz w:val="16"/>
          <w:szCs w:val="16"/>
          <w:color w:val="auto"/>
        </w:rPr>
        <w:t>allows the Company to offer and sell from time-to-time up to $250 million of common stock, debt securities, warrants or units comprised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of these securities. The Form S-3 is intended to provide the Company flexibility to conduct registered sales of the Company's securities, subject to market conditions, in order to fund the Company's future capital needs. The terms of any future offering under the Form S-</w:t>
      </w:r>
      <w:r>
        <w:rPr>
          <w:rFonts w:ascii="Arial" w:cs="Arial" w:eastAsia="Arial" w:hAnsi="Arial"/>
          <w:sz w:val="16"/>
          <w:szCs w:val="16"/>
          <w:i w:val="1"/>
          <w:iCs w:val="1"/>
          <w:color w:val="auto"/>
        </w:rPr>
        <w:t>3</w:t>
      </w:r>
      <w:r>
        <w:rPr>
          <w:rFonts w:ascii="Arial" w:cs="Arial" w:eastAsia="Arial" w:hAnsi="Arial"/>
          <w:sz w:val="16"/>
          <w:szCs w:val="16"/>
          <w:color w:val="auto"/>
        </w:rPr>
        <w:t xml:space="preserve">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ind w:right="60" w:firstLine="486"/>
        <w:spacing w:after="0" w:line="283" w:lineRule="auto"/>
        <w:rPr>
          <w:sz w:val="20"/>
          <w:szCs w:val="20"/>
          <w:color w:val="auto"/>
        </w:rPr>
      </w:pPr>
      <w:r>
        <w:rPr>
          <w:rFonts w:ascii="Arial" w:cs="Arial" w:eastAsia="Arial" w:hAnsi="Arial"/>
          <w:sz w:val="16"/>
          <w:szCs w:val="16"/>
          <w:color w:val="auto"/>
        </w:rPr>
        <w:t>On May 6, 2021 (the "Neeltran Acquisition Date"), the Company entered into a Purchase and Sale Agreement (the "Real Property Purchase Agreement") and a Stock Purchase Agreement (the "Neeltran Stock Purchase Agreement") with the selling equity holders named therein. Also on May 6, 2021</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the Real Property Purchase Agreement, the Company's wholly-owned Connecticut limited liability company, AMSC Husky LLC ("AMSC Husky"),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Pursuant to the terms of the Neeltran Stock Purchase Agreement and concurrently with entering into such agreement, the Company purchased all of the issued and outstanding shares of capital stock of (i) Neeltran, Inc., a Connecticut corporation ("Neeltran") that supplies rectifiers and transformers to industrial customers, and (ii) Neeltran International, Inc., a Connecticut corporation ("International"), for: (a) $1.0 million in cash, and (b) 301,556 shares of the Company's common stock, $.01 par value per share (the "AMSC Shares"), that were paid and issued to the Neeltran selling stockholders, respectively at closing (the "Neeltran Acquisition"). The Company also paid $1.1 million to International selling stockholders at closing to pay off previous loans made by them to Neeltran. Additionally, the Company paid approximately</w:t>
      </w:r>
    </w:p>
    <w:p>
      <w:pPr>
        <w:spacing w:after="0" w:line="4"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$7.6 million on behalf of the selling equity holders, including $1.9 million of indebtedness secured by the mortgage on the real property as described above, directly to Neeltran lenders at closing to extinguish outstanding Neeltran indebtedness to third parties on behalf of the sellers.</w:t>
      </w:r>
    </w:p>
    <w:p>
      <w:pPr>
        <w:spacing w:after="0" w:line="16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outbreak, the Company has followed the guidelines of the U.S. Centers for Disease Control and Prevention (“CDC”)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pacing w:after="0" w:line="17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COVID-19 pandemic continues to rapidly evolve. The Company is experiencing substantial inflationary pressure in its supply chain, some delays in sourcing materials needed for its products and some production disruption resulting from higher than typical employee absenteeism due to the highly contagious omicron variant, all of which have increased the Company’s cost of revenues and decreased gross margin. The extent to which the outbreak impacts the Company’s business, liquidity, results of operations and financial condition will depend on future developments, which are highly uncertain and cannot be predicted with confidence. Changes in macroeconomic conditions arising from the COVID-19 pandemic or for other reasons, such as the ongoing war between Russia and Ukraine, including inflation, labor force availability, sourcing, material delays and global supply chain disruptions could have a material adverse effect on the Company’s business, financial condition and results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2" w:name="page53"/>
    <w:bookmarkEnd w:id="52"/>
    <w:p>
      <w:pPr>
        <w:jc w:val="both"/>
        <w:ind w:firstLine="486"/>
        <w:spacing w:after="0" w:line="272" w:lineRule="auto"/>
        <w:rPr>
          <w:sz w:val="20"/>
          <w:szCs w:val="20"/>
          <w:color w:val="auto"/>
        </w:rPr>
      </w:pPr>
      <w:r>
        <w:rPr>
          <w:rFonts w:ascii="Arial" w:cs="Arial" w:eastAsia="Arial" w:hAnsi="Arial"/>
          <w:sz w:val="17"/>
          <w:szCs w:val="17"/>
          <w:color w:val="auto"/>
        </w:rPr>
        <w:t>The Company believes that based on the information presented above and its annual management assessment, it has sufficient liquidity to fund its operations and capital expenditures for the next twelve months following the issuance of the financial statements for the year ended March 31, 2022. The Company’s liquidity is highly dependent on its ability to increase revenues, its ability to control its operating costs, and its ability to raise additional capital, if necessary. The impact of the COVID- 19 pandemic and other sources of instability, including the war between Russia and Ukraine,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200" w:lineRule="exact"/>
        <w:rPr>
          <w:sz w:val="20"/>
          <w:szCs w:val="20"/>
          <w:color w:val="auto"/>
        </w:rPr>
      </w:pPr>
    </w:p>
    <w:p>
      <w:pPr>
        <w:spacing w:after="0" w:line="216" w:lineRule="exact"/>
        <w:rPr>
          <w:sz w:val="20"/>
          <w:szCs w:val="20"/>
          <w:color w:val="auto"/>
        </w:rPr>
      </w:pPr>
    </w:p>
    <w:p>
      <w:pPr>
        <w:ind w:left="180" w:right="7680" w:hanging="172"/>
        <w:spacing w:after="0" w:line="503" w:lineRule="auto"/>
        <w:tabs>
          <w:tab w:leader="none" w:pos="19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Consolidation</w:t>
      </w:r>
    </w:p>
    <w:p>
      <w:pPr>
        <w:jc w:val="both"/>
        <w:ind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and transactions are eliminated.</w:t>
      </w:r>
    </w:p>
    <w:p>
      <w:pPr>
        <w:spacing w:after="0" w:line="38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The Company bases its estimates on historical experience and various other factors believed to be reasonable under the circumstances, the results of which form the basis for making judgments about the carrying value of assets and liabilities that are not readily apparent from other sources. On an ongoing basis, the Company evaluates its estimates, including those related to revenue recognition, collectability of receivables, realizability of inventory, goodwill and intangible assets, contingent consideration, warranty provisions, stock-based compensation, tax reserves, and deferred tax assets. Provisions for depreciation are based on their estimated useful lives using the straight-line method. Some of these estimates can be subjective and complex and, consequently, actual results may differ from these estimates under different assumptions or conditions. While for any given estimate or assumption made by the Company’s management there may be other estimates or assumptions that are reasonable, the Company believes that, given the current facts and circumstances, it is unlikely that applying any such other reasonable estimate or assumption would materially impact the financial statements.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Marketable securities consist of certificates of deposit with maturities of less than 12 months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Accounts receivable consist of amounts owed by commercial companies and government agencies. Accounts receivable are stated net of allowances for doubtful accounts. The Company’s accounts receivable relate principally to a limited number of customers. As of March 31, 2022, Fuji Bridex PTE Ltd accounted for approximately 31% of the Company's accounts receivable balance, with no other customers accounting for greater than 10% of the balance. As of March 31, 2021, Naval Surface Warfare Center accounted for approximately 28%, and RWE Renewables, LLC accounted for approximately 11% of our accounts receivable balance, with no other customers accounting for greater than 10% of the balance. Changes in the financial condition or operations of the Company’s customers may result in delayed payments or non-payments which would adversely impact its cash flows from operating activities and/or its results of operations. As such, the Company may require collateral, advanced payment or other security based upon the customer history and/or creditworthiness. In determining the allowance for doubtful accounts, the Company evaluates the collectability of accounts receivable based primarily on the probability of recoverability based on historical collection and write-off experience, the age of past due receivables, specific customer circumstances, and current economic trends. If the financial condition of the Company’s customers were to deteriorate, resulting in an impairment of their ability to make payment, additional allowances may be required. Failure to accurately estimate the losses for doubtful accounts and ensure that payments are received on a timely basis could have a material adverse effect on the Company’s business, financial condition, results of operations, and cash flows.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Inventories include material, direct labor and related manufacturing overhead, and are stated at the lower of cost, determined on a first-in, first-out basis, or net realizable value determined as the estimated selling prices in the ordinary course of business, less reasonably predictable costs of completion, disposal and transportation. The Company records inventory when it takes delivery and title to the product according to the terms of each supply contract.</w:t>
      </w:r>
    </w:p>
    <w:p>
      <w:pPr>
        <w:spacing w:after="0" w:line="1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Program costs may be deferred and recorded as inventory on contracts on which costs are incurred in excess of approved contractual amounts and/or funding, if future recovery of the costs is deemed probable.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308" w:gutter="0" w:footer="0" w:header="0"/>
        </w:sectPr>
      </w:pPr>
    </w:p>
    <w:bookmarkStart w:id="53" w:name="page54"/>
    <w:bookmarkEnd w:id="53"/>
    <w:p>
      <w:pPr>
        <w:jc w:val="both"/>
        <w:ind w:firstLine="486"/>
        <w:spacing w:after="0" w:line="279" w:lineRule="auto"/>
        <w:rPr>
          <w:sz w:val="20"/>
          <w:szCs w:val="20"/>
          <w:color w:val="auto"/>
        </w:rPr>
      </w:pPr>
      <w:r>
        <w:rPr>
          <w:rFonts w:ascii="Arial" w:cs="Arial" w:eastAsia="Arial" w:hAnsi="Arial"/>
          <w:sz w:val="17"/>
          <w:szCs w:val="17"/>
          <w:color w:val="auto"/>
        </w:rPr>
        <w:t>At each balance sheet date, the Company evaluates its ending inventories for excess quantities and obsolescence. Inventories that management considers excess or obsolete are reserved.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the fiscal years ended March 31, 2022 and 2021, the Company recorded inventory reserves of approximately $1.9 million and $1.8 million, respectively, based on evaluating its ending inventory on hand for excess quantities and obsolescence.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Leases include all agreements in which the Company obtains control of a physical asset. Leases are captured on the balance sheet as both a right of use asset and associated lease liability and are valued based on the commencement of the Company's control of the asset, after being discounted by its incremental borrowing rate. The Company's lease portfolio is made up primarily of real estate leases for its various offices, but also include items such as vehicles, IT equipment and other miscellaneous tools and equipment needed for manufacturing. The Company's incremental borrowing rate was determined through an analysis to identify what rates it could obtain if the Company were to secure external financing for similar transactions, and includes considerations of both the market and its current credit ratings. An analysis is performed annually, or upon execution of any individually material agreement, to ensure that the rates being applied to newly acquired leases are still accurate.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majority of the Company's leases are classified as operating leases, and therefore the expense is captured in income from operations each period.</w:t>
      </w:r>
    </w:p>
    <w:p>
      <w:pPr>
        <w:spacing w:after="0" w:line="24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elected to exclude all leases of less than twelve months from the balance sheet presentation. We have also elected a policy in which we will not segregate lease components from non-lease components, so in the event we execute an agreement which includes a non-lease component our asset and liability recorded to the balance sheet will include the value of that non-lease component as well. This policy will be applied to all classifications of leases.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Property, plant and equipment are carried at cost less accumulated depreciation and amortization. The Company accounts for depreciation and amortization using the straight-line method to allocate the cost of property, plant and equipment over their estimated useful lives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Asset Classification</w:t>
            </w:r>
          </w:p>
        </w:tc>
        <w:tc>
          <w:tcPr>
            <w:tcW w:w="10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Life in Years</w:t>
            </w:r>
          </w:p>
        </w:tc>
        <w:tc>
          <w:tcPr>
            <w:tcW w:w="60" w:type="dxa"/>
            <w:vAlign w:val="bottom"/>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580" w:type="dxa"/>
            <w:vAlign w:val="bottom"/>
            <w:gridSpan w:val="2"/>
            <w:shd w:val="clear" w:color="auto" w:fill="CCEEFF"/>
          </w:tcPr>
          <w:p>
            <w:pPr>
              <w:jc w:val="right"/>
              <w:ind w:right="2470"/>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580" w:type="dxa"/>
            <w:vAlign w:val="bottom"/>
            <w:gridSpan w:val="2"/>
          </w:tcPr>
          <w:p>
            <w:pPr>
              <w:jc w:val="right"/>
              <w:ind w:right="253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Shorter of the estimated useful life or the remaining lease term</w:t>
            </w: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operating expenses.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indicators requiring impairment testing on the Company's long-lived assets during the fiscal years ended March 31, 2022 and 2021.</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Goodwill represents the excess of cost over net assets of acquired businesses that are consolidated. The Company performs its annual assessment of goodwill on February 28th of each fiscal year and whenever events or changes in circumstances or a triggering event indicate that the carrying amount may not be recoverable. Determining whether a triggering event has occurred often involves significant judgment from management. An entity is permitted to first assess qualitatively whether it is necessary to perform a goodwill impairment test. The quantitative impairment test is required only if the entity concludes that it is more likely than not that a reporting unit’s fair value is less than its carrying amount. The Company determines the fair value of a reporting unit based on an income approach utilizing a discounted cash flow adjusted for entity specific factors. In evaluating whether it is more likely than not that the fair value of a reporting unit is less than its carrying amount, an entity should consider the totality of all relevant events or circumstances that affect the fair value or carrying amount of a reporting unit. If the carrying value of a reporting unit exceeds the reporting unit’s fair value, then an impairment charge is recognized reducing the goodwill by the excess of the carrying amount over the fair value, not to exceed the total amount of the goodwill allocated to the that reporting unit. See Note 5, "Goodwill" for further information and discussion.</w:t>
      </w:r>
    </w:p>
    <w:p>
      <w:pPr>
        <w:spacing w:after="0" w:line="1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performed its annual assessment of goodwill on February 28, 2022 and noted no triggering events from the analysis date to March 31, 2022 and determined that there was no impairment to goodwill. Additionally, there was no impairment identified for the fiscal year ended March 31, 2021 based on the assessment performed in the prior fiscal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Revenue contracts are defined as an arrangement that creates enforceable rights and obligations of both parties where collection of the contract price is deemed probable. The Company records revenue based on a five-step model which includes confirmation of contract existence, identifying the performance obligations, determining the transaction price, allocating the contract transaction price to the performance obligations, and recognizing the revenue when (or as) control of goods or services is transferred to the customer. The transfer of control can occur at the time of delivery, installation or post-installation where applicable.</w:t>
      </w:r>
    </w:p>
    <w:p>
      <w:pPr>
        <w:spacing w:after="0" w:line="18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w:t>
      </w:r>
    </w:p>
    <w:p>
      <w:pPr>
        <w:spacing w:after="0" w:line="16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certain arrangements, such as contracts to perform research and development, prototype development contracts and certain customized product sales, the Company records revenues using the over-time method, measured by the relationship of costs incurred to total estimated contract costs. Over-time revenue recognition accounting is predominantly used on certain turnkey power systems installations for electric utilities and long-term prototype development contracts with the U.S. government. The Company follows this method when any of the three following criteria are met: when the customer receives the benefits as they are performed, control transfers to the customer as the work is performed, or there is no alternative use to the Company and there is an enforceable right to payment through the life of the contract. However, the ability to reliably estimate total costs at completion is challenging, especially on long-term prototype development contracts, and could result in future changes in contract estimates. For contracts where reasonably dependable estimates of the revenues and costs cannot be made, the Company follows the point in time method.</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enters into sales arrangements that may provide for multiple performance obligations to a customer. Sales of certain products may include extended warranty and support or service packages, and at times include performance bonds. As these contracts progress, the Company continually assesses the probability of a payout from the performance bond. Should the Company determine that such a payout is likely, the Company would record a liability. The Company would reduce revenue to the extent a liability is recorded. In addition, the Company enters into licensing arrangements that include training services.</w:t>
      </w:r>
    </w:p>
    <w:p>
      <w:pPr>
        <w:spacing w:after="0" w:line="18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Performance obligations are separated into more than one unit of accounting when (1) the delivered element(s) have value to the customer on a stand-alone basis, and (2) the Company's promise to transfer the goods or services to the customer is separately identifiable from other promises in the contract. In general, revenues are separated between the different product shipments which have stand-alone value, and the various services to be provided. Revenue for product shipments is generally recognized at a point in time where control of the product is transferred to the customer, while revenues for the services are generally recognized over the period of performance. The Company identifies all goods and/or services that are to be delivered separately under a sales arrangement and allocates the transaction price to each distinct performance obligation using the respective standalone selling price ("SSP") which is determined primarily using the cost plus expected margin approach for products and a relief from royalty method for licenses. Revenue allocated to each performance obligation is recognized when, or as, the performance obligation is satisfied. The Company reviews SSP and the related margins at least annually.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p>
      <w:pPr>
        <w:jc w:val="both"/>
        <w:ind w:firstLine="486"/>
        <w:spacing w:after="0" w:line="270" w:lineRule="auto"/>
        <w:rPr>
          <w:sz w:val="20"/>
          <w:szCs w:val="20"/>
          <w:color w:val="auto"/>
        </w:rPr>
      </w:pPr>
      <w:r>
        <w:rPr>
          <w:rFonts w:ascii="Arial" w:cs="Arial" w:eastAsia="Arial" w:hAnsi="Arial"/>
          <w:sz w:val="17"/>
          <w:szCs w:val="17"/>
          <w:color w:val="auto"/>
        </w:rPr>
        <w:t>The Company’s license agreements provide either for the payment of contractually determined paid-up front license fees or milestone based payments in consideration for the grant of rights to manufacture and/or sell products using its patented technologies or know-how. Some of these agreements provide for the release of the licensee from past and future intellectual property infringement claims. When the Company can determine that it has no further obligations other than the grant of the license and that the Company has fully transferred the technology know-how, the Company recognizes the revenue under a point in time model. In other license arrangements, the Company may also agree to provide training services to transfer the technology know-how. In these arrangements, the Company has determined that the licenses have no standalone value to the customer and are not separable from training services as the Company can only fully transfer the technology know-how through the training component. Accordingly, the Company accounts for these arrangements as a single unit of accounting, and recognizes revenue over the period of its performance using the over-time method. Costs for these arrangements are expensed as incurred.</w:t>
      </w:r>
    </w:p>
    <w:p>
      <w:pPr>
        <w:spacing w:after="0" w:line="18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 For contractual arrangements that involve variable consideration, the Company recognizes revenue for these amounts upon reaching the constraining event successfully. The Company does not generally provide for extended payment terms or provide its customers with a right of return.</w:t>
      </w:r>
    </w:p>
    <w:p>
      <w:pPr>
        <w:spacing w:after="0" w:line="17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Infrequently, the Company receives requests from customers to hold product being purchased from us for a valid business purpose. The Company recognizes revenues for such arrangements provided the transaction meets, at a minimum, the following criteria: a valid business purpose for the arrangement exists; risk of ownership of the purchased product has been transferred to the buyer; there is a fixed delivery date that is reasonable and consistent with the buyer’s business purpose; the product is ready for shipment; there are no continuing performance obligation in regards to the purchased product and these products have been segregated from the Company's inventories and cannot be used to fill other orders received. Revenue for the fiscal year ended March 31, 2022 included $1.2 million from such held transactions. There were no such transactions in fiscal 2020.</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elected to record taxes collected from customers on a net basis and does not include tax amounts in revenue or costs of revenue.</w:t>
      </w:r>
    </w:p>
    <w:p>
      <w:pPr>
        <w:spacing w:after="0" w:line="24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w:t>
      </w:r>
    </w:p>
    <w:p>
      <w:pPr>
        <w:spacing w:after="0" w:line="4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The Company accounts for acquisitions using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for each acquisition is allocated to the assets acquired and liabilities assumed based on their estimated fair values at the date of acquisition. Intangible assets, if identified, are also recorded at fair value. The excess purchase price over the estimated fair value of the net assets acquired is recorded as goodwill.</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Determining the fair value of certain assets and liabilities assumed is judgmental in nature and often involves the use of significant estimates and assumptions as well as the use of specialists as needed.</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consideration for its acquisitions may include future payments that are contingent upon the occurrence of a particular event. The Company records a contingent consideration obligation for such contingent consideration payments at fair value on the acquisition date. The Company estimates the fair value of contingent consideration obligations through valuation models that incorporate probability adjusted assumptions related to the achievement of the milestones and the likelihood of making related payments. Each period the Company revalues the contingent consideration obligations associated with the acquisition to fair value and records changes in the fair value within the operating expenses in its consolidated statements of operations. Increases or decreases in the fair value of the contingent consideration obligations can result from changes in assumed revenue risk premium and volatility, as well as changes in the stock price and assumed probability with respect to the attainment of certain financial and operational metrics, among others. Significant judgment is employed in determining these assumptions as of the acquisition date and for each subsequent period. Accordingly, future business and economic conditions, as well as changes in any of the assumptions described above, can materially impact the fair value of contingent consideration recorded at each reporting period. See Note 3, "Acquisitions," for additional information.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Warranty obligations are incurred in connection with the sale of the Company’s products. 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 The costs incurred to provide for these warranty obligations are estimated and recorded as an accrued liability at the time of sale. Future warranty costs are estimated based on historical performance rates and related costs to repair given products. The accounting estimate related to product warranty involves judgment in determining future estimated warranty costs. Should actual performance rates or repair costs differ from estimates, revision to the estimated warranty liability would be required.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6" w:name="page57"/>
    <w:bookmarkEnd w:id="56"/>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provision for income taxes is comprised of a current and a deferred portion. The current income tax provision is calculated as the estimated taxes payable or refundable on tax returns for the current fiscal year. The deferred income tax provision is calculated for the estimated future tax effects attributable to temporary differences and carry-forwards using expected tax rates in effect in the years during which the differences are expected to reverse.</w:t>
      </w:r>
    </w:p>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Deferred income taxes are recognized for the tax consequences in future fiscal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The Company has provided a valuation allowance against its U.S. and Romania deferred income tax assets since the Company believes that it is more likely than not that these deferred tax assets are not currently realizable due to uncertainty around profitability in the future.</w:t>
      </w:r>
    </w:p>
    <w:p>
      <w:pPr>
        <w:spacing w:after="0" w:line="16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includes interest and penalties related to gross unrecognized tax benefits within the provision for income taxes. See Note 13, “Income Taxes,” for further information regarding its income tax assumptions and expenses.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accounts for stock-based payment transactions using a fair value-based method and recognizes the related expense in the results of operations.</w:t>
      </w:r>
    </w:p>
    <w:p>
      <w:pPr>
        <w:spacing w:after="0" w:line="1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Stock-based compensation is estimated at the grant date based on the fair value of the award and is recognized as expense over the requisite service period of the award. The fair value of restricted stock awards is determined by reference to the fair market value of the Company’s common stock on the date of grant. The Company uses the Black-Scholes option pricing model to estimate the fair value of awards with service and performance conditions. For awards with service conditions only, the Company recognizes compensation cost on a straight-line basis over the requisite service/vesting period. For awards with performance conditions, estimates of compensation cost are made based on the probable outcome of the performance conditions. The cumulative effect of changes in the probability outcomes are recorded in the period in which the changes occur.</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Determining the appropriate fair value model and related assumptions requires judgment, including estimating stock price volatilities of the Company’s common stock and expected terms. The expected volatility rates are estimated based on historical and implied volatilities of the Company’s common stock. The expected term represents the average time that the options that vest are expected to be outstanding based on the vesting provisions and the Company’s historical exercise, cancellation and expiration patterns.</w:t>
      </w:r>
    </w:p>
    <w:p>
      <w:pPr>
        <w:spacing w:after="0" w:line="18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estimates pre-vesting forfeitures when recognizing compensation expense based on historical and forward-looking factors. Changes in estimated forfeiture rates and differences between estimated forfeiture rates and actual experience may result in significant, unanticipated increases or decreases in stock-based compensation expense from period to period. The termination of employment of certain employees who hold large numbers of stock-based awards may also have a significant, unanticipated impact on forfeiture experience and, therefore, on stock-based compensation expense. The Company will update these assumptions on at least an annual basis and on an interim basis if significant changes to the assumptions are warranted.</w:t>
      </w:r>
    </w:p>
    <w:p>
      <w:pPr>
        <w:spacing w:after="0" w:line="16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share-based payments made to non-employees in the same manner as other share-based payments for employees, with the measurement being based on the fair value at the grant date. The non-employee share based payments will be included within the Company's stock compensation currently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7" w:name="page58"/>
    <w:bookmarkEnd w:id="57"/>
    <w:p>
      <w:pPr>
        <w:ind w:left="18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For the fiscal years ended March 31, 2022 and 2021, common equivalent shares of 495,402, and 436,139, respectively, were not included in the calculation of diluted EPS as they were considered antidilutive. The following table reconciles the numerators and denominators of the EPS calculation for the fiscal years ended March 31, 2022 and 2021 (in thousands except per share amounts):</w:t>
      </w:r>
    </w:p>
    <w:p>
      <w:pPr>
        <w:sectPr>
          <w:pgSz w:w="11900" w:h="16838" w:orient="portrait"/>
          <w:cols w:equalWidth="0" w:num="1">
            <w:col w:w="11240"/>
          </w:cols>
          <w:pgMar w:left="320" w:top="611" w:right="339" w:bottom="2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Denominator: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Weighted-average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Weighted-average shares subject to repurchase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used in per-share calculation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used in per-share calculation ― diluted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 per share ― diluted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Fiscal year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(19,193)</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(22,678)</w:t>
            </w: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24,991</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(0.71)</w:t>
            </w:r>
          </w:p>
        </w:tc>
        <w:tc>
          <w:tcPr>
            <w:tcW w:w="1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3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(0.71)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bl>
    <w:p>
      <w:pPr>
        <w:spacing w:after="0" w:line="608" w:lineRule="exact"/>
        <w:rPr>
          <w:sz w:val="20"/>
          <w:szCs w:val="20"/>
          <w:color w:val="auto"/>
        </w:rPr>
      </w:pPr>
    </w:p>
    <w:p>
      <w:pPr>
        <w:sectPr>
          <w:pgSz w:w="11900" w:h="16838" w:orient="portrait"/>
          <w:cols w:equalWidth="0" w:num="2">
            <w:col w:w="7280" w:space="720"/>
            <w:col w:w="3240"/>
          </w:cols>
          <w:pgMar w:left="320" w:top="611" w:right="339" w:bottom="241" w:gutter="0" w:footer="0" w:header="0"/>
          <w:type w:val="continuous"/>
        </w:sectPr>
      </w:pPr>
    </w:p>
    <w:p>
      <w:pPr>
        <w:spacing w:after="0" w:line="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functional currency of all the Company’s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Net foreign currency gains and losses are included in other income (expense), net on the consolidated statements of operations was less than $0.1 million and $0.7 million, for the fiscal years ended March 31, 2022 and 2021, respectively. The Company has no restrictions on the foreign exchange activities of its foreign subsidiaries, including the payment of dividends and other distributions.</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materially differ from those estimates and would impact future results of operations and cash flows.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invests its available cash in high credit, quality financial instruments and invests primarily in investment-grade marketable securities, including, but not limited to, government obligations, money market funds and corporate debt instruments.</w:t>
      </w:r>
    </w:p>
    <w:p>
      <w:pPr>
        <w:spacing w:after="0" w:line="170"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successfully obtaining financing under incrementally-funded contracts with the U.S. government and it expects to continue to obtain additional contract modifications in the year ending March 31, 2023 and beyond as incremental funding is authorized and appropriated by the government.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is known and adjusts the loss provision when appropriate. If the loss is not probable or cannot be reasonably estimated, a liability is not recorded in the consolidated financial statements. If, with respect to a matter, it is not both probable to result in liability and the amount of loss cannot be reasonably estimated, an estimate of possible loss or range of loss is disclosed unless such an estimate cannot be made. The Company does not recognize gain contingencies until they are realized. Legal costs incurred in connection with loss contingencies are expensed as incurred. See Note 17, “Commitments and Contingencies,” for further information.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Disclosure of Fair Value of Financial Instruments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Company’s financial instruments consist principally of cash and cash equivalents, accounts receivable, marketable securities, accounts payable, accrued expenses, and derivatives. The carrying amounts of cash and cash equivalents, accounts receivable, short-term debt, accounts payable, and accrued expenses due to their short nature approximate fair value at March 31, 2022 and 2021. The estimated fair values have been determined through information obtained from market sources and management estimates. Marketable securities consist of certificates of deposit with maturities of less than 12 months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fair value for the contingent consideration is estimated using a Monte Carlo simulation and subject to revaluation at each balance sheet date. The fair value for the warrant arrangements was historically estimated by management based on various assumptions in a lattice model and was subject to revaluation at each balance sheet date. The Company classifies the estimates used to fair value these instruments as Level 3 inputs. See Note 6, “Fair Value Measurements” for a full discussion on fair value measurements.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241"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3. Acquisitions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ind w:right="420" w:firstLine="486"/>
        <w:spacing w:after="0" w:line="279" w:lineRule="auto"/>
        <w:rPr>
          <w:sz w:val="20"/>
          <w:szCs w:val="20"/>
          <w:color w:val="auto"/>
        </w:rPr>
      </w:pPr>
      <w:r>
        <w:rPr>
          <w:rFonts w:ascii="Arial" w:cs="Arial" w:eastAsia="Arial" w:hAnsi="Arial"/>
          <w:sz w:val="17"/>
          <w:szCs w:val="17"/>
          <w:color w:val="auto"/>
        </w:rPr>
        <w:t xml:space="preserve">As described in Note </w:t>
      </w:r>
      <w:r>
        <w:rPr>
          <w:rFonts w:ascii="Arial" w:cs="Arial" w:eastAsia="Arial" w:hAnsi="Arial"/>
          <w:sz w:val="17"/>
          <w:szCs w:val="17"/>
          <w:i w:val="1"/>
          <w:iCs w:val="1"/>
          <w:color w:val="auto"/>
        </w:rPr>
        <w:t>1,</w:t>
      </w:r>
      <w:r>
        <w:rPr>
          <w:rFonts w:ascii="Arial" w:cs="Arial" w:eastAsia="Arial" w:hAnsi="Arial"/>
          <w:sz w:val="17"/>
          <w:szCs w:val="17"/>
          <w:color w:val="auto"/>
        </w:rPr>
        <w:t xml:space="preserve"> "Nature of the Business and Operations and Liquidity", on the Neeltran Acquisition Date, pursuant to the terms of the Neeltran Stock Purchase Agreement, the Company purchased all of the issued and outstanding shares of capital stock of Neeltran and International for $1.0 million in cash and the AMSC Shares, that were paid and issued, respectively, to the Neeltran selling stockholders. The Company also paid $1.1 million to International selling stockholders to pay off previous loans made by them to Neeltran.</w:t>
      </w:r>
    </w:p>
    <w:p>
      <w:pPr>
        <w:spacing w:after="0" w:line="17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Additionally, the Company paid approximately $7.6 million, including $1.9 million of indebtedness secured by the mortgage on the real property as described below, directly to Neeltran lenders at closing to extinguish outstanding Neeltran indebtedness to third parties. Pursuant to the terms of the Real Property Purchase Agreement, AMSC Husky purchased the real property that serves as Neeltran's headquarters for $4.3 million, of which (a) $2.4 million was paid from immediately available funds by AMSC Husky to the selling parties, and (b) $1.9 million was paid directly to TD Bank as full payment for the outstanding indebtedness secured by the mortgage on such real property. The total purchase price of $16.4 million includes cash paid, the fair value of the AMSC Shares issued at closing and the debt payoff on behalf of the sellers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 xml:space="preserve">The Neeltran Acquisition completed by the Company during the fiscal year ended March 31, 2022, has been accounted for under the purchase method of accounting in accordance with ASC </w:t>
      </w:r>
      <w:r>
        <w:rPr>
          <w:rFonts w:ascii="Arial" w:cs="Arial" w:eastAsia="Arial" w:hAnsi="Arial"/>
          <w:sz w:val="16"/>
          <w:szCs w:val="16"/>
          <w:i w:val="1"/>
          <w:iCs w:val="1"/>
          <w:color w:val="auto"/>
        </w:rPr>
        <w:t>805, Business Combinations.</w:t>
      </w:r>
      <w:r>
        <w:rPr>
          <w:rFonts w:ascii="Arial" w:cs="Arial" w:eastAsia="Arial" w:hAnsi="Arial"/>
          <w:sz w:val="16"/>
          <w:szCs w:val="16"/>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w:t>
      </w:r>
      <w:r>
        <w:rPr>
          <w:rFonts w:ascii="Arial" w:cs="Arial" w:eastAsia="Arial" w:hAnsi="Arial"/>
          <w:sz w:val="16"/>
          <w:szCs w:val="16"/>
          <w:i w:val="1"/>
          <w:iCs w:val="1"/>
          <w:color w:val="auto"/>
        </w:rPr>
        <w:t>842</w:t>
      </w:r>
      <w:r>
        <w:rPr>
          <w:rFonts w:ascii="Arial" w:cs="Arial" w:eastAsia="Arial" w:hAnsi="Arial"/>
          <w:sz w:val="16"/>
          <w:szCs w:val="16"/>
          <w:color w:val="auto"/>
        </w:rPr>
        <w:t xml:space="preserve"> ("ASC </w:t>
      </w:r>
      <w:r>
        <w:rPr>
          <w:rFonts w:ascii="Arial" w:cs="Arial" w:eastAsia="Arial" w:hAnsi="Arial"/>
          <w:sz w:val="16"/>
          <w:szCs w:val="16"/>
          <w:i w:val="1"/>
          <w:iCs w:val="1"/>
          <w:color w:val="auto"/>
        </w:rPr>
        <w:t>842"</w:t>
      </w:r>
      <w:r>
        <w:rPr>
          <w:rFonts w:ascii="Arial" w:cs="Arial" w:eastAsia="Arial" w:hAnsi="Arial"/>
          <w:sz w:val="16"/>
          <w:szCs w:val="16"/>
          <w:color w:val="auto"/>
        </w:rPr>
        <w:t xml:space="preserve">) was completed as part of the Neeltran Acquisition. See Note </w:t>
      </w:r>
      <w:r>
        <w:rPr>
          <w:rFonts w:ascii="Arial" w:cs="Arial" w:eastAsia="Arial" w:hAnsi="Arial"/>
          <w:sz w:val="16"/>
          <w:szCs w:val="16"/>
          <w:i w:val="1"/>
          <w:iCs w:val="1"/>
          <w:color w:val="auto"/>
        </w:rPr>
        <w:t>15</w:t>
      </w:r>
      <w:r>
        <w:rPr>
          <w:rFonts w:ascii="Arial" w:cs="Arial" w:eastAsia="Arial" w:hAnsi="Arial"/>
          <w:sz w:val="16"/>
          <w:szCs w:val="16"/>
          <w:color w:val="auto"/>
        </w:rPr>
        <w:t xml:space="preserve"> "Leases" for further details. Neeltran had previously adopted Accounting Standards Codification </w:t>
      </w:r>
      <w:r>
        <w:rPr>
          <w:rFonts w:ascii="Arial" w:cs="Arial" w:eastAsia="Arial" w:hAnsi="Arial"/>
          <w:sz w:val="16"/>
          <w:szCs w:val="16"/>
          <w:i w:val="1"/>
          <w:iCs w:val="1"/>
          <w:color w:val="auto"/>
        </w:rPr>
        <w:t>606, Revenue from Contracts with Customers</w:t>
      </w:r>
      <w:r>
        <w:rPr>
          <w:rFonts w:ascii="Arial" w:cs="Arial" w:eastAsia="Arial" w:hAnsi="Arial"/>
          <w:sz w:val="16"/>
          <w:szCs w:val="16"/>
          <w:color w:val="auto"/>
        </w:rPr>
        <w:t xml:space="preserve"> ("ASC </w:t>
      </w:r>
      <w:r>
        <w:rPr>
          <w:rFonts w:ascii="Arial" w:cs="Arial" w:eastAsia="Arial" w:hAnsi="Arial"/>
          <w:sz w:val="16"/>
          <w:szCs w:val="16"/>
          <w:i w:val="1"/>
          <w:iCs w:val="1"/>
          <w:color w:val="auto"/>
        </w:rPr>
        <w:t>606"</w:t>
      </w:r>
      <w:r>
        <w:rPr>
          <w:rFonts w:ascii="Arial" w:cs="Arial" w:eastAsia="Arial" w:hAnsi="Arial"/>
          <w:sz w:val="16"/>
          <w:szCs w:val="16"/>
          <w:color w:val="auto"/>
        </w:rPr>
        <w:t>) as part of prior year audited financial statements.</w:t>
      </w:r>
    </w:p>
    <w:p>
      <w:pPr>
        <w:spacing w:after="0" w:line="164" w:lineRule="exact"/>
        <w:rPr>
          <w:sz w:val="20"/>
          <w:szCs w:val="20"/>
          <w:color w:val="auto"/>
        </w:rPr>
      </w:pPr>
    </w:p>
    <w:p>
      <w:pPr>
        <w:ind w:left="160" w:firstLine="324"/>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 with the Neeltran Acquisition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0"/>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Inventory includes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by $0.6 million in the twelve month period ended March 31, 2022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21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211"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goodwill represents the value associated with the acquired workforce and expected synergies related to the business combinations of</w:t>
      </w:r>
    </w:p>
    <w:p>
      <w:pPr>
        <w:spacing w:after="0" w:line="3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two companies. Goodwill resulting from the Neeltran Acquisition was assigned to the Company's Grid business segment. Goodwill recognized in the Neeltran Acquisition is not deductible for tax purposes. The Company has finalized its purchase price allocation for the Neeltran Acquisition, and there were no changes to the net assets and goodwill recorded by the Company as of May 6, 2021.</w:t>
      </w:r>
    </w:p>
    <w:p>
      <w:pPr>
        <w:sectPr>
          <w:pgSz w:w="11900" w:h="16838" w:orient="portrait"/>
          <w:cols w:equalWidth="0" w:num="1">
            <w:col w:w="11240"/>
          </w:cols>
          <w:pgMar w:left="320" w:top="850" w:right="339" w:bottom="0" w:gutter="0" w:footer="0" w:header="0"/>
        </w:sectPr>
      </w:pPr>
    </w:p>
    <w:bookmarkStart w:id="59" w:name="page60"/>
    <w:bookmarkEnd w:id="59"/>
    <w:p>
      <w:pPr>
        <w:ind w:right="60" w:firstLine="474"/>
        <w:spacing w:after="0" w:line="263" w:lineRule="auto"/>
        <w:rPr>
          <w:sz w:val="20"/>
          <w:szCs w:val="20"/>
          <w:color w:val="auto"/>
        </w:rPr>
      </w:pPr>
      <w:r>
        <w:rPr>
          <w:rFonts w:ascii="Arial" w:cs="Arial" w:eastAsia="Arial" w:hAnsi="Arial"/>
          <w:sz w:val="18"/>
          <w:szCs w:val="18"/>
          <w:color w:val="auto"/>
        </w:rPr>
        <w:t xml:space="preserve">The results of Neeltran's operations, are included in the Company's consolidated results from the date of the Neeltran Acquisition of May 6, 2021. In the consolidated results for the twelve months ended March 31, 2022 </w:t>
      </w:r>
      <w:r>
        <w:rPr>
          <w:rFonts w:ascii="Arial" w:cs="Arial" w:eastAsia="Arial" w:hAnsi="Arial"/>
          <w:sz w:val="18"/>
          <w:szCs w:val="18"/>
          <w:i w:val="1"/>
          <w:iCs w:val="1"/>
          <w:color w:val="auto"/>
        </w:rPr>
        <w:t>,</w:t>
      </w:r>
      <w:r>
        <w:rPr>
          <w:rFonts w:ascii="Arial" w:cs="Arial" w:eastAsia="Arial" w:hAnsi="Arial"/>
          <w:sz w:val="18"/>
          <w:szCs w:val="18"/>
          <w:color w:val="auto"/>
        </w:rPr>
        <w:t xml:space="preserve"> Neeltran contributed $21.4 million of revenue and $3.4 million in net loss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NEPSI</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On October 1, 2020 (the “NEPSI Acquisition Date”), the Company entered into a Stock Purchase Agreement (the “NEPSI Stock Purchase Agreement”) with the selling stockholders named therein. Pursuant to the terms of the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unit. The purchase price was $26.0 million in cash and 873,657 restricted shares of common stock of the Company. As part of the transaction, the selling stockholders may receive up to an additional 1,000,000 shares of common stock of the Company upon the achievement of certain specified revenue objectives during varying periods of up to four years following closing of the NEPSI Acquisition. Prior to the NEPSI Acquisition, the Company had purchased $0.4 million of products from NEPSI in fiscal year 2019 for which NEPSI was paid and had recorded revenue.</w:t>
      </w:r>
    </w:p>
    <w:p>
      <w:pPr>
        <w:spacing w:after="0" w:line="16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twelve months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acquisition. The excess of the purchase price paid by the Company over the estimated fair value of net assets acquired has been recorded as goodwill. As NEPSI was previously a private company, the adoption of ASC 606 was completed as part of the NEPSI Acquisition. See Note 4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consideration consists of (a) cash of $26.0 million, (b) issuance of the Company's common stock, using $14.23 per share, which was the closing price on the day that the Company acquired NEPSI, and (c) $4.0 million of contingent consideration for the earnout liability valued as of the NEPSI Acquisition Date. NEPSI Acquisition costs of $0.3 million were recorded in selling, general and administrative ("SG&amp;A") costs for the fiscal year ended March 31, 2021.</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See Note 12, "Contingent Consideration" for further details and a summary of key assumptions used to determine fair value in each period.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0"/>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10"/>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ectPr>
          <w:pgSz w:w="11900" w:h="16838" w:orient="portrait"/>
          <w:cols w:equalWidth="0" w:num="1">
            <w:col w:w="11240"/>
          </w:cols>
          <w:pgMar w:left="320" w:top="125" w:right="339" w:bottom="78" w:gutter="0" w:footer="0" w:header="0"/>
        </w:sectPr>
      </w:pPr>
    </w:p>
    <w:bookmarkStart w:id="60" w:name="page61"/>
    <w:bookmarkEnd w:id="60"/>
    <w:p>
      <w:pPr>
        <w:ind w:firstLine="486"/>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jc w:val="both"/>
        <w:ind w:firstLine="486"/>
        <w:spacing w:after="0" w:line="286" w:lineRule="auto"/>
        <w:rPr>
          <w:sz w:val="20"/>
          <w:szCs w:val="20"/>
          <w:color w:val="auto"/>
        </w:rPr>
      </w:pPr>
      <w:r>
        <w:rPr>
          <w:rFonts w:ascii="Arial" w:cs="Arial" w:eastAsia="Arial" w:hAnsi="Arial"/>
          <w:sz w:val="17"/>
          <w:szCs w:val="17"/>
          <w:color w:val="auto"/>
        </w:rPr>
        <w:t>Goodwill represents the value associated with the acquired workforce and expected synergies related to the business combination of the two companies. Goodwill resulting from the NEPSI Acquisition was assigned to the Company’s Grid segment. Goodwill recognized in the NEPSI Acquisition is not deductible for tax purposes. The $1.7 million of deferred tax liability is primarily related to inventory step up and intangibles.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year ended March 31, 2022 and 2021 is presented as if the NEPSI Acquisition and Neeltran Acquisition had occurred on April 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Twelve Months Ended March 31,</w:t>
            </w:r>
          </w:p>
        </w:tc>
      </w:tr>
      <w:tr>
        <w:trPr>
          <w:trHeight w:val="234"/>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111,265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(20,475)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(31,115)</w:t>
            </w:r>
          </w:p>
        </w:tc>
      </w:tr>
      <w:tr>
        <w:trPr>
          <w:trHeight w:val="20"/>
        </w:trPr>
        <w:tc>
          <w:tcPr>
            <w:tcW w:w="80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(21,218)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(27,118)</w:t>
            </w: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Shares - basic</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27,234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24,621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24,621</w:t>
            </w: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pro forma amounts include the historical operating results of the Company, NEPSI and Neeltran with appropriate adjustments that give effect to acquisition related costs, income taxes, intangible amortization resulting from the NEPSI Acquisition and Neeltran Acquisition and certain conforming accounting policies of the Company. The pro forma amounts are not necessarily indicative of the operating results that would have occurred if the NEPSI and Neeltran Acquisition and related transactions had been completed at the beginning of the applicable periods presented. In addition, the pro forma amounts are not necessarily indicative of operating results in future periods.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As of March 31, 2022, 76% of revenue was recognized at the point in time when control transferred to the customer, with the remainder being recognized over time. In the fiscal year ended March 31, 2021, 78% of revenue was recognized at the point in time when control transferred to the customer, with the remainder being recognized over time.</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 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as the Company has determined that this is the point in time that control transfers to the customer.</w:t>
      </w:r>
    </w:p>
    <w:p>
      <w:pPr>
        <w:spacing w:after="0" w:line="19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year ended March 31, 2022, the Company recorded $1.1 million in grant revenue, which is included in the Company’s Grid revenue. There was $3.9 million in grant revenue recorded in the year ended March 31, 2021, which is included in the Company's Grid revenue.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2" w:name="page63"/>
    <w:bookmarkEnd w:id="62"/>
    <w:p>
      <w:pPr>
        <w:jc w:val="both"/>
        <w:ind w:firstLine="486"/>
        <w:spacing w:after="0" w:line="268" w:lineRule="auto"/>
        <w:rPr>
          <w:sz w:val="20"/>
          <w:szCs w:val="20"/>
          <w:color w:val="auto"/>
        </w:rPr>
      </w:pPr>
      <w:r>
        <w:rPr>
          <w:rFonts w:ascii="Arial" w:cs="Arial" w:eastAsia="Arial" w:hAnsi="Arial"/>
          <w:sz w:val="17"/>
          <w:szCs w:val="17"/>
          <w:color w:val="auto"/>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 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service contracts can include a purchase order from a customer for specific goods in which each item is a distinct performance obligation satisfied at a point in time at which control of the goods is transferred to the customer which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policy is to not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 term amount will be assessed for materiality. The Company has elected to not adjust the promised amount of consideration for the effects of a significant financing component if the period of financing is twelve months or less.</w:t>
      </w:r>
    </w:p>
    <w:p>
      <w:pPr>
        <w:spacing w:after="0" w:line="16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ind w:left="200"/>
              <w:spacing w:after="0"/>
              <w:rPr>
                <w:sz w:val="20"/>
                <w:szCs w:val="20"/>
                <w:color w:val="auto"/>
              </w:rPr>
            </w:pPr>
            <w:r>
              <w:rPr>
                <w:rFonts w:ascii="Arial" w:cs="Arial" w:eastAsia="Arial" w:hAnsi="Arial"/>
                <w:sz w:val="18"/>
                <w:szCs w:val="18"/>
                <w:b w:val="1"/>
                <w:bCs w:val="1"/>
                <w:color w:val="auto"/>
              </w:rPr>
              <w:t>Year Ended March 31, 2022</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98,876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9,559</w:t>
            </w:r>
          </w:p>
        </w:tc>
      </w:tr>
      <w:tr>
        <w:trPr>
          <w:trHeight w:val="19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Americas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73,955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EMEA</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ind w:left="200"/>
              <w:spacing w:after="0"/>
              <w:rPr>
                <w:sz w:val="20"/>
                <w:szCs w:val="20"/>
                <w:color w:val="auto"/>
              </w:rPr>
            </w:pPr>
            <w:r>
              <w:rPr>
                <w:rFonts w:ascii="Arial" w:cs="Arial" w:eastAsia="Arial" w:hAnsi="Arial"/>
                <w:sz w:val="18"/>
                <w:szCs w:val="18"/>
                <w:b w:val="1"/>
                <w:bCs w:val="1"/>
                <w:color w:val="auto"/>
              </w:rPr>
              <w:t>Year Ended March 31, 2021</w:t>
            </w:r>
          </w:p>
        </w:tc>
      </w:tr>
      <w:tr>
        <w:trPr>
          <w:trHeight w:val="210"/>
        </w:trPr>
        <w:tc>
          <w:tcPr>
            <w:tcW w:w="414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38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Grid</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4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16,597</w:t>
            </w:r>
          </w:p>
        </w:tc>
      </w:tr>
      <w:tr>
        <w:trPr>
          <w:trHeight w:val="196"/>
        </w:trPr>
        <w:tc>
          <w:tcPr>
            <w:tcW w:w="4140" w:type="dxa"/>
            <w:vAlign w:val="bottom"/>
            <w:tcBorders>
              <w:top w:val="single" w:sz="8" w:color="CCEEFF"/>
            </w:tcBorders>
          </w:tcPr>
          <w:p>
            <w:pPr>
              <w:spacing w:after="0"/>
              <w:rPr>
                <w:sz w:val="17"/>
                <w:szCs w:val="17"/>
                <w:color w:val="auto"/>
              </w:rPr>
            </w:pPr>
          </w:p>
        </w:tc>
        <w:tc>
          <w:tcPr>
            <w:tcW w:w="38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Americas</w:t>
            </w:r>
          </w:p>
        </w:tc>
        <w:tc>
          <w:tcPr>
            <w:tcW w:w="4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54,168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EMEA</w:t>
            </w:r>
          </w:p>
        </w:tc>
        <w:tc>
          <w:tcPr>
            <w:tcW w:w="3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r>
      <w:tr>
        <w:trPr>
          <w:trHeight w:val="249"/>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70,528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16,597</w:t>
            </w:r>
          </w:p>
        </w:tc>
      </w:tr>
      <w:tr>
        <w:trPr>
          <w:trHeight w:val="413"/>
        </w:trPr>
        <w:tc>
          <w:tcPr>
            <w:tcW w:w="41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339" w:gutter="0" w:footer="0" w:header="0"/>
        </w:sectPr>
      </w:pPr>
    </w:p>
    <w:bookmarkStart w:id="63" w:name="page64"/>
    <w:bookmarkEnd w:id="63"/>
    <w:p>
      <w:pPr>
        <w:spacing w:after="0" w:line="62"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In the fiscal years ended March 31, 2022 and 2021, 38% and 41% of the Company’s revenues, respectively, were recognized from sales outside the United States. The Company maintains operations in Austria and the United States and sales and service support centers around the world.</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of March 31, 2022 and March 31, 2021,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7, “Accounts Receivable” and Note 8, “Inventory” for a reconciliation to the condensed consolidated balance sheet) and contract liabilities, which are included in the current portion and long term portion of “deferred revenue” in the Company’s condensed consolidated balance sheets,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Unbilled AR</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Increases for balances acquired</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10,048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(16,125)</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68,895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8"/>
              </w:rPr>
              <w:t>Increase (decrease) due to recognition of revenue based on transfer of control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performance obligations</w:t>
            </w:r>
          </w:p>
        </w:tc>
        <w:tc>
          <w:tcPr>
            <w:tcW w:w="16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16,852</w:t>
            </w: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(70,141)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09"/>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as of March 31, 2022</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30,034</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Unbilled AR</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5,711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Increases for balances acquired</w:t>
            </w: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(8,687)</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52,988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8"/>
              </w:rPr>
              <w:t>Increase (decrease) due to recognition of revenue based on transfer of control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performance obligations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(61,183)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10"/>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as of March 31, 2021</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21,257</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March 31, 2022, the Company had outstanding performance obligations on existing contracts under ASC 606 to be recognized in the next twelve months of approximately $78.4 million. There are also approximately $6.6 million of outstanding performance obligations to be recognized over a period of thirteen to sixty months. The remaining performance obligations are subject to customer actions and therefore the timing of revenue recognition cannot be reasonably estimated. The twelve month performance obligations include anticipated shipments to Inox based on the twelve 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sets forth customers who represented 10% or more of the Company’s total revenues for the year ended March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2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646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Reportable</w:t>
            </w:r>
          </w:p>
        </w:tc>
        <w:tc>
          <w:tcPr>
            <w:tcW w:w="1040" w:type="dxa"/>
            <w:vAlign w:val="bottom"/>
          </w:tcPr>
          <w:p>
            <w:pPr>
              <w:spacing w:after="0"/>
              <w:rPr>
                <w:sz w:val="20"/>
                <w:szCs w:val="20"/>
                <w:color w:val="auto"/>
              </w:rPr>
            </w:pPr>
          </w:p>
        </w:tc>
        <w:tc>
          <w:tcPr>
            <w:tcW w:w="212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93"/>
              </w:rPr>
              <w:t>March 31,</w:t>
            </w:r>
          </w:p>
        </w:tc>
      </w:tr>
      <w:tr>
        <w:trPr>
          <w:trHeight w:val="210"/>
        </w:trPr>
        <w:tc>
          <w:tcPr>
            <w:tcW w:w="646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EPC Services Company</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Grid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&lt;10%</w:t>
            </w:r>
          </w:p>
        </w:tc>
        <w:tc>
          <w:tcPr>
            <w:tcW w:w="202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4"/>
              </w:rPr>
              <w:t>13%</w:t>
            </w:r>
          </w:p>
        </w:tc>
        <w:tc>
          <w:tcPr>
            <w:tcW w:w="100" w:type="dxa"/>
            <w:vAlign w:val="bottom"/>
            <w:shd w:val="clear" w:color="auto" w:fill="CCEEFF"/>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Fuji Bridex Pte Ltd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Grid</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02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&lt;10%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guidance under ASC 805-30 provides for the recognition of goodwill on the acquisition date measured as the excess of the aggregate consideration transferred over the net of the acquisition date amounts of net assets acquired and liabilities assumed. The Company's goodwill balance relates to the Neeltran Acquisition in fiscal 2021, the NEPSI Acquisition in fiscal 2020, and Infinia Technology Corporation in fiscal 2017 and is reported in the Grid business segment.</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on February 28th and whenever events or changes in circumstances indicate that the carrying value of the goodwill might not be recoverable.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roll forward of the changes in our Grid business segment goodwill balance: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9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Goodwill</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9"/>
        </w:trPr>
        <w:tc>
          <w:tcPr>
            <w:tcW w:w="9560" w:type="dxa"/>
            <w:vAlign w:val="bottom"/>
          </w:tcPr>
          <w:p>
            <w:pPr>
              <w:spacing w:after="0"/>
              <w:rPr>
                <w:sz w:val="20"/>
                <w:szCs w:val="20"/>
                <w:color w:val="auto"/>
              </w:rPr>
            </w:pPr>
            <w:r>
              <w:rPr>
                <w:rFonts w:ascii="Arial" w:cs="Arial" w:eastAsia="Arial" w:hAnsi="Arial"/>
                <w:sz w:val="18"/>
                <w:szCs w:val="18"/>
                <w:color w:val="auto"/>
              </w:rPr>
              <w:t>March 31, 2020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NEPSI Acquisition</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32,915</w:t>
            </w:r>
          </w:p>
        </w:tc>
      </w:tr>
      <w:tr>
        <w:trPr>
          <w:trHeight w:val="209"/>
        </w:trPr>
        <w:tc>
          <w:tcPr>
            <w:tcW w:w="9560" w:type="dxa"/>
            <w:vAlign w:val="bottom"/>
          </w:tcPr>
          <w:p>
            <w:pPr>
              <w:spacing w:after="0"/>
              <w:rPr>
                <w:sz w:val="20"/>
                <w:szCs w:val="20"/>
                <w:color w:val="auto"/>
              </w:rPr>
            </w:pPr>
            <w:r>
              <w:rPr>
                <w:rFonts w:ascii="Arial" w:cs="Arial" w:eastAsia="Arial" w:hAnsi="Arial"/>
                <w:sz w:val="18"/>
                <w:szCs w:val="18"/>
                <w:color w:val="auto"/>
              </w:rPr>
              <w:t>March 31, 2021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34,634</w:t>
            </w:r>
          </w:p>
        </w:tc>
      </w:tr>
      <w:tr>
        <w:trPr>
          <w:trHeight w:val="90"/>
        </w:trPr>
        <w:tc>
          <w:tcPr>
            <w:tcW w:w="9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11" w:right="3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Neeltran Acquisition</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Arial" w:cs="Arial" w:eastAsia="Arial" w:hAnsi="Arial"/>
                <w:sz w:val="18"/>
                <w:szCs w:val="18"/>
                <w:color w:val="auto"/>
              </w:rPr>
              <w:t>March 31, 2022</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43,471</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performed its annual assessment of goodwill on February 28, 2022 and noted no triggering events from the analysis date to March 31, 2022 and determined that there was no impairment to goodwill. Additionally, no impairment resulted from the assessment performed in the fiscal year ended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ectPr>
          <w:pgSz w:w="11900" w:h="16878" w:orient="portrait"/>
          <w:cols w:equalWidth="0" w:num="1">
            <w:col w:w="11240"/>
          </w:cols>
          <w:pgMar w:left="320" w:top="850" w:right="339" w:bottom="0" w:gutter="0" w:footer="0" w:header="0"/>
        </w:sectPr>
      </w:pPr>
    </w:p>
    <w:p>
      <w:pPr>
        <w:spacing w:after="0" w:line="16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Level 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166" w:lineRule="exact"/>
        <w:rPr>
          <w:sz w:val="20"/>
          <w:szCs w:val="20"/>
          <w:color w:val="auto"/>
        </w:rPr>
      </w:pPr>
    </w:p>
    <w:p>
      <w:pPr>
        <w:sectPr>
          <w:pgSz w:w="11900" w:h="16878" w:orient="portrait"/>
          <w:cols w:equalWidth="0" w:num="3">
            <w:col w:w="1040" w:space="320"/>
            <w:col w:w="60" w:space="240"/>
            <w:col w:w="9580"/>
          </w:cols>
          <w:pgMar w:left="320" w:top="850" w:right="339" w:bottom="0" w:gutter="0" w:footer="0" w:header="0"/>
          <w:type w:val="continuous"/>
        </w:sectPr>
      </w:pPr>
    </w:p>
    <w:p>
      <w:pPr>
        <w:ind w:left="500"/>
        <w:spacing w:after="0"/>
        <w:rPr>
          <w:sz w:val="20"/>
          <w:szCs w:val="20"/>
          <w:color w:val="auto"/>
        </w:rPr>
      </w:pPr>
      <w:r>
        <w:rPr>
          <w:rFonts w:ascii="Arial" w:cs="Arial" w:eastAsia="Arial" w:hAnsi="Arial"/>
          <w:sz w:val="15"/>
          <w:szCs w:val="15"/>
          <w:b w:val="1"/>
          <w:bCs w:val="1"/>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80"/>
        <w:spacing w:after="0" w:line="311" w:lineRule="auto"/>
        <w:rPr>
          <w:sz w:val="20"/>
          <w:szCs w:val="20"/>
          <w:color w:val="auto"/>
        </w:rPr>
      </w:pPr>
      <w:r>
        <w:rPr>
          <w:rFonts w:ascii="Arial" w:cs="Arial" w:eastAsia="Arial" w:hAnsi="Arial"/>
          <w:sz w:val="16"/>
          <w:szCs w:val="16"/>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145" w:lineRule="exact"/>
        <w:rPr>
          <w:sz w:val="20"/>
          <w:szCs w:val="20"/>
          <w:color w:val="auto"/>
        </w:rPr>
      </w:pPr>
    </w:p>
    <w:p>
      <w:pPr>
        <w:sectPr>
          <w:pgSz w:w="11900" w:h="16878" w:orient="portrait"/>
          <w:cols w:equalWidth="0" w:num="3">
            <w:col w:w="1040" w:space="320"/>
            <w:col w:w="60" w:space="240"/>
            <w:col w:w="9580"/>
          </w:cols>
          <w:pgMar w:left="320" w:top="850" w:right="339" w:bottom="0" w:gutter="0" w:footer="0" w:header="0"/>
          <w:type w:val="continuous"/>
        </w:sectPr>
      </w:pPr>
    </w:p>
    <w:p>
      <w:pPr>
        <w:ind w:left="500"/>
        <w:spacing w:after="0"/>
        <w:rPr>
          <w:sz w:val="20"/>
          <w:szCs w:val="20"/>
          <w:color w:val="auto"/>
        </w:rPr>
      </w:pPr>
      <w:r>
        <w:rPr>
          <w:rFonts w:ascii="Arial" w:cs="Arial" w:eastAsia="Arial" w:hAnsi="Arial"/>
          <w:sz w:val="15"/>
          <w:szCs w:val="15"/>
          <w:b w:val="1"/>
          <w:bCs w:val="1"/>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sectPr>
          <w:pgSz w:w="11900" w:h="16878" w:orient="portrait"/>
          <w:cols w:equalWidth="0" w:num="3">
            <w:col w:w="1040" w:space="320"/>
            <w:col w:w="60" w:space="240"/>
            <w:col w:w="9580"/>
          </w:cols>
          <w:pgMar w:left="320" w:top="850" w:right="339" w:bottom="0" w:gutter="0" w:footer="0" w:header="0"/>
          <w:type w:val="continuous"/>
        </w:sectPr>
      </w:pPr>
    </w:p>
    <w:p>
      <w:pPr>
        <w:jc w:val="both"/>
        <w:ind w:firstLine="486"/>
        <w:spacing w:after="0" w:line="257" w:lineRule="auto"/>
        <w:rPr>
          <w:sz w:val="20"/>
          <w:szCs w:val="20"/>
          <w:color w:val="auto"/>
        </w:rPr>
      </w:pPr>
      <w:r>
        <w:rPr>
          <w:rFonts w:ascii="Arial" w:cs="Arial" w:eastAsia="Arial" w:hAnsi="Arial"/>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year ended March 31, 2022.</w:t>
      </w:r>
    </w:p>
    <w:p>
      <w:pPr>
        <w:spacing w:after="0" w:line="18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Marketable securities consist of certificates of deposit with maturities of less than 12 months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The Company had no outstanding marketable securities as of March 31, 2022 and the Company recognized no change in the twelve months ended March 31, 2022. The Company recognized less than $0.1 million in unrealized gains on marketable securities, which is recorded in other income, for the fiscal year ending March 31, 2021.</w:t>
      </w:r>
    </w:p>
    <w:p>
      <w:pPr>
        <w:spacing w:after="0" w:line="19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Contingent consideration relates to the earnout payment for the NEPSI Acquisition. See Note 3 "Acquisitions" and Note 12, "Contingent Consideration" for further discussion. The Company relied on a Monte Carlo simulation pricing method to determine the fair value of the contingent consideration on the NEPSI Acquisition Date and will continue to revalue the fair value of the contingent consideration at each subsequent balance sheet date until the final settlement date, with the resulting gain or loss recorded in operating expenses.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March 31,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Quoted Prices in</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Active Markets</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 (Level 3)</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 31, 2022:</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17,641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Quoted Prices in</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Active Markets</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Observable 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 (Level 3)</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5,140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7,050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bl>
    <w:p>
      <w:pPr>
        <w:sectPr>
          <w:pgSz w:w="11900" w:h="16878" w:orient="portrait"/>
          <w:cols w:equalWidth="0" w:num="1">
            <w:col w:w="11240"/>
          </w:cols>
          <w:pgMar w:left="320" w:top="850" w:right="339" w:bottom="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7" w:name="page68"/>
    <w:bookmarkEnd w:id="67"/>
    <w:p>
      <w:pPr>
        <w:ind w:left="500"/>
        <w:spacing w:after="0"/>
        <w:rPr>
          <w:sz w:val="20"/>
          <w:szCs w:val="20"/>
          <w:color w:val="auto"/>
        </w:rPr>
      </w:pPr>
      <w:r>
        <w:rPr>
          <w:rFonts w:ascii="Arial" w:cs="Arial" w:eastAsia="Arial" w:hAnsi="Arial"/>
          <w:sz w:val="17"/>
          <w:szCs w:val="17"/>
          <w:color w:val="auto"/>
        </w:rPr>
        <w:t>The table below reflects the activity for the Company’s major classes of liabilities measured at fair value on a recurring basis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Contingent</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Consideration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2020</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Issuance of contingent consideration</w:t>
            </w: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4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(5,850)</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7. Accounts Receivable</w:t>
            </w: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240" w:type="dxa"/>
            <w:vAlign w:val="bottom"/>
            <w:vMerge w:val="continue"/>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w w:val="93"/>
              </w:rPr>
              <w:t>Accounts receivable at March 31, 2022 and</w:t>
            </w:r>
          </w:p>
        </w:tc>
        <w:tc>
          <w:tcPr>
            <w:tcW w:w="4880" w:type="dxa"/>
            <w:vAlign w:val="bottom"/>
            <w:gridSpan w:val="2"/>
          </w:tcPr>
          <w:p>
            <w:pPr>
              <w:jc w:val="right"/>
              <w:ind w:right="570"/>
              <w:spacing w:after="0"/>
              <w:rPr>
                <w:sz w:val="20"/>
                <w:szCs w:val="20"/>
                <w:color w:val="auto"/>
              </w:rPr>
            </w:pPr>
            <w:r>
              <w:rPr>
                <w:rFonts w:ascii="Arial" w:cs="Arial" w:eastAsia="Arial" w:hAnsi="Arial"/>
                <w:sz w:val="18"/>
                <w:szCs w:val="18"/>
                <w:color w:val="auto"/>
                <w:w w:val="92"/>
              </w:rPr>
              <w:t>March 31, 2021 consisted of the following (in thousands):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13,788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4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net of reserves, at March 31, 2022 and March 31, 2021 consisted of the following (in thousands):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program costs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2021</w:t>
            </w:r>
          </w:p>
        </w:tc>
      </w:tr>
      <w:tr>
        <w:trPr>
          <w:trHeight w:val="195"/>
        </w:trPr>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11,020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8,255</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3,297</w:t>
            </w:r>
          </w:p>
        </w:tc>
      </w:tr>
      <w:tr>
        <w:trPr>
          <w:trHeight w:val="216"/>
        </w:trPr>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r>
      <w:tr>
        <w:trPr>
          <w:trHeight w:val="230"/>
        </w:trPr>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23,666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611" w:right="339" w:bottom="1440" w:gutter="0" w:footer="0" w:header="0"/>
          <w:type w:val="continuous"/>
        </w:sectPr>
      </w:pPr>
    </w:p>
    <w:p>
      <w:pPr>
        <w:spacing w:after="0" w:line="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recorded inventory reserves of $1.9 million and $1.8 million for the fiscal years ended March 31, 2022 and 2021, respectively. These write downs were based on evaluating its inventory on hand for excess quantities and obsolescence.</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Deferred program costs as of March 31, 2022 and March 31, 2021 primarily represent costs incurred on programs accounted for upon completion of the project when control has transferred to the customer before revenue and costs will be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9. Property, Plant and Equipment</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80" w:type="dxa"/>
            <w:vAlign w:val="bottom"/>
          </w:tcPr>
          <w:p>
            <w:pPr>
              <w:ind w:left="500"/>
              <w:spacing w:after="0"/>
              <w:rPr>
                <w:sz w:val="20"/>
                <w:szCs w:val="20"/>
                <w:color w:val="auto"/>
              </w:rPr>
            </w:pPr>
            <w:r>
              <w:rPr>
                <w:rFonts w:ascii="Arial" w:cs="Arial" w:eastAsia="Arial" w:hAnsi="Arial"/>
                <w:sz w:val="18"/>
                <w:szCs w:val="18"/>
                <w:color w:val="auto"/>
                <w:w w:val="90"/>
              </w:rPr>
              <w:t>The cost and accumulated depreciation of property and equipment at</w:t>
            </w:r>
          </w:p>
        </w:tc>
        <w:tc>
          <w:tcPr>
            <w:tcW w:w="4140" w:type="dxa"/>
            <w:vAlign w:val="bottom"/>
            <w:gridSpan w:val="4"/>
          </w:tcPr>
          <w:p>
            <w:pPr>
              <w:jc w:val="right"/>
              <w:ind w:right="80"/>
              <w:spacing w:after="0"/>
              <w:rPr>
                <w:sz w:val="20"/>
                <w:szCs w:val="20"/>
                <w:color w:val="auto"/>
              </w:rPr>
            </w:pPr>
            <w:r>
              <w:rPr>
                <w:rFonts w:ascii="Arial" w:cs="Arial" w:eastAsia="Arial" w:hAnsi="Arial"/>
                <w:sz w:val="18"/>
                <w:szCs w:val="18"/>
                <w:color w:val="auto"/>
                <w:w w:val="90"/>
              </w:rPr>
              <w:t>March 31, 2022 and 2021 are as follows (in thousands):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4"/>
                <w:szCs w:val="24"/>
                <w:color w:val="auto"/>
              </w:rPr>
            </w:pP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Construction in progress - equipment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43,668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41,652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51,413</w:t>
            </w: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(42,416)</w:t>
            </w:r>
          </w:p>
        </w:tc>
      </w:tr>
      <w:tr>
        <w:trPr>
          <w:trHeight w:val="209"/>
        </w:trPr>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25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Borders>
              <w:top w:val="single" w:sz="8" w:color="CCEEFF"/>
            </w:tcBorders>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expense was $2.7 million and $3.7 million, for the fiscal years ended March 31, 2022 and 2021, respectively. The increase in land and buildings relates to the property added as part of the Neeltran Acquisition.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10. Intangible Assets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13"/>
          </w:tcPr>
          <w:p>
            <w:pPr>
              <w:ind w:left="500"/>
              <w:spacing w:after="0"/>
              <w:rPr>
                <w:sz w:val="20"/>
                <w:szCs w:val="20"/>
                <w:color w:val="auto"/>
              </w:rPr>
            </w:pPr>
            <w:r>
              <w:rPr>
                <w:rFonts w:ascii="Arial" w:cs="Arial" w:eastAsia="Arial" w:hAnsi="Arial"/>
                <w:sz w:val="18"/>
                <w:szCs w:val="18"/>
                <w:color w:val="auto"/>
              </w:rPr>
              <w:t>Intangible assets at March 31, 2022 and 2021 consisted of the following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6"/>
                <w:szCs w:val="16"/>
                <w:color w:val="auto"/>
              </w:rPr>
            </w:pPr>
          </w:p>
        </w:tc>
        <w:tc>
          <w:tcPr>
            <w:tcW w:w="12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Net Book</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Gross</w:t>
            </w: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Backlog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6,877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6,100</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5,361</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 and know-how</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3,067</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21,661</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(10,350)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11,311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16,880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(7,727)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9,153</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The Company recorded intangible amortization expense of $2.5 million and $1.2 million, for the fiscal years ended March 31, 2022, and 2021, respectively. Additionally, in the fiscal year ended March 31, 2022, the Company recorded $0.2 and $0.5 million related to intangible amortization related to backlog that is reported in cost of revenues for the fiscal years ended March 31, 2022, and 2021,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ind w:left="50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Fiscal years ending March 31,</w:t>
            </w:r>
          </w:p>
        </w:tc>
        <w:tc>
          <w:tcPr>
            <w:tcW w:w="1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2024</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2026</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r>
      <w:tr>
        <w:trPr>
          <w:trHeight w:val="250"/>
        </w:trPr>
        <w:tc>
          <w:tcPr>
            <w:tcW w:w="8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w w:val="92"/>
              </w:rPr>
              <w:t>11. Accounts Payable and Accrued Expenses</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0" w:type="dxa"/>
            <w:vAlign w:val="bottom"/>
          </w:tcPr>
          <w:p>
            <w:pPr>
              <w:ind w:left="500"/>
              <w:spacing w:after="0"/>
              <w:rPr>
                <w:sz w:val="20"/>
                <w:szCs w:val="20"/>
                <w:color w:val="auto"/>
              </w:rPr>
            </w:pPr>
            <w:r>
              <w:rPr>
                <w:rFonts w:ascii="Arial" w:cs="Arial" w:eastAsia="Arial" w:hAnsi="Arial"/>
                <w:sz w:val="18"/>
                <w:szCs w:val="18"/>
                <w:color w:val="auto"/>
                <w:w w:val="88"/>
              </w:rPr>
              <w:t>Accounts payable and accrued expenses at</w:t>
            </w:r>
          </w:p>
        </w:tc>
        <w:tc>
          <w:tcPr>
            <w:tcW w:w="5880" w:type="dxa"/>
            <w:vAlign w:val="bottom"/>
            <w:gridSpan w:val="3"/>
          </w:tcPr>
          <w:p>
            <w:pPr>
              <w:jc w:val="right"/>
              <w:ind w:right="30"/>
              <w:spacing w:after="0"/>
              <w:rPr>
                <w:sz w:val="20"/>
                <w:szCs w:val="20"/>
                <w:color w:val="auto"/>
              </w:rPr>
            </w:pPr>
            <w:r>
              <w:rPr>
                <w:rFonts w:ascii="Arial" w:cs="Arial" w:eastAsia="Arial" w:hAnsi="Arial"/>
                <w:sz w:val="18"/>
                <w:szCs w:val="18"/>
                <w:color w:val="auto"/>
                <w:w w:val="92"/>
              </w:rPr>
              <w:t>March 31, 2022 and March 31, 2021 consisted of the following (in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4"/>
                <w:szCs w:val="24"/>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Advanced deposits</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4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Income taxes payable</w:t>
            </w: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4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4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29,140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19,810</w:t>
            </w:r>
          </w:p>
        </w:tc>
      </w:tr>
      <w:tr>
        <w:trPr>
          <w:trHeight w:val="20"/>
        </w:trPr>
        <w:tc>
          <w:tcPr>
            <w:tcW w:w="36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Product warranty activity was as follows (in thousands):</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w:t>
            </w:r>
          </w:p>
        </w:tc>
        <w:tc>
          <w:tcPr>
            <w:tcW w:w="1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2,015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Acquired Warranty Obligation</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 for warranties during the period</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10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Contingent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Stock Purchase Agreement (see Note 3,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is a summary of the key assumptions used in a Monte Carlo simulation to calculate the fair value of the contingent consideration related to the NEPSI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color w:val="auto"/>
              </w:rPr>
              <w:t>Fiscal Year 2021</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0"/>
                <w:szCs w:val="20"/>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Revenue volatility</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Payment delay (days)</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Arial" w:cs="Arial" w:eastAsia="Arial" w:hAnsi="Arial"/>
                <w:sz w:val="18"/>
                <w:szCs w:val="18"/>
                <w:color w:val="auto"/>
              </w:rPr>
              <w:t>Fiscal Year 2020</w:t>
            </w:r>
          </w:p>
        </w:tc>
        <w:tc>
          <w:tcPr>
            <w:tcW w:w="2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March 31, 2021</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October 1, 2020</w:t>
            </w:r>
          </w:p>
        </w:tc>
        <w:tc>
          <w:tcPr>
            <w:tcW w:w="160" w:type="dxa"/>
            <w:vAlign w:val="bottom"/>
          </w:tcPr>
          <w:p>
            <w:pPr>
              <w:spacing w:after="0"/>
              <w:rPr>
                <w:sz w:val="20"/>
                <w:szCs w:val="20"/>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 risk premium</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Revenue volatility</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Payment delay (days)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 (millions)</w:t>
            </w:r>
          </w:p>
        </w:tc>
        <w:tc>
          <w:tcPr>
            <w:tcW w:w="2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recorded a net gain of $5.9 million from the decrease in the fair value of the contingent consideration in the twelve months ended March 31, 2022. The change in the fair value of the Company's contingent consideration for the earnout payment on the NEPSI Acquisition resulted in a loss of $3.1 million in the year ended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(Loss) income before income taxes for the fiscal years ended March 31, 2022, and 2021 are provided in the table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years ended March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(21,639)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(26,721)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(21,042)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(23,510)</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tax expense (benefit) attributable to continuing operations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2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Fiscal years ended March 31,</w:t>
            </w:r>
          </w:p>
        </w:tc>
      </w:tr>
      <w:tr>
        <w:trPr>
          <w:trHeight w:val="209"/>
        </w:trPr>
        <w:tc>
          <w:tcPr>
            <w:tcW w:w="3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Federal</w:t>
            </w:r>
          </w:p>
        </w:tc>
        <w:tc>
          <w:tcPr>
            <w:tcW w:w="55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45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440" w:type="dxa"/>
            <w:vAlign w:val="bottom"/>
          </w:tcPr>
          <w:p>
            <w:pPr>
              <w:spacing w:after="0"/>
              <w:rPr>
                <w:sz w:val="20"/>
                <w:szCs w:val="20"/>
                <w:color w:val="auto"/>
              </w:rPr>
            </w:pPr>
            <w:r>
              <w:rPr>
                <w:rFonts w:ascii="Arial" w:cs="Arial" w:eastAsia="Arial" w:hAnsi="Arial"/>
                <w:sz w:val="18"/>
                <w:szCs w:val="18"/>
                <w:color w:val="auto"/>
              </w:rPr>
              <w:t>Total current</w:t>
            </w:r>
          </w:p>
        </w:tc>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34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Deferred</w:t>
            </w:r>
          </w:p>
        </w:tc>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Foreign</w:t>
            </w:r>
          </w:p>
        </w:tc>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r>
      <w:tr>
        <w:trPr>
          <w:trHeight w:val="20"/>
        </w:trPr>
        <w:tc>
          <w:tcPr>
            <w:tcW w:w="3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4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r>
      <w:tr>
        <w:trPr>
          <w:trHeight w:val="210"/>
        </w:trPr>
        <w:tc>
          <w:tcPr>
            <w:tcW w:w="344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55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w:t>
            </w:r>
          </w:p>
        </w:tc>
      </w:tr>
      <w:tr>
        <w:trPr>
          <w:trHeight w:val="413"/>
        </w:trPr>
        <w:tc>
          <w:tcPr>
            <w:tcW w:w="3440" w:type="dxa"/>
            <w:vAlign w:val="bottom"/>
            <w:tcBorders>
              <w:top w:val="single" w:sz="8" w:color="CCEEFF"/>
            </w:tcBorders>
          </w:tcPr>
          <w:p>
            <w:pPr>
              <w:spacing w:after="0"/>
              <w:rPr>
                <w:sz w:val="24"/>
                <w:szCs w:val="24"/>
                <w:color w:val="auto"/>
              </w:rPr>
            </w:pPr>
          </w:p>
        </w:tc>
        <w:tc>
          <w:tcPr>
            <w:tcW w:w="456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57</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44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72" w:name="page73"/>
    <w:bookmarkEnd w:id="72"/>
    <w:p>
      <w:pPr>
        <w:ind w:left="500"/>
        <w:spacing w:after="0"/>
        <w:rPr>
          <w:sz w:val="20"/>
          <w:szCs w:val="20"/>
          <w:color w:val="auto"/>
        </w:rPr>
      </w:pPr>
      <w:r>
        <w:rPr>
          <w:rFonts w:ascii="Arial" w:cs="Arial" w:eastAsia="Arial" w:hAnsi="Arial"/>
          <w:sz w:val="18"/>
          <w:szCs w:val="18"/>
          <w:color w:val="auto"/>
        </w:rPr>
        <w:t>The reconciliation between the statutory federal income tax rate and the Company’s effective income tax rate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w w:val="97"/>
              </w:rPr>
              <w:t>Fiscal years ended March 31,</w:t>
            </w: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rate differential</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True-up of NOLs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GILTI</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8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7"/>
          </w:tcPr>
          <w:p>
            <w:pPr>
              <w:ind w:left="500"/>
              <w:spacing w:after="0"/>
              <w:rPr>
                <w:sz w:val="20"/>
                <w:szCs w:val="20"/>
                <w:color w:val="auto"/>
              </w:rPr>
            </w:pPr>
            <w:r>
              <w:rPr>
                <w:rFonts w:ascii="Arial" w:cs="Arial" w:eastAsia="Arial" w:hAnsi="Arial"/>
                <w:sz w:val="18"/>
                <w:szCs w:val="18"/>
                <w:color w:val="auto"/>
                <w:w w:val="92"/>
              </w:rPr>
              <w:t>The following is a summary of the principal components of the Company’s deferred tax assets and liabilities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March 31, 2022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March 31, 2021</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171,274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184,455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and other tax credit carryforwards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Accruals and reserves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5,366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Fixed assets and intangible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192,101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205,714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Valuation allowance</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(186,618)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(200,081)</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Intercompany Debt</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assets</w:t>
            </w:r>
          </w:p>
        </w:tc>
        <w:tc>
          <w:tcPr>
            <w:tcW w:w="30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60" w:type="dxa"/>
            <w:vAlign w:val="bottom"/>
            <w:vMerge w:val="restart"/>
          </w:tcPr>
          <w:p>
            <w:pPr>
              <w:jc w:val="right"/>
              <w:ind w:right="203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73" w:name="page74"/>
    <w:bookmarkEnd w:id="73"/>
    <w:p>
      <w:pPr>
        <w:jc w:val="both"/>
        <w:ind w:firstLine="723"/>
        <w:spacing w:after="0" w:line="293" w:lineRule="auto"/>
        <w:rPr>
          <w:sz w:val="20"/>
          <w:szCs w:val="20"/>
          <w:color w:val="auto"/>
        </w:rPr>
      </w:pPr>
      <w:r>
        <w:rPr>
          <w:rFonts w:ascii="Arial" w:cs="Arial" w:eastAsia="Arial" w:hAnsi="Arial"/>
          <w:sz w:val="16"/>
          <w:szCs w:val="16"/>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COVID-19. While the CARES Act provides sweeping tax changes in response to the COVID-19 pandemic, some of the more significant provisions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of 2017. The CARES Act is not expected to have a material impact on the Company’s financial position, results of operations or cash flows.</w:t>
      </w:r>
    </w:p>
    <w:p>
      <w:pPr>
        <w:spacing w:after="0" w:line="16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provided a full valuation allowance against its net deferred income tax assets in the U.S. and Romania since it is more likely than not that its deferred tax assets will not be realizable. After consideration of all the available evidence, both positive and negative, the Company has determined that a $186.6 million valuation allowance at March 31, 2022 is necessary to reduce the deferred tax assets to the amount that will more likely than not be realized which is a $13.5 million decrease from the $200.1 valuation allowance as of March 31, 2021.</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At March 31, 2022, the Company had aggregate net operating loss carryforwards in the U.S. for federal and state income tax purposes of approximately $755.5 million and $201.3 million, respectively, which expire in the years ending March 31, 2023 through 2040. For U.S. federal tax purpose, approximately $86.7 million of federal net operating losses have an indefinite carryforward period. Included in the U.S. net operating loss are $3.7 million of acquired losses from Power Quality Systems, Inc. and $0.3 million of acquired losses from Infinia Technology Corporation. Research and development and other tax credit carryforwards amounting to approximately $10.9 million and $3.2 million are available to offset federal and state income taxes, respectively, and will expire in the years ending through 2040.</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year ended March 31, 2022, AMSC China was dissolved, so all deferred tax assets for AMSC China have been written off as of March 31, 2022. The Company had established a full valuation allowance against its deferred tax assets in China as the future tax benefit was not expected to reverse in the foreseeable future.</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1, 2022, AMSC Romania was reclassified as a micro enterprise and will be treated as a micro enterprise tax system. At March 31, 2022, AMSC Romania has aggregate net operating loss carryforwards of approximately $ 0.9 million, which can be carried forward for seven years and begin to expire at March 31, 2028.</w:t>
      </w:r>
    </w:p>
    <w:p>
      <w:pPr>
        <w:spacing w:after="0" w:line="1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Section 382 of the U.S. Internal Revenue Code of 1986, as amended (the “IRC”), provides limits on the extent to which a corporation that has undergone an ownership change (as defined) can utilize any net operating loss ("NOL") and general business tax credit carryforwards it may have. The Company updated its study in 2020 to determine whether Section 382 could limit the use of its carryforwards in this manner. After completing this study, the Company has concluded that the limitation will not have a material impact on its ability to utilize its NOL carryforwards. If there were material ownership changes subsequent to the study, such changes could limit the Company's ability to utilize its NOL carryforwards.</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total amount of undistributed foreign earnings available to be repatriated at March 31, 2022 was $2.7 million resulting in the recording of a $0.3 million deferred tax liability for foreign withholding taxes.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has not recorded a deferred tax asset for the temporary difference associated with the excess of the tax greater than the book basis in its Romanian subsidiary as the future tax benefit is not expected to reverse in the foreseeable future.</w:t>
      </w:r>
    </w:p>
    <w:p>
      <w:pPr>
        <w:spacing w:after="0" w:line="1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that the position will be sustained upon audit, including resolution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at March 31, 2022. The Company did not have any gross unrecognized tax benefits at March 31, 2022 or 2021.</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reversals of uncertain tax positions in the fiscal years ended March 31, 2022 and 2021.</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accounts for interest and penalties related to uncertain tax positions as part of its provision for federal and state income taxes. Any unrecognized tax benefits, if recognized, would favorably affect its effective tax rate in any future period. The Company does not expect that the amounts of unrecognized benefits will change significantly within the next twelve months.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conducts business globally and, as a result, its subsidiaries file income tax returns in the U.S. federal jurisdiction and various state and foreign jurisdictions. Major tax jurisdictions include the U.S. and Austria. All U.S. income tax filings for fiscal years ended March 31, 1996 through 2022 remain open and subject to examination.</w:t>
      </w:r>
    </w:p>
    <w:p>
      <w:pPr>
        <w:spacing w:after="0" w:line="1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All fiscal years from the fiscal year ended March 31, 2020 through 2022 remain open and subject to examination in Austria. Tax filings in Romania for the fiscal years ended March 31, 2017 through 2022 remain open and subject to examination.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twelve months ended March 31,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have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w:t>
      </w:r>
    </w:p>
    <w:p>
      <w:pPr>
        <w:spacing w:after="0" w:line="165"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the Company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Fonts w:ascii="Arial" w:cs="Arial" w:eastAsia="Arial" w:hAnsi="Arial"/>
          <w:sz w:val="16"/>
          <w:szCs w:val="16"/>
          <w:i w:val="1"/>
          <w:iCs w:val="1"/>
          <w:color w:val="auto"/>
        </w:rPr>
        <w:t>one</w:t>
      </w:r>
      <w:r>
        <w:rPr>
          <w:rFonts w:ascii="Arial" w:cs="Arial" w:eastAsia="Arial" w:hAnsi="Arial"/>
          <w:sz w:val="16"/>
          <w:szCs w:val="16"/>
          <w:color w:val="auto"/>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66"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financing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March 31, 2022, the right-of-use asset related to the finance lease was $7.6 thousand, net of accumulated amortization of $5.6 thousand, and is included in the property and equipment, net on the Company's consolidated balance sheet.</w:t>
      </w:r>
    </w:p>
    <w:p>
      <w:pPr>
        <w:spacing w:after="0" w:line="178"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is not readily determinable, and (2) reduced to reflect lease payments made during the period. Amortization expense for finance lease right-of-use assets and interest accretion on finance lease liabilities are recorded to depreciation expense and interest expense, respectively in the Company's consolidated statement of operations.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at March 31, 2022 and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 2021</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Right-of-use assets - Financing</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 Operating</w:t>
            </w: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3,747</w:t>
            </w:r>
          </w:p>
        </w:tc>
      </w:tr>
      <w:tr>
        <w:trPr>
          <w:trHeight w:val="20"/>
        </w:trPr>
        <w:tc>
          <w:tcPr>
            <w:tcW w:w="7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3,510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3,747</w:t>
            </w:r>
          </w:p>
        </w:tc>
      </w:tr>
      <w:tr>
        <w:trPr>
          <w:trHeight w:val="216"/>
        </w:trPr>
        <w:tc>
          <w:tcPr>
            <w:tcW w:w="7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Financing</w:t>
            </w:r>
          </w:p>
        </w:tc>
        <w:tc>
          <w:tcPr>
            <w:tcW w:w="1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Operating</w:t>
            </w: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Lease liabilities - LT Financing</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LT Operating</w:t>
            </w: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3,246</w:t>
            </w:r>
          </w:p>
        </w:tc>
      </w:tr>
      <w:tr>
        <w:trPr>
          <w:trHeight w:val="20"/>
        </w:trPr>
        <w:tc>
          <w:tcPr>
            <w:tcW w:w="7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3,648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3,858</w:t>
            </w:r>
          </w:p>
        </w:tc>
      </w:tr>
      <w:tr>
        <w:trPr>
          <w:trHeight w:val="20"/>
        </w:trPr>
        <w:tc>
          <w:tcPr>
            <w:tcW w:w="7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r>
    </w:tbl>
    <w:p>
      <w:pPr>
        <w:sectPr>
          <w:pgSz w:w="11900" w:h="16838" w:orient="portrait"/>
          <w:cols w:equalWidth="0" w:num="1">
            <w:col w:w="11240"/>
          </w:cols>
          <w:pgMar w:left="320" w:top="850" w:right="339" w:bottom="150" w:gutter="0" w:footer="0" w:header="0"/>
        </w:sectPr>
      </w:pPr>
    </w:p>
    <w:bookmarkStart w:id="75" w:name="page76"/>
    <w:bookmarkEnd w:id="75"/>
    <w:p>
      <w:pPr>
        <w:ind w:left="500"/>
        <w:spacing w:after="0"/>
        <w:rPr>
          <w:sz w:val="20"/>
          <w:szCs w:val="20"/>
          <w:color w:val="auto"/>
        </w:rPr>
      </w:pPr>
      <w:r>
        <w:rPr>
          <w:rFonts w:ascii="Arial" w:cs="Arial" w:eastAsia="Arial" w:hAnsi="Arial"/>
          <w:sz w:val="16"/>
          <w:szCs w:val="16"/>
          <w:color w:val="auto"/>
        </w:rPr>
        <w:t>The costs related to the Company's finance lease are not material. The costs related to the Company's operating leases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2021 are as follows (in thousands):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 fixed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costs - variable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5715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4" w:lineRule="exact"/>
        <w:rPr>
          <w:sz w:val="20"/>
          <w:szCs w:val="20"/>
          <w:color w:val="auto"/>
        </w:rPr>
      </w:pPr>
    </w:p>
    <w:p>
      <w:pPr>
        <w:ind w:left="1200" w:hanging="1200"/>
        <w:spacing w:after="0"/>
        <w:tabs>
          <w:tab w:leader="none" w:pos="12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944</w:t>
      </w:r>
    </w:p>
    <w:p>
      <w:pPr>
        <w:spacing w:after="0" w:line="46"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134</w:t>
      </w:r>
    </w:p>
    <w:p>
      <w:pPr>
        <w:spacing w:after="0" w:line="32"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-253365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wp:posOffset>
            </wp:positionV>
            <wp:extent cx="9347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12" w:lineRule="exact"/>
        <w:rPr>
          <w:sz w:val="20"/>
          <w:szCs w:val="20"/>
          <w:color w:val="auto"/>
        </w:rPr>
      </w:pPr>
    </w:p>
    <w:p>
      <w:pPr>
        <w:ind w:left="1060" w:hanging="1060"/>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-107315</wp:posOffset>
            </wp:positionV>
            <wp:extent cx="713232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4" w:lineRule="exact"/>
        <w:rPr>
          <w:sz w:val="20"/>
          <w:szCs w:val="20"/>
          <w:color w:val="auto"/>
        </w:rPr>
      </w:pPr>
    </w:p>
    <w:p>
      <w:pPr>
        <w:ind w:left="1180" w:hanging="1173"/>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830</w:t>
      </w:r>
    </w:p>
    <w:p>
      <w:pPr>
        <w:spacing w:after="0" w:line="46"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6"/>
          <w:szCs w:val="16"/>
          <w:color w:val="auto"/>
        </w:rPr>
        <w:t>118</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916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2" w:lineRule="exact"/>
        <w:rPr>
          <w:sz w:val="20"/>
          <w:szCs w:val="20"/>
          <w:color w:val="auto"/>
        </w:rPr>
      </w:pPr>
    </w:p>
    <w:p>
      <w:pPr>
        <w:ind w:left="1040" w:hanging="1033"/>
        <w:spacing w:after="0"/>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2,031</w:t>
      </w:r>
    </w:p>
    <w:p>
      <w:pPr>
        <w:spacing w:after="0" w:line="262" w:lineRule="exact"/>
        <w:rPr>
          <w:sz w:val="20"/>
          <w:szCs w:val="20"/>
          <w:color w:val="auto"/>
        </w:rPr>
      </w:pPr>
    </w:p>
    <w:p>
      <w:pPr>
        <w:sectPr>
          <w:pgSz w:w="11900" w:h="16838" w:orient="portrait"/>
          <w:cols w:equalWidth="0" w:num="3">
            <w:col w:w="7280" w:space="720"/>
            <w:col w:w="1480" w:space="200"/>
            <w:col w:w="1500"/>
          </w:cols>
          <w:pgMar w:left="320" w:top="125" w:right="399" w:bottom="1440" w:gutter="0" w:footer="0" w:header="0"/>
          <w:type w:val="continuous"/>
        </w:sectPr>
      </w:pP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8840" w:type="dxa"/>
            <w:vAlign w:val="bottom"/>
          </w:tcPr>
          <w:p>
            <w:pPr>
              <w:ind w:left="500"/>
              <w:spacing w:after="0"/>
              <w:rPr>
                <w:sz w:val="20"/>
                <w:szCs w:val="20"/>
                <w:color w:val="auto"/>
              </w:rPr>
            </w:pPr>
            <w:r>
              <w:rPr>
                <w:rFonts w:ascii="Arial" w:cs="Arial" w:eastAsia="Arial" w:hAnsi="Arial"/>
                <w:sz w:val="18"/>
                <w:szCs w:val="18"/>
                <w:color w:val="auto"/>
              </w:rPr>
              <w:t>The Company’s estimated minimum future lease obligations under the Company's leases are as follows:</w:t>
            </w: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Operating Leases</w:t>
            </w: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Year ended March 31,</w:t>
            </w:r>
          </w:p>
        </w:tc>
        <w:tc>
          <w:tcPr>
            <w:tcW w:w="8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2023</w:t>
            </w:r>
          </w:p>
        </w:tc>
        <w:tc>
          <w:tcPr>
            <w:tcW w:w="14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2027</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8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r>
      <w:tr>
        <w:trPr>
          <w:trHeight w:val="224"/>
        </w:trPr>
        <w:tc>
          <w:tcPr>
            <w:tcW w:w="8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liabilities</w:t>
            </w:r>
          </w:p>
        </w:tc>
        <w:tc>
          <w:tcPr>
            <w:tcW w:w="84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top w:val="single" w:sz="8" w:color="CCEEFF"/>
            </w:tcBorders>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March 31, 2022, the Company had two active stock plans: the 2007 Stock Incentive Plan, as amended (the “2007 Plan”) and the Amended and Restated 2007 Director Stock Plan (the “2007 Director Plan”). On August 1, 2019, the Company’s stockholders approved amendments to the 2007 Plan and the 2007 Director Plan. The amendment to the 2007 Plan increased the total number of shares of common stock authorized for issuance under the 2007 Plan from 3,400,000 shares to 4,600,000 shares. The amendment to the 2007 Director Plan increased the total number of shares of common stock authorized for issuance under the 2007 Director Plan from 230,000 shares to 280,000 shares.</w:t>
      </w:r>
    </w:p>
    <w:p>
      <w:pPr>
        <w:spacing w:after="0" w:line="1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2007 Plan provides for the grant of incentive stock options intended to qualify under Section 422 of the IRC of 1986, as amended, nonstatutory stock options, stock appreciation rights, restricted stock, restricted stock units and other stock-based awards. In the case of options, the exercise price is no less than the fair market value of the common stock, as determined by (or in a manner approved by) the Board of Directors, on the date of grant. The contractual life of options is generally 10 years. Options generally vest over a 3-5 year period while restricted stock generally vests over a 3 year period.</w:t>
      </w:r>
    </w:p>
    <w:p>
      <w:pPr>
        <w:spacing w:after="0" w:line="15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2007 Director Plan provides for the grant of nonstatutory stock options and stock awards to members of the Board of Directors who are not also employees of the Company ("outside directors"). Under the terms of the 2007 Director Plan, each outside director is granted an option to purchase shares of common stock with an aggregate grant date value equal to $40,000 upon his or her initial election to the Board with an exercise price equal to the fair market value of the Company’s common stock on the date of the grant. These options vest in equal annual installments over a two-year period. In addition, each outside director is granted an award of shares of common stock on the third business day following the last day of each fiscal year with an aggregate value equal to $50,000 using the closing price of the Company's common stock two business days following the last day of each fiscal year, subject to proration for any partial fiscal year of service.</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31, 2022, the 2007 Plan had 268,523 shares available for future issuance and the 2007 Director Plan had 72,841 shares available for future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stock-based compensation for the years ended March 31, 2022 and 2021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stock and stock awards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4,615</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3,428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4,661</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3,485</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total unrecognized compensation cost for unvested outstanding stock options was less than $0.1 million for the fiscal year ended March 31, 2022. The total unrecognized compensation cost for unvested outstanding restricted stock was $5.7 million for the fiscal year ended March 31, 2022. This expense will be recognized over a weighted-average expense period of approximately 1.5 years.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stock-based compensation expense by financial statement line item for the fiscal years ended March 31, 2022 and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Fiscal years ended 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9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49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4,661</w:t>
            </w:r>
          </w:p>
        </w:tc>
        <w:tc>
          <w:tcPr>
            <w:tcW w:w="11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3,485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980" w:type="dxa"/>
            <w:vAlign w:val="bottom"/>
            <w:vMerge w:val="restart"/>
          </w:tcPr>
          <w:p>
            <w:pPr>
              <w:jc w:val="right"/>
              <w:ind w:right="2190"/>
              <w:spacing w:after="0"/>
              <w:rPr>
                <w:sz w:val="20"/>
                <w:szCs w:val="20"/>
                <w:color w:val="auto"/>
              </w:rPr>
            </w:pPr>
            <w:r>
              <w:rPr>
                <w:rFonts w:ascii="Arial" w:cs="Arial" w:eastAsia="Arial" w:hAnsi="Arial"/>
                <w:sz w:val="18"/>
                <w:szCs w:val="18"/>
                <w:color w:val="auto"/>
              </w:rPr>
              <w:t>61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7" w:right="339" w:bottom="379" w:gutter="0" w:footer="0" w:header="0"/>
        </w:sectPr>
      </w:pPr>
    </w:p>
    <w:bookmarkStart w:id="77" w:name="page78"/>
    <w:bookmarkEnd w:id="77"/>
    <w:p>
      <w:pPr>
        <w:ind w:left="500"/>
        <w:spacing w:after="0"/>
        <w:rPr>
          <w:sz w:val="20"/>
          <w:szCs w:val="20"/>
          <w:color w:val="auto"/>
        </w:rPr>
      </w:pPr>
      <w:r>
        <w:rPr>
          <w:rFonts w:ascii="Arial" w:cs="Arial" w:eastAsia="Arial" w:hAnsi="Arial"/>
          <w:sz w:val="17"/>
          <w:szCs w:val="17"/>
          <w:color w:val="auto"/>
        </w:rPr>
        <w:t>The following table summarizes the information concerning currently outstanding and exercisable employee and non-employee options: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Weighted-Average</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r>
      <w:tr>
        <w:trPr>
          <w:trHeight w:val="234"/>
        </w:trPr>
        <w:tc>
          <w:tcPr>
            <w:tcW w:w="4620" w:type="dxa"/>
            <w:vAlign w:val="bottom"/>
          </w:tcPr>
          <w:p>
            <w:pPr>
              <w:spacing w:after="0"/>
              <w:rPr>
                <w:sz w:val="20"/>
                <w:szCs w:val="20"/>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5"/>
              </w:rPr>
              <w:t>Options / 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Exercise Price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127,165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44.37</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Canceled/forfeited</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(28,880)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99.33</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46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Exercisable at March 31,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98,285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28.23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46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March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98,285</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Company did not grant any options to purchase shares of common stock during the years ended March 31, 2022 and March 31, 2021, respectively.</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restricted stock activity for the year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Grant Date 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Aggregate Value</w:t>
            </w:r>
          </w:p>
        </w:tc>
      </w:tr>
      <w:tr>
        <w:trPr>
          <w:trHeight w:val="234"/>
        </w:trPr>
        <w:tc>
          <w:tcPr>
            <w:tcW w:w="6320" w:type="dxa"/>
            <w:vAlign w:val="bottom"/>
          </w:tcPr>
          <w:p>
            <w:pPr>
              <w:spacing w:after="0"/>
              <w:rPr>
                <w:sz w:val="20"/>
                <w:szCs w:val="20"/>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1,047,914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569,348</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(498,396)</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1,111,666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total fair value of restricted stock that was granted during the fiscal years ended March 31, 2022 and 2021 was $8.2 million and $5.1 million, respectively. The total fair value of restricted stock that vested during the fiscal years ended March 31, 2022 and 2021 was $7.6 million and $4.3 million, respectively.</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76,500 performance-based restricted shares awarded during the fiscal year ended March 31, 2022 for which the performance conditions are deemed probable to be met and the expense is being recorded over the expected vesting period. There were 255,000 performance-based restricted shares awarded during the fiscal year ended March 31, 2021 for which the performance conditions are deemed probable to be met and the expense is being recorded over the expected vesting period.</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remaining shares awarded vest upon the passage of time. For awards that vest upon the passage of time, expense is being recorded over the vesting period.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the 2000 Employee Stock Purchase Plan, as amended (the "ESPP") which provides employees with the opportunity to purchase shares of common stock at a price equal to the market value of the common stock at the end of the offering period, less a 15% purchase discount. As of March 31, 2022, the ESPP had 159,822 shares available for future issuance. The Company recognized less than $0.1 million of compensation expense for both the fiscal years ended March 31, 2022 and 2021, related to the ESPP.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records a loss on purchase commitments when required.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year ended March 31, 2022 and 2021 all leases were recorded in selling, general and administrative expense. See Note 15, "Leases"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31, 2022, the Company had $6.1 million of restricted cash included in long-term assets and $2.8 million of restricted cash in current assets. These amounts included in restricted cash primarily represent deposits to secure letters of credit for various supply contracts or collateral deposits including the irrevocable letter of credit in the amount of $5.0 million to secure certain of the Company’s obligations under the Subcontract Agreement with Commonwealth Edison Company. These deposits are held in interest bearing accounts.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18. Employee Benefit Plans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implemented a defined contribution plan (the “Plan”) under Section 401(k) of the IRC. Any contributions made by the Company to the Plan are discretionary. The Company has a stock match program under which the Company matched, in the form of Company common stock, 50% of the first 6% of eligible contributions. The Company recorded expense of $0.5 million for the fiscal year ended March 31, 2022, and $0.4 million for the fiscal year ended March 31, 2021, and recorded corresponding charges to additional paid-in capital related to this program.</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Segments</w:t>
      </w:r>
    </w:p>
    <w:p>
      <w:pPr>
        <w:spacing w:after="0" w:line="229"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 xml:space="preserve">The Company reports its financial results in two reportable business segments: Grid and Wind.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we aggregate three operating segments into one reporting segment for financial reporting purposes due to their similar operating and financial characteristics. Our operating segments reflect the way in which internally-reported financial information is used to make decisions and allocate resources.</w:t>
      </w:r>
    </w:p>
    <w:p>
      <w:pPr>
        <w:spacing w:after="0" w:line="14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The operating results for the two business segments are as follows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5"/>
          </w:tcPr>
          <w:p>
            <w:pPr>
              <w:ind w:left="160"/>
              <w:spacing w:after="0"/>
              <w:rPr>
                <w:sz w:val="20"/>
                <w:szCs w:val="20"/>
                <w:color w:val="auto"/>
              </w:rPr>
            </w:pPr>
            <w:r>
              <w:rPr>
                <w:rFonts w:ascii="Arial" w:cs="Arial" w:eastAsia="Arial" w:hAnsi="Arial"/>
                <w:sz w:val="18"/>
                <w:szCs w:val="18"/>
                <w:b w:val="1"/>
                <w:bCs w:val="1"/>
                <w:color w:val="auto"/>
              </w:rPr>
              <w:t>Fiscal Years Ended March 31,</w:t>
            </w:r>
          </w:p>
        </w:tc>
      </w:tr>
      <w:tr>
        <w:trPr>
          <w:trHeight w:val="210"/>
        </w:trPr>
        <w:tc>
          <w:tcPr>
            <w:tcW w:w="8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Grid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98,876</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70,528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Wind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108,435</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87,125</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Fiscal Years Ended March 31,</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Grid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(20,725)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(13,318)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Wind</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Unallocated corporate expenses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(6,545)</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(21,089)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(23,165)</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 for the two business segments as of March 31, 2022 and March 31,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Wind</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6,098</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173,887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80" w:name="page81"/>
    <w:bookmarkEnd w:id="80"/>
    <w:p>
      <w:pPr>
        <w:jc w:val="both"/>
        <w:ind w:firstLine="486"/>
        <w:spacing w:after="0" w:line="263" w:lineRule="auto"/>
        <w:rPr>
          <w:sz w:val="20"/>
          <w:szCs w:val="20"/>
          <w:color w:val="auto"/>
        </w:rPr>
      </w:pPr>
      <w:r>
        <w:rPr>
          <w:rFonts w:ascii="Arial" w:cs="Arial" w:eastAsia="Arial" w:hAnsi="Arial"/>
          <w:sz w:val="18"/>
          <w:szCs w:val="18"/>
          <w:color w:val="auto"/>
        </w:rPr>
        <w:t>Unallocated corporate expenses primarily consist of a gain on contingent consideration of $5.9 million offset by stock-based compensation expense of $4.7 million, in the fiscal year ended March 31, 2022. Unallocated corporate expenses primarily consist of loss on contingent consideration of $3.0 million and stock-based compensation of $3.5 million in the year ended March 31, 2021.</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Geographic information about property, plant and equipment associated with particular regions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13,446</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Europe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13,656</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8,997</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Recent Accounting Pronouncements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will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The ASU is effective for annual reporting periods beginning after December 15, 2019, including interim periods within that year. Following the release of ASU 2019-10 in November 2019, the new effective date, as long as the Company remains a smaller reporting company, would be annual reporting periods beginning after December 15, 2022. The Company is currently evaluating the impact, if any, the adoption of ASU 2016-13 may have on its consolidated financial statements.</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provide for simplified accounting to several income tax situations and removal of certain accounting exceptions. As of April 1, 2021, the Company has adopted ASU 2019-12 and noted no material impact on our consolidated financial statements.</w:t>
      </w:r>
    </w:p>
    <w:p>
      <w:pPr>
        <w:spacing w:after="0" w:line="165"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In October 2021</w:t>
      </w:r>
      <w:r>
        <w:rPr>
          <w:rFonts w:ascii="Arial" w:cs="Arial" w:eastAsia="Arial" w:hAnsi="Arial"/>
          <w:sz w:val="16"/>
          <w:szCs w:val="16"/>
          <w:i w:val="1"/>
          <w:iCs w:val="1"/>
          <w:color w:val="auto"/>
        </w:rPr>
        <w:t>,</w:t>
      </w:r>
      <w:r>
        <w:rPr>
          <w:rFonts w:ascii="Arial" w:cs="Arial" w:eastAsia="Arial" w:hAnsi="Arial"/>
          <w:sz w:val="16"/>
          <w:szCs w:val="16"/>
          <w:color w:val="auto"/>
        </w:rPr>
        <w:t xml:space="preserve"> the FASB issued ASU </w:t>
      </w:r>
      <w:r>
        <w:rPr>
          <w:rFonts w:ascii="Arial" w:cs="Arial" w:eastAsia="Arial" w:hAnsi="Arial"/>
          <w:sz w:val="16"/>
          <w:szCs w:val="16"/>
          <w:i w:val="1"/>
          <w:iCs w:val="1"/>
          <w:color w:val="auto"/>
        </w:rPr>
        <w:t>2021</w:t>
      </w:r>
      <w:r>
        <w:rPr>
          <w:rFonts w:ascii="Arial" w:cs="Arial" w:eastAsia="Arial" w:hAnsi="Arial"/>
          <w:sz w:val="16"/>
          <w:szCs w:val="16"/>
          <w:color w:val="auto"/>
        </w:rPr>
        <w:t>-</w:t>
      </w:r>
      <w:r>
        <w:rPr>
          <w:rFonts w:ascii="Arial" w:cs="Arial" w:eastAsia="Arial" w:hAnsi="Arial"/>
          <w:sz w:val="16"/>
          <w:szCs w:val="16"/>
          <w:i w:val="1"/>
          <w:iCs w:val="1"/>
          <w:color w:val="auto"/>
        </w:rPr>
        <w:t>08, 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The Company is currently evaluating the impact, if any, that the adoption of ASU 2021-08 may have on its consolidated financial statements.</w:t>
      </w:r>
    </w:p>
    <w:p>
      <w:pPr>
        <w:spacing w:after="0" w:line="15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November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2021</w:t>
      </w:r>
      <w:r>
        <w:rPr>
          <w:rFonts w:ascii="Arial" w:cs="Arial" w:eastAsia="Arial" w:hAnsi="Arial"/>
          <w:sz w:val="18"/>
          <w:szCs w:val="18"/>
          <w:color w:val="auto"/>
        </w:rPr>
        <w:t>-</w:t>
      </w:r>
      <w:r>
        <w:rPr>
          <w:rFonts w:ascii="Arial" w:cs="Arial" w:eastAsia="Arial" w:hAnsi="Arial"/>
          <w:sz w:val="18"/>
          <w:szCs w:val="18"/>
          <w:i w:val="1"/>
          <w:iCs w:val="1"/>
          <w:color w:val="auto"/>
        </w:rPr>
        <w:t>10, 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The Company does not expect the impact of the adoption of ASU 2021-10 to be material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Annual Report on Form 10-K with the SEC, and has determined that there are no such events to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1" w:name="page82"/>
    <w:bookmarkEnd w:id="81"/>
    <w:p>
      <w:pPr>
        <w:spacing w:after="0"/>
        <w:tabs>
          <w:tab w:leader="none" w:pos="13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a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8" w:lineRule="exact"/>
        <w:rPr>
          <w:sz w:val="20"/>
          <w:szCs w:val="20"/>
          <w:color w:val="auto"/>
        </w:rPr>
      </w:pPr>
    </w:p>
    <w:p>
      <w:pPr>
        <w:ind w:left="1240" w:hanging="260"/>
        <w:spacing w:after="0"/>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48" w:lineRule="exact"/>
        <w:rPr>
          <w:rFonts w:ascii="Arial" w:cs="Arial" w:eastAsia="Arial" w:hAnsi="Arial"/>
          <w:sz w:val="16"/>
          <w:szCs w:val="16"/>
          <w:color w:val="auto"/>
        </w:rPr>
      </w:pPr>
    </w:p>
    <w:p>
      <w:pPr>
        <w:jc w:val="both"/>
        <w:ind w:right="20" w:firstLine="980"/>
        <w:spacing w:after="0" w:line="263" w:lineRule="auto"/>
        <w:tabs>
          <w:tab w:leader="none" w:pos="12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183" w:lineRule="exact"/>
        <w:rPr>
          <w:rFonts w:ascii="Arial" w:cs="Arial" w:eastAsia="Arial" w:hAnsi="Arial"/>
          <w:sz w:val="18"/>
          <w:szCs w:val="18"/>
          <w:color w:val="auto"/>
        </w:rPr>
      </w:pPr>
    </w:p>
    <w:p>
      <w:pPr>
        <w:ind w:firstLine="980"/>
        <w:spacing w:after="0" w:line="277" w:lineRule="auto"/>
        <w:tabs>
          <w:tab w:leader="none" w:pos="12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an evaluation was conducted of the effectiveness of our internal control over financial reporting based on the Committee of Sponsoring Organizations of the Treadway Commission’s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Edition). Based on this evaluation, management concluded that our internal control over financial reporting was effective as of March 31, 2022. Our evaluation excluded Neeltran, Inc. and Neeltran International, Inc., which were acquired on May 6, 2021 (the "Neeltran Acquisition"). Our Consolidated Statement of Operations for the year ended March 31, 2022 included revenue of approximately $21.4 million and our Consolidated Balance Sheet as of March 31, 2022 included total assets of approximately $32.3 million attributable to the Neeltran Acquisition.</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because we do not qualify as an accelerated or a large accelerated filer (as defined in Rule 12b-2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280" w:firstLine="648"/>
        <w:spacing w:after="0" w:line="273" w:lineRule="auto"/>
        <w:rPr>
          <w:sz w:val="20"/>
          <w:szCs w:val="20"/>
          <w:color w:val="auto"/>
        </w:rPr>
      </w:pPr>
      <w:r>
        <w:rPr>
          <w:rFonts w:ascii="Arial" w:cs="Arial" w:eastAsia="Arial" w:hAnsi="Arial"/>
          <w:sz w:val="17"/>
          <w:szCs w:val="17"/>
          <w:color w:val="auto"/>
        </w:rPr>
        <w:t>During the quarter ended March 31, 2022, we completed the process of incorporating the internal controls of Northeast Power Systems, Inc., a New York corporation ("NEPSI"), and Northeast Power Realty, LLC (together with NEPSI, the "NEPSI Acquisition") into our internal control over financial reporting and extending our Section 404 compliance program under the Sarbanes-Oxley Act of 2002 and the applicable rules and regulations under such Act to include the NEPSI Acquisition. Except for the foregoing, there were no changes to our internal control over financial reporting (as defined in Rules 13a-15(f) and 15d-15(f) under the Exchange Act) during the fiscal quarter ended March 31, 2022 that have materially affected, or are reasonably likely to materially affect, our internal control over financial reporting.</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2" w:name="page83"/>
    <w:bookmarkEnd w:id="82"/>
    <w:p>
      <w:pPr>
        <w:spacing w:after="0"/>
        <w:tabs>
          <w:tab w:leader="none" w:pos="13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response to this item is contained in part under the caption “Executive Officers” in Part I of this Annual Report on Form 10-K, and in part in our Proxy Statement for the Annual Meeting of Stockholders to be held in 2022 (the “2022 Proxy Statement”) in the sections “Corporate Governance — Members of the Board,” “Corporate Governance — Code of Business Conduct and Ethics,” “Corporate Governance —Board Committees” and “Corporate Governance — Board Committees — Audit Committee,” “Corporate Governance — Director Nomination Process”, “Corporate Governance — Board Determination of Independence”, which sections are incorporated herein by reference.</w:t>
      </w:r>
    </w:p>
    <w:p>
      <w:pPr>
        <w:spacing w:after="0" w:line="388"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sections of the 2022 Proxy Statement titled “Information About Executive and Director Compensation,” “Information About Executive and Director Compensation — Compensation Committee Interlocks and Insider Participation” and “Information About Executive and Director Compensation — Compensation Committee Report” are incorporated herein by reference.</w:t>
      </w:r>
    </w:p>
    <w:p>
      <w:pPr>
        <w:spacing w:after="0" w:line="396" w:lineRule="exact"/>
        <w:rPr>
          <w:sz w:val="20"/>
          <w:szCs w:val="20"/>
          <w:color w:val="auto"/>
        </w:rPr>
      </w:pPr>
    </w:p>
    <w:p>
      <w:pPr>
        <w:ind w:left="1360" w:right="380" w:hanging="1349"/>
        <w:spacing w:after="0" w:line="277" w:lineRule="auto"/>
        <w:tabs>
          <w:tab w:leader="none" w:pos="13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sections of the 2022 Proxy Statement titled “Stock Ownership of Certain Beneficial Owners and Management” and “Information about Executive Officer and Director Compensation — Securities Authorized for Issuance Under our Equity Compensation Plans” are incorporated herein by reference.</w:t>
      </w:r>
    </w:p>
    <w:p>
      <w:pPr>
        <w:spacing w:after="0" w:line="39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sections of the 2022 Proxy Statement titled “Certain Relationships and Related Transactions” and “Corporate Governance — Board Determination of Independence” and “Corporate Governance — Board Committees” are incorporated herein by reference.</w:t>
      </w:r>
    </w:p>
    <w:p>
      <w:pPr>
        <w:spacing w:after="0" w:line="38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independent registered public accounting firm is RSM US LLP, Boston, MA, Auditor ID: 49.</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section of the 2022 Proxy Statement titled “Ratification of Selection of Independent Registered Public Accounting Firm (Proposal 2)”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229" w:lineRule="exact"/>
        <w:rPr>
          <w:sz w:val="20"/>
          <w:szCs w:val="20"/>
          <w:color w:val="auto"/>
        </w:rPr>
      </w:pPr>
    </w:p>
    <w:p>
      <w:pPr>
        <w:ind w:left="500" w:right="6120" w:hanging="6"/>
        <w:spacing w:after="0" w:line="500" w:lineRule="auto"/>
        <w:tabs>
          <w:tab w:leader="none" w:pos="7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Document filed as part of this Annual Report on Form 10-K: 1. Financial Statements</w:t>
      </w:r>
    </w:p>
    <w:p>
      <w:pPr>
        <w:spacing w:after="0" w:line="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financial statements of American Superconductor Corporation, supplemental information and report of independent registered public accounting firm required by this item are included in Item 8, “Financial Statements and Supplementary Data,” in this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206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35</w:t>
              </w:r>
            </w:hyperlink>
          </w:p>
        </w:tc>
      </w:tr>
      <w:tr>
        <w:trPr>
          <w:trHeight w:val="196"/>
        </w:trPr>
        <w:tc>
          <w:tcPr>
            <w:tcW w:w="4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Balance Sheets at March 31, 2022 and 2021</w:t>
              </w:r>
            </w:hyperlink>
          </w:p>
        </w:tc>
        <w:tc>
          <w:tcPr>
            <w:tcW w:w="40" w:type="dxa"/>
            <w:vAlign w:val="bottom"/>
            <w:tcBorders>
              <w:top w:val="single" w:sz="8" w:color="0000EE"/>
            </w:tcBorders>
          </w:tcPr>
          <w:p>
            <w:pPr>
              <w:spacing w:after="0"/>
              <w:rPr>
                <w:sz w:val="17"/>
                <w:szCs w:val="17"/>
                <w:color w:val="auto"/>
              </w:rPr>
            </w:pPr>
          </w:p>
        </w:tc>
        <w:tc>
          <w:tcPr>
            <w:tcW w:w="4960" w:type="dxa"/>
            <w:vAlign w:val="bottom"/>
            <w:gridSpan w:val="4"/>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36</w:t>
              </w:r>
            </w:hyperlink>
          </w:p>
        </w:tc>
      </w:tr>
      <w:tr>
        <w:trPr>
          <w:trHeight w:val="196"/>
        </w:trPr>
        <w:tc>
          <w:tcPr>
            <w:tcW w:w="65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Operations for the fiscal years ended March 31, 2022 and 2021</w:t>
              </w:r>
            </w:hyperlink>
          </w:p>
        </w:tc>
        <w:tc>
          <w:tcPr>
            <w:tcW w:w="2600" w:type="dxa"/>
            <w:vAlign w:val="bottom"/>
            <w:gridSpan w:val="3"/>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37</w:t>
              </w:r>
            </w:hyperlink>
          </w:p>
        </w:tc>
      </w:tr>
      <w:tr>
        <w:trPr>
          <w:trHeight w:val="196"/>
        </w:trPr>
        <w:tc>
          <w:tcPr>
            <w:tcW w:w="73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Comprehensive Loss for the fiscal years ended March 31, 2022 and 2021</w:t>
              </w:r>
            </w:hyperlink>
          </w:p>
        </w:tc>
        <w:tc>
          <w:tcPr>
            <w:tcW w:w="1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38</w:t>
              </w:r>
            </w:hyperlink>
          </w:p>
        </w:tc>
      </w:tr>
      <w:tr>
        <w:trPr>
          <w:trHeight w:val="196"/>
        </w:trPr>
        <w:tc>
          <w:tcPr>
            <w:tcW w:w="9180" w:type="dxa"/>
            <w:vAlign w:val="bottom"/>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Stockholders’ Equity for the fiscal years ended March 31, 2022 and 2021</w:t>
              </w:r>
            </w:hyperlink>
          </w:p>
        </w:tc>
        <w:tc>
          <w:tcPr>
            <w:tcW w:w="2060" w:type="dxa"/>
            <w:vAlign w:val="bottom"/>
            <w:gridSpan w:val="2"/>
          </w:tcPr>
          <w:p>
            <w:pPr>
              <w:jc w:val="right"/>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39</w:t>
              </w:r>
            </w:hyperlink>
          </w:p>
        </w:tc>
      </w:tr>
      <w:tr>
        <w:trPr>
          <w:trHeight w:val="196"/>
        </w:trPr>
        <w:tc>
          <w:tcPr>
            <w:tcW w:w="730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Consolidated Statements of Cash Flows for the fiscal years ended March 31, 2022 and 2021</w:t>
              </w:r>
            </w:hyperlink>
          </w:p>
        </w:tc>
        <w:tc>
          <w:tcPr>
            <w:tcW w:w="1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40</w:t>
              </w:r>
            </w:hyperlink>
          </w:p>
        </w:tc>
      </w:tr>
      <w:tr>
        <w:trPr>
          <w:trHeight w:val="196"/>
        </w:trPr>
        <w:tc>
          <w:tcPr>
            <w:tcW w:w="66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Notes to the Consolidated Financial Statements</w:t>
              </w:r>
            </w:hyperlink>
          </w:p>
        </w:tc>
        <w:tc>
          <w:tcPr>
            <w:tcW w:w="2560" w:type="dxa"/>
            <w:vAlign w:val="bottom"/>
            <w:gridSpan w:val="2"/>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41</w:t>
              </w:r>
            </w:hyperlink>
          </w:p>
        </w:tc>
      </w:tr>
      <w:tr>
        <w:trPr>
          <w:trHeight w:val="20"/>
        </w:trPr>
        <w:tc>
          <w:tcPr>
            <w:tcW w:w="3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All schedules are omitted because they are not applicable, not required or the required information is shown in the consolidated financial statements or notes thereto.</w:t>
      </w:r>
    </w:p>
    <w:p>
      <w:pPr>
        <w:spacing w:after="0" w:line="170" w:lineRule="exact"/>
        <w:rPr>
          <w:sz w:val="20"/>
          <w:szCs w:val="20"/>
          <w:color w:val="auto"/>
        </w:rPr>
      </w:pPr>
    </w:p>
    <w:p>
      <w:pPr>
        <w:ind w:left="500" w:right="5160" w:hanging="6"/>
        <w:spacing w:after="0" w:line="500"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 Required by Item 601 of Regulation S-K under the Exchange Act. See (b) Exhibits.</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 Exhibits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list of Exhibits filed as a part of this Annual Report on Form 10-K is set forth on the Exhibit Index immediately following Item 16, “Form 10-K Summary</w:t>
      </w:r>
      <w:r>
        <w:rPr>
          <w:rFonts w:ascii="Arial" w:cs="Arial" w:eastAsia="Arial" w:hAnsi="Arial"/>
          <w:sz w:val="18"/>
          <w:szCs w:val="18"/>
          <w:i w:val="1"/>
          <w:iCs w:val="1"/>
          <w:color w:val="auto"/>
        </w:rPr>
        <w:t>”</w:t>
      </w:r>
      <w:r>
        <w:rPr>
          <w:rFonts w:ascii="Arial" w:cs="Arial" w:eastAsia="Arial" w:hAnsi="Arial"/>
          <w:sz w:val="18"/>
          <w:szCs w:val="18"/>
          <w:color w:val="auto"/>
        </w:rPr>
        <w:t>,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4" w:name="page85"/>
    <w:bookmarkEnd w:id="84"/>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39" w:right="1440"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3"/>
          </w:tcPr>
          <w:p>
            <w:pPr>
              <w:ind w:left="580"/>
              <w:spacing w:after="0"/>
              <w:rPr>
                <w:sz w:val="20"/>
                <w:szCs w:val="20"/>
                <w:color w:val="auto"/>
              </w:rPr>
            </w:pPr>
            <w:r>
              <w:rPr>
                <w:rFonts w:ascii="Arial" w:cs="Arial" w:eastAsia="Arial" w:hAnsi="Arial"/>
                <w:sz w:val="18"/>
                <w:szCs w:val="18"/>
                <w:b w:val="1"/>
                <w:bCs w:val="1"/>
                <w:color w:val="auto"/>
              </w:rPr>
              <w:t>EXHIBIT INDEX</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1"/>
              </w:rPr>
              <w:t>Incorporated by Reference</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ind w:left="120"/>
              <w:spacing w:after="0" w:line="191" w:lineRule="exact"/>
              <w:rPr>
                <w:sz w:val="20"/>
                <w:szCs w:val="20"/>
                <w:color w:val="auto"/>
              </w:rPr>
            </w:pPr>
            <w:r>
              <w:rPr>
                <w:rFonts w:ascii="Arial" w:cs="Arial" w:eastAsia="Arial" w:hAnsi="Arial"/>
                <w:sz w:val="18"/>
                <w:szCs w:val="18"/>
                <w:b w:val="1"/>
                <w:bCs w:val="1"/>
                <w:color w:val="auto"/>
              </w:rPr>
              <w:t>File</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60" w:type="dxa"/>
            <w:vAlign w:val="bottom"/>
            <w:gridSpan w:val="25"/>
          </w:tcPr>
          <w:p>
            <w:pPr>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88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Arial" w:cs="Arial" w:eastAsia="Arial" w:hAnsi="Arial"/>
                <w:sz w:val="18"/>
                <w:szCs w:val="18"/>
                <w:b w:val="1"/>
                <w:bCs w:val="1"/>
                <w:color w:val="auto"/>
              </w:rPr>
              <w:t>No.</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3100" w:type="dxa"/>
            <w:vAlign w:val="bottom"/>
            <w:tcBorders>
              <w:top w:val="single" w:sz="8" w:color="auto"/>
              <w:bottom w:val="single" w:sz="8" w:color="0000EE"/>
            </w:tcBorders>
            <w:gridSpan w:val="25"/>
          </w:tcPr>
          <w:p>
            <w:pPr>
              <w:spacing w:after="0" w:line="169"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Restated Certificate of Incorporation of the</w:t>
              </w:r>
            </w:hyperlink>
          </w:p>
        </w:tc>
        <w:tc>
          <w:tcPr>
            <w:tcW w:w="60" w:type="dxa"/>
            <w:vAlign w:val="bottom"/>
            <w:tcBorders>
              <w:top w:val="single" w:sz="8" w:color="auto"/>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S-3</w:t>
            </w:r>
          </w:p>
        </w:tc>
        <w:tc>
          <w:tcPr>
            <w:tcW w:w="880" w:type="dxa"/>
            <w:vAlign w:val="bottom"/>
          </w:tcPr>
          <w:p>
            <w:pPr>
              <w:spacing w:after="0"/>
              <w:rPr>
                <w:sz w:val="14"/>
                <w:szCs w:val="14"/>
                <w:color w:val="auto"/>
              </w:rPr>
            </w:pPr>
          </w:p>
        </w:tc>
        <w:tc>
          <w:tcPr>
            <w:tcW w:w="5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333-</w:t>
            </w:r>
          </w:p>
        </w:tc>
        <w:tc>
          <w:tcPr>
            <w:tcW w:w="8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9/13/2013</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r:id="rId111">
              <w:r>
                <w:rPr>
                  <w:rFonts w:ascii="Arial" w:cs="Arial" w:eastAsia="Arial" w:hAnsi="Arial"/>
                  <w:sz w:val="18"/>
                  <w:szCs w:val="18"/>
                  <w:color w:val="0000EE"/>
                  <w:w w:val="86"/>
                </w:rPr>
                <w:t>Registrant, as amended.</w:t>
              </w:r>
            </w:hyperlink>
          </w:p>
        </w:tc>
        <w:tc>
          <w:tcPr>
            <w:tcW w:w="166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89"/>
              </w:rPr>
              <w:t>191153</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Certificate of Amendment of Restated</w:t>
              </w:r>
            </w:hyperlink>
          </w:p>
        </w:tc>
        <w:tc>
          <w:tcPr>
            <w:tcW w:w="620" w:type="dxa"/>
            <w:vAlign w:val="bottom"/>
            <w:gridSpan w:val="1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3/24/2015</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Certificate of Incorporation of the</w:t>
              </w:r>
            </w:hyperlink>
          </w:p>
        </w:tc>
        <w:tc>
          <w:tcPr>
            <w:tcW w:w="94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Registrant, dated March 24, 2015.</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Amended and Restated By-Laws of the</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333-</w:t>
            </w:r>
          </w:p>
        </w:tc>
        <w:tc>
          <w:tcPr>
            <w:tcW w:w="840" w:type="dxa"/>
            <w:vAlign w:val="bottom"/>
          </w:tcPr>
          <w:p>
            <w:pPr>
              <w:spacing w:after="0"/>
              <w:rPr>
                <w:sz w:val="17"/>
                <w:szCs w:val="17"/>
                <w:color w:val="auto"/>
              </w:rPr>
            </w:pPr>
          </w:p>
        </w:tc>
        <w:tc>
          <w:tcPr>
            <w:tcW w:w="106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2/1/2021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13">
              <w:r>
                <w:rPr>
                  <w:rFonts w:ascii="Arial" w:cs="Arial" w:eastAsia="Arial" w:hAnsi="Arial"/>
                  <w:sz w:val="18"/>
                  <w:szCs w:val="18"/>
                  <w:color w:val="0000EE"/>
                  <w:w w:val="87"/>
                </w:rPr>
                <w:t>Registrant.</w:t>
              </w:r>
            </w:hyperlink>
          </w:p>
        </w:tc>
        <w:tc>
          <w:tcPr>
            <w:tcW w:w="2040" w:type="dxa"/>
            <w:vAlign w:val="bottom"/>
            <w:tcBorders>
              <w:top w:val="single" w:sz="8" w:color="0000EE"/>
            </w:tcBorders>
            <w:gridSpan w:val="15"/>
          </w:tcPr>
          <w:p>
            <w:pPr>
              <w:spacing w:after="0"/>
              <w:rPr>
                <w:sz w:val="17"/>
                <w:szCs w:val="17"/>
                <w:color w:val="auto"/>
              </w:rPr>
            </w:pPr>
          </w:p>
        </w:tc>
        <w:tc>
          <w:tcPr>
            <w:tcW w:w="5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89"/>
              </w:rPr>
              <w:t>191153</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Form of Indenture</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2"/>
              </w:rPr>
              <w:t>S-3</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333-</w:t>
            </w:r>
          </w:p>
        </w:tc>
        <w:tc>
          <w:tcPr>
            <w:tcW w:w="840" w:type="dxa"/>
            <w:vAlign w:val="bottom"/>
          </w:tcPr>
          <w:p>
            <w:pPr>
              <w:spacing w:after="0"/>
              <w:rPr>
                <w:sz w:val="17"/>
                <w:szCs w:val="17"/>
                <w:color w:val="auto"/>
              </w:rPr>
            </w:pPr>
          </w:p>
        </w:tc>
        <w:tc>
          <w:tcPr>
            <w:tcW w:w="106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2/26/2021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9"/>
              </w:rPr>
              <w:t>253611</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6"/>
                <w:szCs w:val="16"/>
                <w:color w:val="auto"/>
              </w:rPr>
            </w:pPr>
          </w:p>
        </w:tc>
        <w:tc>
          <w:tcPr>
            <w:tcW w:w="3380" w:type="dxa"/>
            <w:vAlign w:val="bottom"/>
            <w:gridSpan w:val="28"/>
          </w:tcPr>
          <w:p>
            <w:pPr>
              <w:spacing w:after="0" w:line="190" w:lineRule="exact"/>
              <w:rPr>
                <w:rFonts w:ascii="Arial" w:cs="Arial" w:eastAsia="Arial" w:hAnsi="Arial"/>
                <w:sz w:val="18"/>
                <w:szCs w:val="18"/>
                <w:color w:val="0000EE"/>
              </w:rPr>
            </w:pPr>
            <w:hyperlink r:id="rId115">
              <w:r>
                <w:rPr>
                  <w:rFonts w:ascii="Arial" w:cs="Arial" w:eastAsia="Arial" w:hAnsi="Arial"/>
                  <w:sz w:val="18"/>
                  <w:szCs w:val="18"/>
                  <w:color w:val="0000EE"/>
                </w:rPr>
                <w:t>Description of Capital Stock</w:t>
              </w:r>
            </w:hyperlink>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99"/>
              </w:rPr>
              <w:t>10-K</w:t>
            </w:r>
          </w:p>
        </w:tc>
        <w:tc>
          <w:tcPr>
            <w:tcW w:w="1440" w:type="dxa"/>
            <w:vAlign w:val="bottom"/>
            <w:gridSpan w:val="2"/>
          </w:tcPr>
          <w:p>
            <w:pPr>
              <w:jc w:val="center"/>
              <w:ind w:left="770"/>
              <w:spacing w:after="0" w:line="190"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6"/>
                <w:szCs w:val="16"/>
                <w:color w:val="auto"/>
              </w:rPr>
            </w:pPr>
          </w:p>
        </w:tc>
        <w:tc>
          <w:tcPr>
            <w:tcW w:w="1060" w:type="dxa"/>
            <w:vAlign w:val="bottom"/>
            <w:gridSpan w:val="2"/>
          </w:tcPr>
          <w:p>
            <w:pPr>
              <w:jc w:val="center"/>
              <w:ind w:left="70"/>
              <w:spacing w:after="0" w:line="190" w:lineRule="exact"/>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Arial" w:cs="Arial" w:eastAsia="Arial" w:hAnsi="Arial"/>
                <w:sz w:val="18"/>
                <w:szCs w:val="18"/>
                <w:color w:val="auto"/>
                <w:w w:val="91"/>
              </w:rPr>
              <w:t>6/5/2019</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3380" w:type="dxa"/>
            <w:vAlign w:val="bottom"/>
            <w:gridSpan w:val="28"/>
          </w:tcPr>
          <w:p>
            <w:pPr>
              <w:spacing w:after="0" w:line="190" w:lineRule="exact"/>
              <w:rPr>
                <w:rFonts w:ascii="Arial" w:cs="Arial" w:eastAsia="Arial" w:hAnsi="Arial"/>
                <w:sz w:val="18"/>
                <w:szCs w:val="18"/>
                <w:color w:val="0000EE"/>
              </w:rPr>
            </w:pPr>
            <w:hyperlink r:id="rId116">
              <w:r>
                <w:rPr>
                  <w:rFonts w:ascii="Arial" w:cs="Arial" w:eastAsia="Arial" w:hAnsi="Arial"/>
                  <w:sz w:val="18"/>
                  <w:szCs w:val="18"/>
                  <w:color w:val="0000EE"/>
                </w:rPr>
                <w:t>2007 Stock Incentive Plan, as amended.</w:t>
              </w:r>
            </w:hyperlink>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0"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6"/>
                <w:szCs w:val="16"/>
                <w:color w:val="auto"/>
              </w:rPr>
            </w:pPr>
          </w:p>
        </w:tc>
        <w:tc>
          <w:tcPr>
            <w:tcW w:w="1060" w:type="dxa"/>
            <w:vAlign w:val="bottom"/>
            <w:gridSpan w:val="2"/>
          </w:tcPr>
          <w:p>
            <w:pPr>
              <w:jc w:val="center"/>
              <w:ind w:left="90"/>
              <w:spacing w:after="0" w:line="190"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Arial" w:cs="Arial" w:eastAsia="Arial" w:hAnsi="Arial"/>
                <w:sz w:val="18"/>
                <w:szCs w:val="18"/>
                <w:color w:val="auto"/>
                <w:w w:val="91"/>
              </w:rPr>
              <w:t>8/6/2019</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6"/>
                <w:szCs w:val="16"/>
                <w:color w:val="auto"/>
              </w:rPr>
            </w:pPr>
          </w:p>
        </w:tc>
        <w:tc>
          <w:tcPr>
            <w:tcW w:w="3140" w:type="dxa"/>
            <w:vAlign w:val="bottom"/>
            <w:tcBorders>
              <w:bottom w:val="single" w:sz="8" w:color="0000EE"/>
            </w:tcBorders>
            <w:gridSpan w:val="26"/>
          </w:tcPr>
          <w:p>
            <w:pPr>
              <w:spacing w:after="0" w:line="190"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Form of Incentive Stock Option Agreement</w:t>
              </w:r>
            </w:hyperlink>
          </w:p>
        </w:tc>
        <w:tc>
          <w:tcPr>
            <w:tcW w:w="240" w:type="dxa"/>
            <w:vAlign w:val="bottom"/>
            <w:gridSpan w:val="2"/>
          </w:tcPr>
          <w:p>
            <w:pPr>
              <w:spacing w:after="0"/>
              <w:rPr>
                <w:sz w:val="16"/>
                <w:szCs w:val="16"/>
                <w:color w:val="auto"/>
              </w:rPr>
            </w:pPr>
          </w:p>
        </w:tc>
        <w:tc>
          <w:tcPr>
            <w:tcW w:w="900" w:type="dxa"/>
            <w:vAlign w:val="bottom"/>
          </w:tcPr>
          <w:p>
            <w:pPr>
              <w:jc w:val="center"/>
              <w:spacing w:after="0" w:line="190"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0"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6"/>
                <w:szCs w:val="16"/>
                <w:color w:val="auto"/>
              </w:rPr>
            </w:pPr>
          </w:p>
        </w:tc>
        <w:tc>
          <w:tcPr>
            <w:tcW w:w="1060" w:type="dxa"/>
            <w:vAlign w:val="bottom"/>
            <w:gridSpan w:val="2"/>
          </w:tcPr>
          <w:p>
            <w:pPr>
              <w:jc w:val="center"/>
              <w:ind w:left="90"/>
              <w:spacing w:after="0" w:line="190"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under 2007 Stock Incentive Plan, as</w:t>
              </w:r>
            </w:hyperlink>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amended.</w:t>
              </w:r>
            </w:hyperlink>
          </w:p>
        </w:tc>
        <w:tc>
          <w:tcPr>
            <w:tcW w:w="8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Form of Non-statutory Stock Option</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Agreement under 2007 Stock Incentive</w:t>
              </w:r>
            </w:hyperlink>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r:id="rId118">
              <w:r>
                <w:rPr>
                  <w:rFonts w:ascii="Arial" w:cs="Arial" w:eastAsia="Arial" w:hAnsi="Arial"/>
                  <w:sz w:val="18"/>
                  <w:szCs w:val="18"/>
                  <w:color w:val="0000EE"/>
                  <w:w w:val="85"/>
                </w:rPr>
                <w:t>Plan, as amended.</w:t>
              </w:r>
            </w:hyperlink>
          </w:p>
        </w:tc>
        <w:tc>
          <w:tcPr>
            <w:tcW w:w="1520" w:type="dxa"/>
            <w:vAlign w:val="bottom"/>
            <w:tcBorders>
              <w:top w:val="single" w:sz="8" w:color="0000EE"/>
            </w:tcBorders>
            <w:gridSpan w:val="13"/>
          </w:tcPr>
          <w:p>
            <w:pPr>
              <w:spacing w:after="0"/>
              <w:rPr>
                <w:sz w:val="17"/>
                <w:szCs w:val="17"/>
                <w:color w:val="auto"/>
              </w:rPr>
            </w:pPr>
          </w:p>
        </w:tc>
        <w:tc>
          <w:tcPr>
            <w:tcW w:w="56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Form of Restricted Stock Agreement</w:t>
              </w:r>
            </w:hyperlink>
          </w:p>
        </w:tc>
        <w:tc>
          <w:tcPr>
            <w:tcW w:w="720" w:type="dxa"/>
            <w:vAlign w:val="bottom"/>
            <w:gridSpan w:val="1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Regarding Awards to Executive Officers</w:t>
              </w:r>
            </w:hyperlink>
          </w:p>
        </w:tc>
        <w:tc>
          <w:tcPr>
            <w:tcW w:w="4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under 2007 Stock Incentive Plan, as</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amended.</w:t>
              </w:r>
            </w:hyperlink>
          </w:p>
        </w:tc>
        <w:tc>
          <w:tcPr>
            <w:tcW w:w="8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Form of Restricted Stock Agreement</w:t>
              </w:r>
            </w:hyperlink>
          </w:p>
        </w:tc>
        <w:tc>
          <w:tcPr>
            <w:tcW w:w="720" w:type="dxa"/>
            <w:vAlign w:val="bottom"/>
            <w:gridSpan w:val="1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Regarding Awards to Employees, under</w:t>
              </w:r>
            </w:hyperlink>
          </w:p>
        </w:tc>
        <w:tc>
          <w:tcPr>
            <w:tcW w:w="5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2007 Stock Incentive Plan, as amended.</w:t>
              </w:r>
            </w:hyperlink>
          </w:p>
        </w:tc>
        <w:tc>
          <w:tcPr>
            <w:tcW w:w="5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Form of Restricted Stock Agreement</w:t>
              </w:r>
            </w:hyperlink>
          </w:p>
        </w:tc>
        <w:tc>
          <w:tcPr>
            <w:tcW w:w="720" w:type="dxa"/>
            <w:vAlign w:val="bottom"/>
            <w:gridSpan w:val="16"/>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5/20/2008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(regarding performance-based awards to</w:t>
              </w:r>
            </w:hyperlink>
          </w:p>
        </w:tc>
        <w:tc>
          <w:tcPr>
            <w:tcW w:w="4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executive officers and employees) under</w:t>
              </w:r>
            </w:hyperlink>
          </w:p>
        </w:tc>
        <w:tc>
          <w:tcPr>
            <w:tcW w:w="4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2007 Stock Incentive Plan, as amended.</w:t>
              </w:r>
            </w:hyperlink>
          </w:p>
        </w:tc>
        <w:tc>
          <w:tcPr>
            <w:tcW w:w="5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Form of Option Surrender Agreement</w:t>
              </w:r>
            </w:hyperlink>
          </w:p>
        </w:tc>
        <w:tc>
          <w:tcPr>
            <w:tcW w:w="640" w:type="dxa"/>
            <w:vAlign w:val="bottom"/>
            <w:gridSpan w:val="1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11/6/2018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under 2007 Stock Incentive Plan, as</w:t>
              </w:r>
            </w:hyperlink>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amended.</w:t>
              </w:r>
            </w:hyperlink>
          </w:p>
        </w:tc>
        <w:tc>
          <w:tcPr>
            <w:tcW w:w="8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28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Form of Performance-Based Restricted</w:t>
              </w:r>
            </w:hyperlink>
          </w:p>
        </w:tc>
        <w:tc>
          <w:tcPr>
            <w:tcW w:w="560" w:type="dxa"/>
            <w:vAlign w:val="bottom"/>
            <w:gridSpan w:val="1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2/5/2020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Stock Agreement for Executive Officers</w:t>
              </w:r>
            </w:hyperlink>
          </w:p>
        </w:tc>
        <w:tc>
          <w:tcPr>
            <w:tcW w:w="4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under 2007 Stock Incentive Plan, as</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amended.</w:t>
              </w:r>
            </w:hyperlink>
          </w:p>
        </w:tc>
        <w:tc>
          <w:tcPr>
            <w:tcW w:w="8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Form of Time-Based Restricted Stock</w:t>
              </w:r>
            </w:hyperlink>
          </w:p>
        </w:tc>
        <w:tc>
          <w:tcPr>
            <w:tcW w:w="640" w:type="dxa"/>
            <w:vAlign w:val="bottom"/>
            <w:gridSpan w:val="1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2/5/2020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Agreement for Executive Officers under</w:t>
              </w:r>
            </w:hyperlink>
          </w:p>
        </w:tc>
        <w:tc>
          <w:tcPr>
            <w:tcW w:w="4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2007 Stock Incentive Plan, as amended.</w:t>
              </w:r>
            </w:hyperlink>
          </w:p>
        </w:tc>
        <w:tc>
          <w:tcPr>
            <w:tcW w:w="5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60" w:type="dxa"/>
            <w:vAlign w:val="bottom"/>
          </w:tcPr>
          <w:p>
            <w:pPr>
              <w:spacing w:after="0"/>
              <w:rPr>
                <w:sz w:val="17"/>
                <w:szCs w:val="17"/>
                <w:color w:val="auto"/>
              </w:rPr>
            </w:pPr>
          </w:p>
        </w:tc>
        <w:tc>
          <w:tcPr>
            <w:tcW w:w="27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Amended and Restated 2007 Director</w:t>
              </w:r>
            </w:hyperlink>
          </w:p>
        </w:tc>
        <w:tc>
          <w:tcPr>
            <w:tcW w:w="660" w:type="dxa"/>
            <w:vAlign w:val="bottom"/>
            <w:gridSpan w:val="15"/>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4"/>
              </w:rPr>
              <w:t>000-</w:t>
            </w:r>
          </w:p>
        </w:tc>
        <w:tc>
          <w:tcPr>
            <w:tcW w:w="840" w:type="dxa"/>
            <w:vAlign w:val="bottom"/>
          </w:tcPr>
          <w:p>
            <w:pPr>
              <w:spacing w:after="0"/>
              <w:rPr>
                <w:sz w:val="17"/>
                <w:szCs w:val="17"/>
                <w:color w:val="auto"/>
              </w:rPr>
            </w:pP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88"/>
              </w:rPr>
              <w:t>10.10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6/2/2021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r:id="rId125">
              <w:r>
                <w:rPr>
                  <w:rFonts w:ascii="Arial" w:cs="Arial" w:eastAsia="Arial" w:hAnsi="Arial"/>
                  <w:sz w:val="18"/>
                  <w:szCs w:val="18"/>
                  <w:color w:val="0000EE"/>
                  <w:w w:val="87"/>
                </w:rPr>
                <w:t>Stock Plan.</w:t>
              </w:r>
            </w:hyperlink>
          </w:p>
        </w:tc>
        <w:tc>
          <w:tcPr>
            <w:tcW w:w="2560" w:type="dxa"/>
            <w:vAlign w:val="bottom"/>
            <w:gridSpan w:val="25"/>
          </w:tcPr>
          <w:p>
            <w:pPr>
              <w:spacing w:after="0"/>
              <w:rPr>
                <w:sz w:val="17"/>
                <w:szCs w:val="17"/>
                <w:color w:val="auto"/>
              </w:rPr>
            </w:pPr>
          </w:p>
        </w:tc>
        <w:tc>
          <w:tcPr>
            <w:tcW w:w="900" w:type="dxa"/>
            <w:vAlign w:val="bottom"/>
          </w:tcPr>
          <w:p>
            <w:pPr>
              <w:spacing w:after="0"/>
              <w:rPr>
                <w:sz w:val="17"/>
                <w:szCs w:val="17"/>
                <w:color w:val="auto"/>
              </w:rPr>
            </w:pPr>
          </w:p>
        </w:tc>
        <w:tc>
          <w:tcPr>
            <w:tcW w:w="1440" w:type="dxa"/>
            <w:vAlign w:val="bottom"/>
            <w:gridSpan w:val="2"/>
          </w:tcPr>
          <w:p>
            <w:pPr>
              <w:jc w:val="center"/>
              <w:ind w:left="770"/>
              <w:spacing w:after="0" w:line="196" w:lineRule="exact"/>
              <w:rPr>
                <w:sz w:val="20"/>
                <w:szCs w:val="20"/>
                <w:color w:val="auto"/>
              </w:rPr>
            </w:pPr>
            <w:r>
              <w:rPr>
                <w:rFonts w:ascii="Arial" w:cs="Arial" w:eastAsia="Arial" w:hAnsi="Arial"/>
                <w:sz w:val="18"/>
                <w:szCs w:val="18"/>
                <w:color w:val="auto"/>
                <w:w w:val="91"/>
              </w:rPr>
              <w:t>19672</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Form of Non-statutory Stock Option</w:t>
              </w:r>
            </w:hyperlink>
          </w:p>
        </w:tc>
        <w:tc>
          <w:tcPr>
            <w:tcW w:w="900" w:type="dxa"/>
            <w:vAlign w:val="bottom"/>
          </w:tcPr>
          <w:p>
            <w:pPr>
              <w:spacing w:after="0"/>
              <w:rPr>
                <w:sz w:val="17"/>
                <w:szCs w:val="17"/>
                <w:color w:val="auto"/>
              </w:rPr>
            </w:pPr>
          </w:p>
        </w:tc>
        <w:tc>
          <w:tcPr>
            <w:tcW w:w="144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8-K</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0"/>
              </w:rPr>
              <w:t>000-19672</w:t>
            </w:r>
          </w:p>
        </w:tc>
        <w:tc>
          <w:tcPr>
            <w:tcW w:w="1060" w:type="dxa"/>
            <w:vAlign w:val="bottom"/>
            <w:gridSpan w:val="2"/>
          </w:tcPr>
          <w:p>
            <w:pPr>
              <w:jc w:val="center"/>
              <w:ind w:left="90"/>
              <w:spacing w:after="0" w:line="196" w:lineRule="exact"/>
              <w:rPr>
                <w:sz w:val="20"/>
                <w:szCs w:val="20"/>
                <w:color w:val="auto"/>
              </w:rPr>
            </w:pPr>
            <w:r>
              <w:rPr>
                <w:rFonts w:ascii="Arial" w:cs="Arial" w:eastAsia="Arial" w:hAnsi="Arial"/>
                <w:sz w:val="18"/>
                <w:szCs w:val="18"/>
                <w:color w:val="auto"/>
                <w:w w:val="91"/>
              </w:rPr>
              <w:t>10.7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1"/>
              </w:rPr>
              <w:t>8/7/2007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8"/>
          </w:tcPr>
          <w:p>
            <w:pPr>
              <w:spacing w:after="0" w:line="196" w:lineRule="exact"/>
              <w:rPr>
                <w:rFonts w:ascii="Arial" w:cs="Arial" w:eastAsia="Arial" w:hAnsi="Arial"/>
                <w:sz w:val="18"/>
                <w:szCs w:val="18"/>
                <w:color w:val="0000EE"/>
                <w:w w:val="99"/>
              </w:rPr>
            </w:pPr>
            <w:hyperlink r:id="rId126">
              <w:r>
                <w:rPr>
                  <w:rFonts w:ascii="Arial" w:cs="Arial" w:eastAsia="Arial" w:hAnsi="Arial"/>
                  <w:sz w:val="18"/>
                  <w:szCs w:val="18"/>
                  <w:color w:val="0000EE"/>
                  <w:w w:val="99"/>
                </w:rPr>
                <w:t>Agreement Under Amended and Restated</w:t>
              </w:r>
            </w:hyperlink>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2007 Director Stock Plan</w:t>
              </w:r>
              <w:r>
                <w:rPr>
                  <w:rFonts w:ascii="Arial" w:cs="Arial" w:eastAsia="Arial" w:hAnsi="Arial"/>
                  <w:sz w:val="18"/>
                  <w:szCs w:val="18"/>
                  <w:color w:val="000000"/>
                </w:rPr>
                <w:t>.</w:t>
              </w:r>
            </w:hyperlink>
          </w:p>
        </w:tc>
        <w:tc>
          <w:tcPr>
            <w:tcW w:w="3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11"/>
          </w:tcPr>
          <w:p>
            <w:pPr>
              <w:ind w:left="14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2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220" w:type="dxa"/>
            <w:vAlign w:val="bottom"/>
          </w:tcPr>
          <w:p>
            <w:pPr>
              <w:spacing w:after="0"/>
              <w:rPr>
                <w:sz w:val="20"/>
                <w:szCs w:val="20"/>
                <w:color w:val="auto"/>
              </w:rPr>
            </w:pP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10.12+</w:t>
            </w:r>
          </w:p>
        </w:tc>
        <w:tc>
          <w:tcPr>
            <w:tcW w:w="240" w:type="dxa"/>
            <w:vAlign w:val="bottom"/>
          </w:tcPr>
          <w:p>
            <w:pPr>
              <w:spacing w:after="0"/>
              <w:rPr>
                <w:sz w:val="14"/>
                <w:szCs w:val="14"/>
                <w:color w:val="auto"/>
              </w:rPr>
            </w:pPr>
          </w:p>
        </w:tc>
        <w:tc>
          <w:tcPr>
            <w:tcW w:w="4160" w:type="dxa"/>
            <w:vAlign w:val="bottom"/>
            <w:tcBorders>
              <w:top w:val="single" w:sz="8" w:color="auto"/>
            </w:tcBorders>
            <w:gridSpan w:val="12"/>
          </w:tcPr>
          <w:p>
            <w:pPr>
              <w:spacing w:after="0" w:line="169" w:lineRule="exact"/>
              <w:rPr>
                <w:rFonts w:ascii="Arial" w:cs="Arial" w:eastAsia="Arial" w:hAnsi="Arial"/>
                <w:sz w:val="18"/>
                <w:szCs w:val="18"/>
                <w:color w:val="0000EE"/>
                <w:w w:val="98"/>
              </w:rPr>
            </w:pPr>
            <w:hyperlink r:id="rId127">
              <w:r>
                <w:rPr>
                  <w:rFonts w:ascii="Arial" w:cs="Arial" w:eastAsia="Arial" w:hAnsi="Arial"/>
                  <w:sz w:val="18"/>
                  <w:szCs w:val="18"/>
                  <w:color w:val="0000EE"/>
                  <w:w w:val="98"/>
                </w:rPr>
                <w:t>Form of Employee Nondisclosure and Developments</w:t>
              </w:r>
            </w:hyperlink>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8"/>
              </w:rPr>
              <w:t>10-K/A</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333-43647</w:t>
            </w:r>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10.11</w:t>
            </w:r>
          </w:p>
        </w:tc>
        <w:tc>
          <w:tcPr>
            <w:tcW w:w="2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6/7/2018</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Agreement.</w:t>
              </w:r>
            </w:hyperlink>
          </w:p>
        </w:tc>
        <w:tc>
          <w:tcPr>
            <w:tcW w:w="2980" w:type="dxa"/>
            <w:vAlign w:val="bottom"/>
            <w:tcBorders>
              <w:top w:val="single" w:sz="8" w:color="0000EE"/>
            </w:tcBorders>
            <w:gridSpan w:val="5"/>
          </w:tcPr>
          <w:p>
            <w:pPr>
              <w:spacing w:after="0"/>
              <w:rPr>
                <w:sz w:val="17"/>
                <w:szCs w:val="17"/>
                <w:color w:val="auto"/>
              </w:rPr>
            </w:pPr>
          </w:p>
        </w:tc>
        <w:tc>
          <w:tcPr>
            <w:tcW w:w="5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4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Amended and Restated Executive Severance Agreement,</w:t>
              </w:r>
            </w:hyperlink>
          </w:p>
        </w:tc>
        <w:tc>
          <w:tcPr>
            <w:tcW w:w="26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10.2</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5/24/2011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dated as of May 24, 2011, between the Registrant and</w:t>
              </w:r>
            </w:hyperlink>
          </w:p>
        </w:tc>
        <w:tc>
          <w:tcPr>
            <w:tcW w:w="5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Daniel P. McGahn.</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40" w:type="dxa"/>
            <w:vAlign w:val="bottom"/>
          </w:tcPr>
          <w:p>
            <w:pPr>
              <w:spacing w:after="0"/>
              <w:rPr>
                <w:sz w:val="17"/>
                <w:szCs w:val="17"/>
                <w:color w:val="auto"/>
              </w:rPr>
            </w:pPr>
          </w:p>
        </w:tc>
        <w:tc>
          <w:tcPr>
            <w:tcW w:w="41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29">
              <w:r>
                <w:rPr>
                  <w:rFonts w:ascii="Arial" w:cs="Arial" w:eastAsia="Arial" w:hAnsi="Arial"/>
                  <w:sz w:val="18"/>
                  <w:szCs w:val="18"/>
                  <w:color w:val="0000EE"/>
                  <w:w w:val="88"/>
                </w:rPr>
                <w:t>Executive Severance Agreement, dated as of January 13,</w:t>
              </w:r>
            </w:hyperlink>
          </w:p>
        </w:tc>
        <w:tc>
          <w:tcPr>
            <w:tcW w:w="28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91"/>
              </w:rPr>
              <w:t>4/4/2017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2012, between the Registrant and John W. Kosiba.</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First Amendment to Executive Severance Agreement,</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11/7/2017</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effective as of July 31, 2017, between the Registrant and</w:t>
              </w:r>
            </w:hyperlink>
          </w:p>
        </w:tc>
        <w:tc>
          <w:tcPr>
            <w:tcW w:w="3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John W. Kosiba.</w:t>
              </w:r>
            </w:hyperlink>
          </w:p>
        </w:tc>
        <w:tc>
          <w:tcPr>
            <w:tcW w:w="32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240" w:type="dxa"/>
            <w:vAlign w:val="bottom"/>
          </w:tcPr>
          <w:p>
            <w:pPr>
              <w:spacing w:after="0"/>
              <w:rPr>
                <w:sz w:val="17"/>
                <w:szCs w:val="17"/>
                <w:color w:val="auto"/>
              </w:rPr>
            </w:pPr>
          </w:p>
        </w:tc>
        <w:tc>
          <w:tcPr>
            <w:tcW w:w="27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Fiscal 2020 Executive Incentive Plan.</w:t>
              </w:r>
            </w:hyperlink>
          </w:p>
        </w:tc>
        <w:tc>
          <w:tcPr>
            <w:tcW w:w="1660" w:type="dxa"/>
            <w:vAlign w:val="bottom"/>
            <w:gridSpan w:val="9"/>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5/27/2020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Fiscal 2021 Executive Incentive Plan.</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12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100" w:type="dxa"/>
            <w:vAlign w:val="bottom"/>
            <w:gridSpan w:val="2"/>
          </w:tcPr>
          <w:p>
            <w:pPr>
              <w:jc w:val="center"/>
              <w:ind w:left="130"/>
              <w:spacing w:after="0" w:line="196" w:lineRule="exact"/>
              <w:rPr>
                <w:sz w:val="20"/>
                <w:szCs w:val="20"/>
                <w:color w:val="auto"/>
              </w:rPr>
            </w:pPr>
            <w:r>
              <w:rPr>
                <w:rFonts w:ascii="Arial" w:cs="Arial" w:eastAsia="Arial" w:hAnsi="Arial"/>
                <w:sz w:val="18"/>
                <w:szCs w:val="18"/>
                <w:color w:val="auto"/>
                <w:w w:val="89"/>
              </w:rPr>
              <w:t>5/25/2021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Incorporated by Reference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6"/>
                <w:szCs w:val="16"/>
                <w:color w:val="auto"/>
              </w:rPr>
            </w:pPr>
          </w:p>
        </w:tc>
        <w:tc>
          <w:tcPr>
            <w:tcW w:w="13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Filed/Furnished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340" w:type="dxa"/>
            <w:vAlign w:val="bottom"/>
            <w:gridSpan w:val="12"/>
          </w:tcPr>
          <w:p>
            <w:pPr>
              <w:ind w:left="280"/>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2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340" w:type="dxa"/>
            <w:vAlign w:val="bottom"/>
          </w:tcPr>
          <w:p>
            <w:pPr>
              <w:spacing w:after="0"/>
              <w:rPr>
                <w:sz w:val="20"/>
                <w:szCs w:val="20"/>
                <w:color w:val="auto"/>
              </w:rPr>
            </w:pPr>
          </w:p>
        </w:tc>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10.18†</w:t>
            </w:r>
          </w:p>
        </w:tc>
        <w:tc>
          <w:tcPr>
            <w:tcW w:w="240" w:type="dxa"/>
            <w:vAlign w:val="bottom"/>
          </w:tcPr>
          <w:p>
            <w:pPr>
              <w:spacing w:after="0"/>
              <w:rPr>
                <w:sz w:val="14"/>
                <w:szCs w:val="14"/>
                <w:color w:val="auto"/>
              </w:rPr>
            </w:pPr>
          </w:p>
        </w:tc>
        <w:tc>
          <w:tcPr>
            <w:tcW w:w="4160" w:type="dxa"/>
            <w:vAlign w:val="bottom"/>
            <w:tcBorders>
              <w:top w:val="single" w:sz="8" w:color="auto"/>
            </w:tcBorders>
            <w:gridSpan w:val="12"/>
          </w:tcPr>
          <w:p>
            <w:pPr>
              <w:spacing w:after="0" w:line="169" w:lineRule="exact"/>
              <w:rPr>
                <w:rFonts w:ascii="Arial" w:cs="Arial" w:eastAsia="Arial" w:hAnsi="Arial"/>
                <w:sz w:val="18"/>
                <w:szCs w:val="18"/>
                <w:color w:val="0000EE"/>
              </w:rPr>
            </w:pPr>
            <w:hyperlink r:id="rId133">
              <w:r>
                <w:rPr>
                  <w:rFonts w:ascii="Arial" w:cs="Arial" w:eastAsia="Arial" w:hAnsi="Arial"/>
                  <w:sz w:val="18"/>
                  <w:szCs w:val="18"/>
                  <w:color w:val="0000EE"/>
                </w:rPr>
                <w:t>Supply Contract, dated December 16, 2015, by and</w:t>
              </w:r>
            </w:hyperlink>
          </w:p>
        </w:tc>
        <w:tc>
          <w:tcPr>
            <w:tcW w:w="22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10-Q</w:t>
            </w:r>
          </w:p>
        </w:tc>
        <w:tc>
          <w:tcPr>
            <w:tcW w:w="24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000-19672</w:t>
            </w:r>
          </w:p>
        </w:tc>
        <w:tc>
          <w:tcPr>
            <w:tcW w:w="34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2/9/2016</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between the Registrant and Inox Wind Limited.</w:t>
              </w:r>
            </w:hyperlink>
          </w:p>
        </w:tc>
        <w:tc>
          <w:tcPr>
            <w:tcW w:w="260" w:type="dxa"/>
            <w:vAlign w:val="bottom"/>
            <w:tcBorders>
              <w:top w:val="single" w:sz="8" w:color="0000EE"/>
            </w:tcBorders>
            <w:gridSpan w:val="2"/>
          </w:tcPr>
          <w:p>
            <w:pPr>
              <w:spacing w:after="0"/>
              <w:rPr>
                <w:sz w:val="17"/>
                <w:szCs w:val="17"/>
                <w:color w:val="auto"/>
              </w:rPr>
            </w:pPr>
          </w:p>
        </w:tc>
        <w:tc>
          <w:tcPr>
            <w:tcW w:w="7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Amendment No. 1 to Supply Contract, entered into as of</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8"/>
              </w:rPr>
              <w:t>10.29</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6/6/2018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March 14, 2018 and effective as of November 8, 2017,</w:t>
              </w:r>
            </w:hyperlink>
          </w:p>
        </w:tc>
        <w:tc>
          <w:tcPr>
            <w:tcW w:w="120" w:type="dxa"/>
            <w:vAlign w:val="bottom"/>
            <w:tcBorders>
              <w:top w:val="single" w:sz="8" w:color="0000EE"/>
            </w:tcBorders>
            <w:gridSpan w:val="3"/>
          </w:tcPr>
          <w:p>
            <w:pPr>
              <w:spacing w:after="0"/>
              <w:rPr>
                <w:sz w:val="17"/>
                <w:szCs w:val="17"/>
                <w:color w:val="auto"/>
              </w:rPr>
            </w:pPr>
          </w:p>
        </w:tc>
        <w:tc>
          <w:tcPr>
            <w:tcW w:w="3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by and between the Registrant and Inox Wind Limited.</w:t>
              </w:r>
            </w:hyperlink>
          </w:p>
        </w:tc>
        <w:tc>
          <w:tcPr>
            <w:tcW w:w="4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Amendment No. 2 to Supply Contract, entered into on</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8"/>
              </w:rPr>
              <w:t>10.30</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6/6/2018</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May 21, 2018, by and between the Registrant and Inox</w:t>
              </w:r>
            </w:hyperlink>
          </w:p>
        </w:tc>
        <w:tc>
          <w:tcPr>
            <w:tcW w:w="4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Wind Limited.</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Amendment No. 3 to Supply Contract, entered into on</w:t>
              </w:r>
            </w:hyperlink>
          </w:p>
        </w:tc>
        <w:tc>
          <w:tcPr>
            <w:tcW w:w="9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10-K</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8"/>
              </w:rPr>
              <w:t>10.21</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6/2/2021</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May 11, 2021, by and between the Registrant and Inox</w:t>
              </w:r>
            </w:hyperlink>
          </w:p>
        </w:tc>
        <w:tc>
          <w:tcPr>
            <w:tcW w:w="4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Wind Limited.</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240" w:type="dxa"/>
            <w:vAlign w:val="bottom"/>
          </w:tcPr>
          <w:p>
            <w:pPr>
              <w:spacing w:after="0"/>
              <w:rPr>
                <w:sz w:val="17"/>
                <w:szCs w:val="17"/>
                <w:color w:val="auto"/>
              </w:rPr>
            </w:pPr>
          </w:p>
        </w:tc>
        <w:tc>
          <w:tcPr>
            <w:tcW w:w="4380" w:type="dxa"/>
            <w:vAlign w:val="bottom"/>
            <w:gridSpan w:val="13"/>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Technology License Agreement, dated December 16,</w:t>
              </w:r>
            </w:hyperlink>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14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0"/>
              </w:rPr>
              <w:t>000-19672</w:t>
            </w:r>
          </w:p>
        </w:tc>
        <w:tc>
          <w:tcPr>
            <w:tcW w:w="12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1"/>
              </w:rPr>
              <w:t>10.2</w:t>
            </w:r>
          </w:p>
        </w:tc>
        <w:tc>
          <w:tcPr>
            <w:tcW w:w="1000" w:type="dxa"/>
            <w:vAlign w:val="bottom"/>
            <w:gridSpan w:val="2"/>
          </w:tcPr>
          <w:p>
            <w:pPr>
              <w:jc w:val="center"/>
              <w:ind w:left="30"/>
              <w:spacing w:after="0" w:line="196" w:lineRule="exact"/>
              <w:rPr>
                <w:sz w:val="20"/>
                <w:szCs w:val="20"/>
                <w:color w:val="auto"/>
              </w:rPr>
            </w:pPr>
            <w:r>
              <w:rPr>
                <w:rFonts w:ascii="Arial" w:cs="Arial" w:eastAsia="Arial" w:hAnsi="Arial"/>
                <w:sz w:val="18"/>
                <w:szCs w:val="18"/>
                <w:color w:val="auto"/>
                <w:w w:val="91"/>
              </w:rPr>
              <w:t>2/9/2016</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2015, by and among AMSC Austria GMBH, the</w:t>
              </w:r>
            </w:hyperlink>
          </w:p>
        </w:tc>
        <w:tc>
          <w:tcPr>
            <w:tcW w:w="5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Registrant and Inox Wind Limited.</w:t>
              </w:r>
            </w:hyperlink>
          </w:p>
        </w:tc>
        <w:tc>
          <w:tcPr>
            <w:tcW w:w="90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10.30</w:t>
            </w:r>
          </w:p>
        </w:tc>
        <w:tc>
          <w:tcPr>
            <w:tcW w:w="4060" w:type="dxa"/>
            <w:vAlign w:val="bottom"/>
            <w:tcBorders>
              <w:bottom w:val="single" w:sz="8" w:color="0000EE"/>
            </w:tcBorders>
            <w:gridSpan w:val="23"/>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Subcontract Agreement, dated October 31, 2018, by and</w:t>
              </w:r>
            </w:hyperlink>
          </w:p>
        </w:tc>
        <w:tc>
          <w:tcPr>
            <w:tcW w:w="340" w:type="dxa"/>
            <w:vAlign w:val="bottom"/>
            <w:gridSpan w:val="5"/>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060" w:type="dxa"/>
            <w:vAlign w:val="bottom"/>
          </w:tcPr>
          <w:p>
            <w:pPr>
              <w:jc w:val="center"/>
              <w:ind w:right="690"/>
              <w:spacing w:after="0"/>
              <w:rPr>
                <w:sz w:val="20"/>
                <w:szCs w:val="20"/>
                <w:color w:val="auto"/>
              </w:rPr>
            </w:pPr>
            <w:r>
              <w:rPr>
                <w:rFonts w:ascii="Arial" w:cs="Arial" w:eastAsia="Arial" w:hAnsi="Arial"/>
                <w:sz w:val="18"/>
                <w:szCs w:val="18"/>
                <w:color w:val="auto"/>
                <w:w w:val="91"/>
              </w:rPr>
              <w:t>2/5/2019</w:t>
            </w:r>
          </w:p>
        </w:tc>
      </w:tr>
      <w:tr>
        <w:trPr>
          <w:trHeight w:val="196"/>
        </w:trPr>
        <w:tc>
          <w:tcPr>
            <w:tcW w:w="104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between the Registrant and Commonwealth Edison</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6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Company.</w:t>
              </w:r>
            </w:hyperlink>
          </w:p>
        </w:tc>
        <w:tc>
          <w:tcPr>
            <w:tcW w:w="72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Amendment to Subcontract Agreement, effective</w:t>
              </w:r>
            </w:hyperlink>
          </w:p>
        </w:tc>
        <w:tc>
          <w:tcPr>
            <w:tcW w:w="860" w:type="dxa"/>
            <w:vAlign w:val="bottom"/>
            <w:gridSpan w:val="1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8"/>
              </w:rPr>
              <w:t>10.30</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91"/>
              </w:rPr>
              <w:t>6/2/2020</w:t>
            </w:r>
          </w:p>
        </w:tc>
      </w:tr>
      <w:tr>
        <w:trPr>
          <w:trHeight w:val="196"/>
        </w:trPr>
        <w:tc>
          <w:tcPr>
            <w:tcW w:w="104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February 6, 2020, by and between the Registrant and</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Commonwealth Edison Company.</w:t>
              </w:r>
            </w:hyperlink>
          </w:p>
        </w:tc>
        <w:tc>
          <w:tcPr>
            <w:tcW w:w="60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Stock Purchase Agreement, dated October 1, 2020, by</w:t>
              </w:r>
            </w:hyperlink>
          </w:p>
        </w:tc>
        <w:tc>
          <w:tcPr>
            <w:tcW w:w="480" w:type="dxa"/>
            <w:vAlign w:val="bottom"/>
            <w:gridSpan w:val="9"/>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89"/>
              </w:rPr>
              <w:t>10/5/2020</w:t>
            </w:r>
          </w:p>
        </w:tc>
      </w:tr>
      <w:tr>
        <w:trPr>
          <w:trHeight w:val="196"/>
        </w:trPr>
        <w:tc>
          <w:tcPr>
            <w:tcW w:w="104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and among the Registrant, Frank J. Steciuk, Paul B.</w:t>
              </w:r>
            </w:hyperlink>
          </w:p>
        </w:tc>
        <w:tc>
          <w:tcPr>
            <w:tcW w:w="68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Steciuk and Peter A. Steciuk.</w:t>
              </w:r>
            </w:hyperlink>
          </w:p>
        </w:tc>
        <w:tc>
          <w:tcPr>
            <w:tcW w:w="228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39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Stock Purchase Agreement, dated May 6, 2021, by and</w:t>
              </w:r>
            </w:hyperlink>
          </w:p>
        </w:tc>
        <w:tc>
          <w:tcPr>
            <w:tcW w:w="440" w:type="dxa"/>
            <w:vAlign w:val="bottom"/>
            <w:gridSpan w:val="8"/>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89"/>
              </w:rPr>
              <w:t>5/10/2021</w:t>
            </w:r>
          </w:p>
        </w:tc>
      </w:tr>
      <w:tr>
        <w:trPr>
          <w:trHeight w:val="196"/>
        </w:trPr>
        <w:tc>
          <w:tcPr>
            <w:tcW w:w="1040" w:type="dxa"/>
            <w:vAlign w:val="bottom"/>
          </w:tcPr>
          <w:p>
            <w:pPr>
              <w:spacing w:after="0"/>
              <w:rPr>
                <w:sz w:val="17"/>
                <w:szCs w:val="17"/>
                <w:color w:val="auto"/>
              </w:rPr>
            </w:pPr>
          </w:p>
        </w:tc>
        <w:tc>
          <w:tcPr>
            <w:tcW w:w="41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among the Registrant, Antonio Capanna, Jr., The Antonio</w:t>
              </w:r>
            </w:hyperlink>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141">
              <w:r>
                <w:rPr>
                  <w:rFonts w:ascii="Arial" w:cs="Arial" w:eastAsia="Arial" w:hAnsi="Arial"/>
                  <w:sz w:val="18"/>
                  <w:szCs w:val="18"/>
                  <w:color w:val="0000EE"/>
                  <w:w w:val="89"/>
                </w:rPr>
                <w:t>Capanna 2010 Spousal Lifetime Access Trust Dated</w:t>
              </w:r>
            </w:hyperlink>
          </w:p>
        </w:tc>
        <w:tc>
          <w:tcPr>
            <w:tcW w:w="64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r:id="rId141">
              <w:r>
                <w:rPr>
                  <w:rFonts w:ascii="Arial" w:cs="Arial" w:eastAsia="Arial" w:hAnsi="Arial"/>
                  <w:sz w:val="18"/>
                  <w:szCs w:val="18"/>
                  <w:color w:val="0000EE"/>
                  <w:w w:val="88"/>
                </w:rPr>
                <w:t>December 28, 2010 and the Other Seller Parties.</w:t>
              </w:r>
            </w:hyperlink>
          </w:p>
        </w:tc>
        <w:tc>
          <w:tcPr>
            <w:tcW w:w="92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38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Purchase and Sale Agreement, dated May 6, 2021, by</w:t>
              </w:r>
            </w:hyperlink>
          </w:p>
        </w:tc>
        <w:tc>
          <w:tcPr>
            <w:tcW w:w="540" w:type="dxa"/>
            <w:vAlign w:val="bottom"/>
            <w:gridSpan w:val="11"/>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32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000-19672</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2060" w:type="dxa"/>
            <w:vAlign w:val="bottom"/>
          </w:tcPr>
          <w:p>
            <w:pPr>
              <w:jc w:val="center"/>
              <w:ind w:right="690"/>
              <w:spacing w:after="0" w:line="196" w:lineRule="exact"/>
              <w:rPr>
                <w:sz w:val="20"/>
                <w:szCs w:val="20"/>
                <w:color w:val="auto"/>
              </w:rPr>
            </w:pPr>
            <w:r>
              <w:rPr>
                <w:rFonts w:ascii="Arial" w:cs="Arial" w:eastAsia="Arial" w:hAnsi="Arial"/>
                <w:sz w:val="18"/>
                <w:szCs w:val="18"/>
                <w:color w:val="auto"/>
                <w:w w:val="89"/>
              </w:rPr>
              <w:t>5/10/2021</w:t>
            </w:r>
          </w:p>
        </w:tc>
      </w:tr>
      <w:tr>
        <w:trPr>
          <w:trHeight w:val="196"/>
        </w:trPr>
        <w:tc>
          <w:tcPr>
            <w:tcW w:w="1040" w:type="dxa"/>
            <w:vAlign w:val="bottom"/>
          </w:tcPr>
          <w:p>
            <w:pPr>
              <w:spacing w:after="0"/>
              <w:rPr>
                <w:sz w:val="17"/>
                <w:szCs w:val="17"/>
                <w:color w:val="auto"/>
              </w:rPr>
            </w:pPr>
          </w:p>
        </w:tc>
        <w:tc>
          <w:tcPr>
            <w:tcW w:w="41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and among AMSC Husky LLC, 71 Pickett District Road,</w:t>
              </w:r>
            </w:hyperlink>
          </w:p>
        </w:tc>
        <w:tc>
          <w:tcPr>
            <w:tcW w:w="2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LLC, Antonio Campanna, Sr. and Filomena Capanna.</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Subsidiaries.</w:t>
              </w:r>
            </w:hyperlink>
          </w:p>
        </w:tc>
        <w:tc>
          <w:tcPr>
            <w:tcW w:w="2940" w:type="dxa"/>
            <w:vAlign w:val="bottom"/>
            <w:tcBorders>
              <w:top w:val="single" w:sz="8" w:color="0000EE"/>
            </w:tcBorders>
            <w:gridSpan w:val="13"/>
          </w:tcPr>
          <w:p>
            <w:pPr>
              <w:spacing w:after="0"/>
              <w:rPr>
                <w:sz w:val="17"/>
                <w:szCs w:val="17"/>
                <w:color w:val="auto"/>
              </w:rPr>
            </w:pPr>
          </w:p>
        </w:tc>
        <w:tc>
          <w:tcPr>
            <w:tcW w:w="54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4400" w:type="dxa"/>
            <w:vAlign w:val="bottom"/>
            <w:gridSpan w:val="2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Consent of RSM US LLP</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1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93">
              <w:r>
                <w:rPr>
                  <w:rFonts w:ascii="Arial" w:cs="Arial" w:eastAsia="Arial" w:hAnsi="Arial"/>
                  <w:sz w:val="18"/>
                  <w:szCs w:val="18"/>
                  <w:color w:val="0000EE"/>
                  <w:w w:val="92"/>
                </w:rPr>
                <w:t>Chief Executive Officer — Certification pursuant to Rule</w:t>
              </w:r>
            </w:hyperlink>
          </w:p>
        </w:tc>
        <w:tc>
          <w:tcPr>
            <w:tcW w:w="2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40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13a-14(a) or Rule 15d-14(a) of the Securities Exchange</w:t>
              </w:r>
            </w:hyperlink>
          </w:p>
        </w:tc>
        <w:tc>
          <w:tcPr>
            <w:tcW w:w="4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Act of 1934, as adopted pursuant to Section 302 of the</w:t>
              </w:r>
            </w:hyperlink>
          </w:p>
        </w:tc>
        <w:tc>
          <w:tcPr>
            <w:tcW w:w="4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Sarbanes-Oxley Act of 2002.</w:t>
              </w:r>
            </w:hyperlink>
          </w:p>
        </w:tc>
        <w:tc>
          <w:tcPr>
            <w:tcW w:w="230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400" w:type="dxa"/>
            <w:vAlign w:val="bottom"/>
            <w:gridSpan w:val="28"/>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Chief Financial Officer — Certification pursuant to Rule</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13a-14(a) or Rule 15d-14(a) of the Securities Exchange</w:t>
              </w:r>
            </w:hyperlink>
          </w:p>
        </w:tc>
        <w:tc>
          <w:tcPr>
            <w:tcW w:w="80" w:type="dxa"/>
            <w:vAlign w:val="bottom"/>
            <w:tcBorders>
              <w:top w:val="single" w:sz="8" w:color="0000EE"/>
            </w:tcBorders>
            <w:gridSpan w:val="3"/>
          </w:tcPr>
          <w:p>
            <w:pPr>
              <w:spacing w:after="0"/>
              <w:rPr>
                <w:sz w:val="17"/>
                <w:szCs w:val="17"/>
                <w:color w:val="auto"/>
              </w:rPr>
            </w:pPr>
          </w:p>
        </w:tc>
        <w:tc>
          <w:tcPr>
            <w:tcW w:w="3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9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Act of 1934, as adopted pursuant to Section 302 of the</w:t>
              </w:r>
            </w:hyperlink>
          </w:p>
        </w:tc>
        <w:tc>
          <w:tcPr>
            <w:tcW w:w="4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Sarbanes-Oxley Act of 2002.</w:t>
              </w:r>
            </w:hyperlink>
          </w:p>
        </w:tc>
        <w:tc>
          <w:tcPr>
            <w:tcW w:w="230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4400" w:type="dxa"/>
            <w:vAlign w:val="bottom"/>
            <w:gridSpan w:val="28"/>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Chief Executive Officer — Certification pursuant to</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374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w:anchor="page95">
              <w:r>
                <w:rPr>
                  <w:rFonts w:ascii="Arial" w:cs="Arial" w:eastAsia="Arial" w:hAnsi="Arial"/>
                  <w:sz w:val="18"/>
                  <w:szCs w:val="18"/>
                  <w:color w:val="0000EE"/>
                  <w:w w:val="94"/>
                </w:rPr>
                <w:t>Rule13a-14(b) or Rule 15d-14(b) of the Securities</w:t>
              </w:r>
            </w:hyperlink>
          </w:p>
        </w:tc>
        <w:tc>
          <w:tcPr>
            <w:tcW w:w="66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8"/>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9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Exchange Act of 1934 and 18 U.S.C. Section 1350, as</w:t>
              </w:r>
            </w:hyperlink>
          </w:p>
        </w:tc>
        <w:tc>
          <w:tcPr>
            <w:tcW w:w="50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EE"/>
                <w:w w:val="98"/>
              </w:rPr>
            </w:pPr>
            <w:hyperlink w:anchor="page95">
              <w:r>
                <w:rPr>
                  <w:rFonts w:ascii="Arial" w:cs="Arial" w:eastAsia="Arial" w:hAnsi="Arial"/>
                  <w:sz w:val="18"/>
                  <w:szCs w:val="18"/>
                  <w:color w:val="0000EE"/>
                  <w:w w:val="98"/>
                </w:rPr>
                <w:t>adopted pursuant to Section 906 of the Sarbanes-Oxley</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Act of 2002.</w:t>
              </w:r>
            </w:hyperlink>
          </w:p>
        </w:tc>
        <w:tc>
          <w:tcPr>
            <w:tcW w:w="3060" w:type="dxa"/>
            <w:vAlign w:val="bottom"/>
            <w:tcBorders>
              <w:top w:val="single" w:sz="8" w:color="0000EE"/>
            </w:tcBorders>
            <w:gridSpan w:val="17"/>
          </w:tcPr>
          <w:p>
            <w:pPr>
              <w:spacing w:after="0"/>
              <w:rPr>
                <w:sz w:val="17"/>
                <w:szCs w:val="17"/>
                <w:color w:val="auto"/>
              </w:rPr>
            </w:pPr>
          </w:p>
        </w:tc>
        <w:tc>
          <w:tcPr>
            <w:tcW w:w="44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440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Chief Financial Officer — Certification pursuant to Rule</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jc w:val="center"/>
              <w:ind w:left="1790"/>
              <w:spacing w:after="0" w:line="196" w:lineRule="exact"/>
              <w:rPr>
                <w:sz w:val="20"/>
                <w:szCs w:val="20"/>
                <w:color w:val="auto"/>
              </w:rPr>
            </w:pPr>
            <w:r>
              <w:rPr>
                <w:rFonts w:ascii="Arial" w:cs="Arial" w:eastAsia="Arial" w:hAnsi="Arial"/>
                <w:sz w:val="18"/>
                <w:szCs w:val="18"/>
                <w:color w:val="auto"/>
              </w:rPr>
              <w:t>**</w:t>
            </w:r>
          </w:p>
        </w:tc>
      </w:tr>
      <w:tr>
        <w:trPr>
          <w:trHeight w:val="196"/>
        </w:trPr>
        <w:tc>
          <w:tcPr>
            <w:tcW w:w="104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13a-14(b) or Rule 15d-14(b) of the Securities Exchange</w:t>
              </w:r>
            </w:hyperlink>
          </w:p>
        </w:tc>
        <w:tc>
          <w:tcPr>
            <w:tcW w:w="60" w:type="dxa"/>
            <w:vAlign w:val="bottom"/>
            <w:tcBorders>
              <w:top w:val="single" w:sz="8" w:color="0000EE"/>
            </w:tcBorders>
            <w:gridSpan w:val="2"/>
          </w:tcPr>
          <w:p>
            <w:pPr>
              <w:spacing w:after="0"/>
              <w:rPr>
                <w:sz w:val="17"/>
                <w:szCs w:val="17"/>
                <w:color w:val="auto"/>
              </w:rPr>
            </w:pPr>
          </w:p>
        </w:tc>
        <w:tc>
          <w:tcPr>
            <w:tcW w:w="32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Act of 1934 and 18 U.S.C. Section 1350, as adopted</w:t>
              </w:r>
            </w:hyperlink>
          </w:p>
        </w:tc>
        <w:tc>
          <w:tcPr>
            <w:tcW w:w="64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pursuant to Section 906 of the Sarbanes-Oxley Act of</w:t>
              </w:r>
            </w:hyperlink>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6">
              <w:r>
                <w:rPr>
                  <w:rFonts w:ascii="Arial" w:cs="Arial" w:eastAsia="Arial" w:hAnsi="Arial"/>
                  <w:sz w:val="18"/>
                  <w:szCs w:val="18"/>
                  <w:color w:val="0000EE"/>
                  <w:w w:val="84"/>
                </w:rPr>
                <w:t>2002.</w:t>
              </w:r>
            </w:hyperlink>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400" w:type="dxa"/>
            <w:vAlign w:val="bottom"/>
            <w:gridSpan w:val="28"/>
          </w:tcPr>
          <w:p>
            <w:pPr>
              <w:spacing w:after="0"/>
              <w:rPr>
                <w:sz w:val="20"/>
                <w:szCs w:val="20"/>
                <w:color w:val="auto"/>
              </w:rPr>
            </w:pPr>
            <w:r>
              <w:rPr>
                <w:rFonts w:ascii="Arial" w:cs="Arial" w:eastAsia="Arial" w:hAnsi="Arial"/>
                <w:sz w:val="18"/>
                <w:szCs w:val="18"/>
                <w:color w:val="auto"/>
              </w:rPr>
              <w:t>Inline XBRL Instance Document.</w:t>
            </w:r>
          </w:p>
        </w:tc>
        <w:tc>
          <w:tcPr>
            <w:tcW w:w="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40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400" w:type="dxa"/>
            <w:vAlign w:val="bottom"/>
            <w:gridSpan w:val="28"/>
          </w:tcPr>
          <w:p>
            <w:pPr>
              <w:spacing w:after="0"/>
              <w:rPr>
                <w:sz w:val="20"/>
                <w:szCs w:val="20"/>
                <w:color w:val="auto"/>
              </w:rPr>
            </w:pPr>
            <w:r>
              <w:rPr>
                <w:rFonts w:ascii="Arial" w:cs="Arial" w:eastAsia="Arial" w:hAnsi="Arial"/>
                <w:sz w:val="18"/>
                <w:szCs w:val="18"/>
                <w:color w:val="auto"/>
              </w:rPr>
              <w:t>Inline XBRL Taxonomy Calculation Linkbase</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18"/>
                <w:szCs w:val="18"/>
                <w:color w:val="auto"/>
              </w:rPr>
            </w:pPr>
          </w:p>
        </w:tc>
        <w:tc>
          <w:tcPr>
            <w:tcW w:w="440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400" w:type="dxa"/>
            <w:vAlign w:val="bottom"/>
            <w:gridSpan w:val="28"/>
          </w:tcPr>
          <w:p>
            <w:pPr>
              <w:spacing w:after="0"/>
              <w:rPr>
                <w:sz w:val="20"/>
                <w:szCs w:val="20"/>
                <w:color w:val="auto"/>
              </w:rPr>
            </w:pPr>
            <w:r>
              <w:rPr>
                <w:rFonts w:ascii="Arial" w:cs="Arial" w:eastAsia="Arial" w:hAnsi="Arial"/>
                <w:sz w:val="18"/>
                <w:szCs w:val="18"/>
                <w:color w:val="auto"/>
              </w:rPr>
              <w:t>Inline XBRL Taxonomy Definition Linkbase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400" w:type="dxa"/>
            <w:vAlign w:val="bottom"/>
            <w:gridSpan w:val="28"/>
          </w:tcPr>
          <w:p>
            <w:pPr>
              <w:spacing w:after="0"/>
              <w:rPr>
                <w:sz w:val="20"/>
                <w:szCs w:val="20"/>
                <w:color w:val="auto"/>
              </w:rPr>
            </w:pPr>
            <w:r>
              <w:rPr>
                <w:rFonts w:ascii="Arial" w:cs="Arial" w:eastAsia="Arial" w:hAnsi="Arial"/>
                <w:sz w:val="18"/>
                <w:szCs w:val="18"/>
                <w:color w:val="auto"/>
              </w:rPr>
              <w:t>Inline XBRL Taxonomy Label Linkbase Document.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400" w:type="dxa"/>
            <w:vAlign w:val="bottom"/>
            <w:gridSpan w:val="28"/>
          </w:tcPr>
          <w:p>
            <w:pPr>
              <w:spacing w:after="0"/>
              <w:rPr>
                <w:sz w:val="20"/>
                <w:szCs w:val="20"/>
                <w:color w:val="auto"/>
              </w:rPr>
            </w:pPr>
            <w:r>
              <w:rPr>
                <w:rFonts w:ascii="Arial" w:cs="Arial" w:eastAsia="Arial" w:hAnsi="Arial"/>
                <w:sz w:val="18"/>
                <w:szCs w:val="18"/>
                <w:color w:val="auto"/>
              </w:rPr>
              <w:t>Inline XBRL Taxonomy Presentation Linkbase</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60" w:type="dxa"/>
            <w:vAlign w:val="bottom"/>
          </w:tcPr>
          <w:p>
            <w:pPr>
              <w:jc w:val="center"/>
              <w:ind w:left="1790"/>
              <w:spacing w:after="0"/>
              <w:rPr>
                <w:sz w:val="20"/>
                <w:szCs w:val="20"/>
                <w:color w:val="auto"/>
              </w:rPr>
            </w:pPr>
            <w:r>
              <w:rPr>
                <w:rFonts w:ascii="Arial" w:cs="Arial" w:eastAsia="Arial" w:hAnsi="Arial"/>
                <w:sz w:val="18"/>
                <w:szCs w:val="18"/>
                <w:color w:val="auto"/>
              </w:rPr>
              <w:t>*</w:t>
            </w:r>
          </w:p>
        </w:tc>
      </w:tr>
      <w:tr>
        <w:trPr>
          <w:trHeight w:val="230"/>
        </w:trPr>
        <w:tc>
          <w:tcPr>
            <w:tcW w:w="1040" w:type="dxa"/>
            <w:vAlign w:val="bottom"/>
          </w:tcPr>
          <w:p>
            <w:pPr>
              <w:spacing w:after="0"/>
              <w:rPr>
                <w:sz w:val="20"/>
                <w:szCs w:val="20"/>
                <w:color w:val="auto"/>
              </w:rPr>
            </w:pPr>
          </w:p>
        </w:tc>
        <w:tc>
          <w:tcPr>
            <w:tcW w:w="4400" w:type="dxa"/>
            <w:vAlign w:val="bottom"/>
            <w:gridSpan w:val="28"/>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ind w:left="1040" w:right="6240" w:hanging="1032"/>
        <w:spacing w:after="0" w:line="290"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and contained in Exhibit 101)</w:t>
      </w:r>
    </w:p>
    <w:p>
      <w:pPr>
        <w:spacing w:after="0" w:line="161" w:lineRule="exact"/>
        <w:rPr>
          <w:sz w:val="20"/>
          <w:szCs w:val="20"/>
          <w:color w:val="auto"/>
        </w:rPr>
      </w:pPr>
    </w:p>
    <w:p>
      <w:pPr>
        <w:ind w:left="66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Confidential treatment previously requested and granted with respect to certain portions, which portions were omitted and filed separately with the Commission.</w:t>
      </w:r>
    </w:p>
    <w:p>
      <w:pPr>
        <w:spacing w:after="0" w:line="17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have been omitted pursuant to Item 601(b)(10)(iv) of Regulation S-K.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AMERICAN SUPERCONDUCTOR CORPORATION</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2"/>
                <w:szCs w:val="12"/>
                <w:color w:val="auto"/>
                <w:w w:val="97"/>
              </w:rPr>
              <w:t>ANIEL</w:t>
            </w:r>
            <w:r>
              <w:rPr>
                <w:rFonts w:ascii="Arial" w:cs="Arial" w:eastAsia="Arial" w:hAnsi="Arial"/>
                <w:sz w:val="18"/>
                <w:szCs w:val="18"/>
                <w:color w:val="auto"/>
                <w:w w:val="97"/>
              </w:rPr>
              <w:t xml:space="preserve"> P. M</w:t>
            </w:r>
            <w:r>
              <w:rPr>
                <w:rFonts w:ascii="Arial" w:cs="Arial" w:eastAsia="Arial" w:hAnsi="Arial"/>
                <w:sz w:val="12"/>
                <w:szCs w:val="12"/>
                <w:color w:val="auto"/>
                <w:w w:val="97"/>
              </w:rPr>
              <w:t>C</w:t>
            </w:r>
            <w:r>
              <w:rPr>
                <w:rFonts w:ascii="Arial" w:cs="Arial" w:eastAsia="Arial" w:hAnsi="Arial"/>
                <w:sz w:val="18"/>
                <w:szCs w:val="18"/>
                <w:color w:val="auto"/>
                <w:w w:val="97"/>
              </w:rPr>
              <w:t>G</w:t>
            </w:r>
            <w:r>
              <w:rPr>
                <w:rFonts w:ascii="Arial" w:cs="Arial" w:eastAsia="Arial" w:hAnsi="Arial"/>
                <w:sz w:val="12"/>
                <w:szCs w:val="12"/>
                <w:color w:val="auto"/>
                <w:w w:val="97"/>
              </w:rPr>
              <w:t>AHN</w:t>
            </w:r>
          </w:p>
        </w:tc>
      </w:tr>
      <w:tr>
        <w:trPr>
          <w:trHeight w:val="191"/>
        </w:trPr>
        <w:tc>
          <w:tcPr>
            <w:tcW w:w="340" w:type="dxa"/>
            <w:vAlign w:val="bottom"/>
          </w:tcPr>
          <w:p>
            <w:pPr>
              <w:spacing w:after="0"/>
              <w:rPr>
                <w:sz w:val="16"/>
                <w:szCs w:val="16"/>
                <w:color w:val="auto"/>
              </w:rPr>
            </w:pPr>
          </w:p>
        </w:tc>
        <w:tc>
          <w:tcPr>
            <w:tcW w:w="3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Daniel P. McGahn</w:t>
            </w:r>
          </w:p>
        </w:tc>
      </w:tr>
      <w:tr>
        <w:trPr>
          <w:trHeight w:val="216"/>
        </w:trPr>
        <w:tc>
          <w:tcPr>
            <w:tcW w:w="3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President, and</w:t>
            </w:r>
          </w:p>
        </w:tc>
      </w:tr>
      <w:tr>
        <w:trPr>
          <w:trHeight w:val="234"/>
        </w:trPr>
        <w:tc>
          <w:tcPr>
            <w:tcW w:w="3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June 1,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240" w:type="dxa"/>
            <w:vAlign w:val="bottom"/>
          </w:tcPr>
          <w:p>
            <w:pPr>
              <w:spacing w:after="0"/>
              <w:rPr>
                <w:sz w:val="20"/>
                <w:szCs w:val="20"/>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1"/>
        </w:trPr>
        <w:tc>
          <w:tcPr>
            <w:tcW w:w="3380" w:type="dxa"/>
            <w:vAlign w:val="bottom"/>
            <w:vMerge w:val="restart"/>
          </w:tcPr>
          <w:p>
            <w:pPr>
              <w:jc w:val="cente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ANIEL</w:t>
            </w:r>
            <w:r>
              <w:rPr>
                <w:rFonts w:ascii="Arial" w:cs="Arial" w:eastAsia="Arial" w:hAnsi="Arial"/>
                <w:sz w:val="18"/>
                <w:szCs w:val="18"/>
                <w:color w:val="auto"/>
                <w:w w:val="95"/>
              </w:rPr>
              <w:t xml:space="preserve"> P. M</w:t>
            </w:r>
            <w:r>
              <w:rPr>
                <w:rFonts w:ascii="Arial" w:cs="Arial" w:eastAsia="Arial" w:hAnsi="Arial"/>
                <w:sz w:val="12"/>
                <w:szCs w:val="12"/>
                <w:color w:val="auto"/>
                <w:w w:val="95"/>
              </w:rPr>
              <w:t>C</w:t>
            </w:r>
            <w:r>
              <w:rPr>
                <w:rFonts w:ascii="Arial" w:cs="Arial" w:eastAsia="Arial" w:hAnsi="Arial"/>
                <w:sz w:val="18"/>
                <w:szCs w:val="18"/>
                <w:color w:val="auto"/>
                <w:w w:val="95"/>
              </w:rPr>
              <w:t>G</w:t>
            </w:r>
            <w:r>
              <w:rPr>
                <w:rFonts w:ascii="Arial" w:cs="Arial" w:eastAsia="Arial" w:hAnsi="Arial"/>
                <w:sz w:val="12"/>
                <w:szCs w:val="12"/>
                <w:color w:val="auto"/>
                <w:w w:val="95"/>
              </w:rPr>
              <w:t>AHN</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Chairman of the Board, President, Chief Executive Officer, and Director</w:t>
            </w:r>
          </w:p>
        </w:tc>
        <w:tc>
          <w:tcPr>
            <w:tcW w:w="20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w w:val="88"/>
              </w:rPr>
              <w:t>June 1, 2022</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4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8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54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2"/>
              </w:rPr>
              <w:t>Daniel P. McGahn</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w:t>
            </w:r>
            <w:r>
              <w:rPr>
                <w:rFonts w:ascii="Arial" w:cs="Arial" w:eastAsia="Arial" w:hAnsi="Arial"/>
                <w:sz w:val="12"/>
                <w:szCs w:val="12"/>
                <w:color w:val="auto"/>
                <w:w w:val="93"/>
              </w:rPr>
              <w:t>OHN</w:t>
            </w:r>
            <w:r>
              <w:rPr>
                <w:rFonts w:ascii="Arial" w:cs="Arial" w:eastAsia="Arial" w:hAnsi="Arial"/>
                <w:sz w:val="18"/>
                <w:szCs w:val="18"/>
                <w:color w:val="auto"/>
                <w:w w:val="93"/>
              </w:rPr>
              <w:t xml:space="preserve"> W. K</w:t>
            </w:r>
            <w:r>
              <w:rPr>
                <w:rFonts w:ascii="Arial" w:cs="Arial" w:eastAsia="Arial" w:hAnsi="Arial"/>
                <w:sz w:val="12"/>
                <w:szCs w:val="12"/>
                <w:color w:val="auto"/>
                <w:w w:val="93"/>
              </w:rPr>
              <w:t>OSIBA</w:t>
            </w:r>
            <w:r>
              <w:rPr>
                <w:rFonts w:ascii="Arial" w:cs="Arial" w:eastAsia="Arial" w:hAnsi="Arial"/>
                <w:sz w:val="18"/>
                <w:szCs w:val="18"/>
                <w:color w:val="auto"/>
                <w:w w:val="93"/>
              </w:rPr>
              <w:t>, J</w:t>
            </w:r>
            <w:r>
              <w:rPr>
                <w:rFonts w:ascii="Arial" w:cs="Arial" w:eastAsia="Arial" w:hAnsi="Arial"/>
                <w:sz w:val="12"/>
                <w:szCs w:val="12"/>
                <w:color w:val="auto"/>
                <w:w w:val="93"/>
              </w:rPr>
              <w:t>R</w:t>
            </w:r>
            <w:r>
              <w:rPr>
                <w:rFonts w:ascii="Arial" w:cs="Arial" w:eastAsia="Arial" w:hAnsi="Arial"/>
                <w:sz w:val="18"/>
                <w:szCs w:val="18"/>
                <w:color w:val="auto"/>
                <w:w w:val="93"/>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1, 2022</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89"/>
              </w:rPr>
              <w:t>John W. Kosiba, Jr.</w:t>
            </w:r>
          </w:p>
        </w:tc>
        <w:tc>
          <w:tcPr>
            <w:tcW w:w="240" w:type="dxa"/>
            <w:vAlign w:val="bottom"/>
          </w:tcPr>
          <w:p>
            <w:pPr>
              <w:spacing w:after="0"/>
              <w:rPr>
                <w:sz w:val="19"/>
                <w:szCs w:val="19"/>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w:t>
            </w:r>
            <w:r>
              <w:rPr>
                <w:rFonts w:ascii="Arial" w:cs="Arial" w:eastAsia="Arial" w:hAnsi="Arial"/>
                <w:sz w:val="12"/>
                <w:szCs w:val="12"/>
                <w:color w:val="auto"/>
                <w:w w:val="94"/>
              </w:rPr>
              <w:t>RTHUR</w:t>
            </w:r>
            <w:r>
              <w:rPr>
                <w:rFonts w:ascii="Arial" w:cs="Arial" w:eastAsia="Arial" w:hAnsi="Arial"/>
                <w:sz w:val="18"/>
                <w:szCs w:val="18"/>
                <w:color w:val="auto"/>
                <w:w w:val="94"/>
              </w:rPr>
              <w:t xml:space="preserve"> H. H</w:t>
            </w:r>
            <w:r>
              <w:rPr>
                <w:rFonts w:ascii="Arial" w:cs="Arial" w:eastAsia="Arial" w:hAnsi="Arial"/>
                <w:sz w:val="12"/>
                <w:szCs w:val="12"/>
                <w:color w:val="auto"/>
                <w:w w:val="94"/>
              </w:rPr>
              <w:t>OUSE</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1"/>
              </w:rPr>
              <w:t>Lead Independent Director of the Board</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1, 2022</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House</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V</w:t>
            </w:r>
            <w:r>
              <w:rPr>
                <w:rFonts w:ascii="Arial" w:cs="Arial" w:eastAsia="Arial" w:hAnsi="Arial"/>
                <w:sz w:val="12"/>
                <w:szCs w:val="12"/>
                <w:color w:val="auto"/>
                <w:w w:val="98"/>
              </w:rPr>
              <w:t>IKRAM</w:t>
            </w:r>
            <w:r>
              <w:rPr>
                <w:rFonts w:ascii="Arial" w:cs="Arial" w:eastAsia="Arial" w:hAnsi="Arial"/>
                <w:sz w:val="18"/>
                <w:szCs w:val="18"/>
                <w:color w:val="auto"/>
                <w:w w:val="98"/>
              </w:rPr>
              <w:t xml:space="preserve"> S. B</w:t>
            </w:r>
            <w:r>
              <w:rPr>
                <w:rFonts w:ascii="Arial" w:cs="Arial" w:eastAsia="Arial" w:hAnsi="Arial"/>
                <w:sz w:val="12"/>
                <w:szCs w:val="12"/>
                <w:color w:val="auto"/>
                <w:w w:val="98"/>
              </w:rPr>
              <w:t>UDHRAJA</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1, 2022</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Vikram S. Budhraja</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w:t>
            </w:r>
            <w:r>
              <w:rPr>
                <w:rFonts w:ascii="Arial" w:cs="Arial" w:eastAsia="Arial" w:hAnsi="Arial"/>
                <w:sz w:val="12"/>
                <w:szCs w:val="12"/>
                <w:color w:val="auto"/>
              </w:rPr>
              <w:t>ARBARA G</w:t>
            </w:r>
            <w:r>
              <w:rPr>
                <w:rFonts w:ascii="Arial" w:cs="Arial" w:eastAsia="Arial" w:hAnsi="Arial"/>
                <w:sz w:val="18"/>
                <w:szCs w:val="18"/>
                <w:color w:val="auto"/>
              </w:rPr>
              <w:t>. L</w:t>
            </w:r>
            <w:r>
              <w:rPr>
                <w:rFonts w:ascii="Arial" w:cs="Arial" w:eastAsia="Arial" w:hAnsi="Arial"/>
                <w:sz w:val="12"/>
                <w:szCs w:val="12"/>
                <w:color w:val="auto"/>
              </w:rPr>
              <w:t>ITTLEFIELD</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1, 2022</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4"/>
              </w:rPr>
              <w:t>Barbara G. Littlefield</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w:t>
            </w:r>
            <w:r>
              <w:rPr>
                <w:rFonts w:ascii="Arial" w:cs="Arial" w:eastAsia="Arial" w:hAnsi="Arial"/>
                <w:sz w:val="12"/>
                <w:szCs w:val="12"/>
                <w:color w:val="auto"/>
                <w:w w:val="95"/>
              </w:rPr>
              <w:t>AVID</w:t>
            </w:r>
            <w:r>
              <w:rPr>
                <w:rFonts w:ascii="Arial" w:cs="Arial" w:eastAsia="Arial" w:hAnsi="Arial"/>
                <w:sz w:val="18"/>
                <w:szCs w:val="18"/>
                <w:color w:val="auto"/>
                <w:w w:val="95"/>
              </w:rPr>
              <w:t xml:space="preserve"> R. O</w:t>
            </w:r>
            <w:r>
              <w:rPr>
                <w:rFonts w:ascii="Arial" w:cs="Arial" w:eastAsia="Arial" w:hAnsi="Arial"/>
                <w:sz w:val="12"/>
                <w:szCs w:val="12"/>
                <w:color w:val="auto"/>
                <w:w w:val="95"/>
              </w:rPr>
              <w:t>LIVER</w:t>
            </w:r>
            <w:r>
              <w:rPr>
                <w:rFonts w:ascii="Arial" w:cs="Arial" w:eastAsia="Arial" w:hAnsi="Arial"/>
                <w:sz w:val="18"/>
                <w:szCs w:val="18"/>
                <w:color w:val="auto"/>
                <w:w w:val="95"/>
              </w:rPr>
              <w:t>, J</w:t>
            </w:r>
            <w:r>
              <w:rPr>
                <w:rFonts w:ascii="Arial" w:cs="Arial" w:eastAsia="Arial" w:hAnsi="Arial"/>
                <w:sz w:val="12"/>
                <w:szCs w:val="12"/>
                <w:color w:val="auto"/>
                <w:w w:val="95"/>
              </w:rPr>
              <w:t>R</w:t>
            </w:r>
            <w:r>
              <w:rPr>
                <w:rFonts w:ascii="Arial" w:cs="Arial" w:eastAsia="Arial" w:hAnsi="Arial"/>
                <w:sz w:val="18"/>
                <w:szCs w:val="18"/>
                <w:color w:val="auto"/>
                <w:w w:val="95"/>
              </w:rPr>
              <w:t>.</w:t>
            </w:r>
          </w:p>
        </w:tc>
        <w:tc>
          <w:tcPr>
            <w:tcW w:w="24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June 1, 2022</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2"/>
              </w:rPr>
              <w:t>David R. Oliver, Jr.</w:t>
            </w:r>
          </w:p>
        </w:tc>
        <w:tc>
          <w:tcPr>
            <w:tcW w:w="2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380" w:type="dxa"/>
            <w:vAlign w:val="bottom"/>
          </w:tcPr>
          <w:p>
            <w:pPr>
              <w:spacing w:after="0"/>
              <w:rPr>
                <w:sz w:val="24"/>
                <w:szCs w:val="24"/>
                <w:color w:val="auto"/>
              </w:rPr>
            </w:pPr>
          </w:p>
        </w:tc>
        <w:tc>
          <w:tcPr>
            <w:tcW w:w="5640" w:type="dxa"/>
            <w:vAlign w:val="bottom"/>
            <w:gridSpan w:val="2"/>
          </w:tcPr>
          <w:p>
            <w:pPr>
              <w:jc w:val="right"/>
              <w:ind w:right="321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Australia Pty Ltd – incorporated in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Husky LLC - formed in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India Private Limited – incorporated in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Austria GmbH – incorporated in 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AMSC United Kingdom Limited – incorporated in the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 Securities Corp. – incorporated in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Infinia Technology Corporation - incorporated in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Suzhou AMSC Super Conductor Co., Ltd. – incorporated in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Korea Co., Ltd. – incorporated in South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Romania S.R.L. – incorporated in 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Neeltran, Inc. - incorporated in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Power Realty, LLC - formed in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Northeast Power Systems, Inc. - incorporated in New York</w:t>
      </w:r>
    </w:p>
    <w:p>
      <w:pPr>
        <w:sectPr>
          <w:pgSz w:w="11900" w:h="16838" w:orient="portrait"/>
          <w:cols w:equalWidth="0" w:num="1">
            <w:col w:w="11240"/>
          </w:cols>
          <w:pgMar w:left="320" w:top="33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140" w:right="14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on Form S-3 (No. 333-253611) and Form S-8 (No. 333-145685, 333-170286, 333-183075, 333-197971, 333-213850, and 333-233531) of American Superconductor Corporation of our report dated June 1, 2022, relating to the consolidated financial statements of American Superconductor Corporation and its subsidiaries, appearing in this Annual Report on Form 10-K of American Superconductor Corporation for the year ended March 31, 2022.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2022</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660" w:val="left"/>
          <w:tab w:leader="none" w:pos="6740" w:val="left"/>
          <w:tab w:leader="none" w:pos="8400" w:val="left"/>
        </w:tabs>
        <w:rPr>
          <w:sz w:val="20"/>
          <w:szCs w:val="20"/>
          <w:color w:val="auto"/>
        </w:rPr>
      </w:pPr>
      <w:r>
        <w:rPr>
          <w:rFonts w:ascii="Arial" w:cs="Arial" w:eastAsia="Arial" w:hAnsi="Arial"/>
          <w:sz w:val="18"/>
          <w:szCs w:val="18"/>
          <w:color w:val="auto"/>
        </w:rPr>
        <w:t>Date:</w:t>
        <w:tab/>
        <w:t>June 1,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11"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660" w:val="left"/>
          <w:tab w:leader="none" w:pos="6740" w:val="left"/>
          <w:tab w:leader="none" w:pos="8340" w:val="left"/>
        </w:tabs>
        <w:rPr>
          <w:sz w:val="20"/>
          <w:szCs w:val="20"/>
          <w:color w:val="auto"/>
        </w:rPr>
      </w:pPr>
      <w:r>
        <w:rPr>
          <w:rFonts w:ascii="Arial" w:cs="Arial" w:eastAsia="Arial" w:hAnsi="Arial"/>
          <w:sz w:val="18"/>
          <w:szCs w:val="18"/>
          <w:color w:val="auto"/>
        </w:rPr>
        <w:t>Date:</w:t>
        <w:tab/>
        <w:t>June 1,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2022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92"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Annual Report on Form 10-K of American Superconductor Corporation (the “Company”) for the period ended March 31, 2022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Roman"/>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Roman"/>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o"/>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2"/>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3"/>
    </w:lvl>
  </w:abstractNum>
  <w:abstractNum w:abstractNumId="32">
    <w:nsid w:val="5072367"/>
    <w:multiLevelType w:val="hybridMultilevel"/>
    <w:lvl w:ilvl="0">
      <w:lvlJc w:val="left"/>
      <w:lvlText w:val="%1"/>
      <w:numFmt w:val="decimal"/>
      <w:start w:val="104"/>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11" Type="http://schemas.openxmlformats.org/officeDocument/2006/relationships/hyperlink" Target="http://www.sec.gov/Archives/edgar/data/880807/000119312513366603/d596366dex31.htm" TargetMode="External"/><Relationship Id="rId112" Type="http://schemas.openxmlformats.org/officeDocument/2006/relationships/hyperlink" Target="http://www.sec.gov/Archives/edgar/data/880807/000119312515103436/d896586dex31.htm" TargetMode="External"/><Relationship Id="rId113" Type="http://schemas.openxmlformats.org/officeDocument/2006/relationships/hyperlink" Target="http://www.sec.gov/Archives/edgar/data/880807/000143774921001681/ex_223507.htm" TargetMode="External"/><Relationship Id="rId114" Type="http://schemas.openxmlformats.org/officeDocument/2006/relationships/hyperlink" Target="http://www.sec.gov/Archives/edgar/data/880807/000119312518032227/d536779dex41.htm" TargetMode="External"/><Relationship Id="rId115" Type="http://schemas.openxmlformats.org/officeDocument/2006/relationships/hyperlink" Target="http://www.sec.gov/Archives/edgar/data/880807/000143774919011477/ex_146280.htm" TargetMode="External"/><Relationship Id="rId116" Type="http://schemas.openxmlformats.org/officeDocument/2006/relationships/hyperlink" Target="http://www.sec.gov/Archives/edgar/data/880807/000119312519214189/d778101dex101.htm" TargetMode="External"/><Relationship Id="rId117" Type="http://schemas.openxmlformats.org/officeDocument/2006/relationships/hyperlink" Target="http://www.sec.gov/Archives/edgar/data/880807/000119312507173829/dex102.htm" TargetMode="External"/><Relationship Id="rId118" Type="http://schemas.openxmlformats.org/officeDocument/2006/relationships/hyperlink" Target="http://www.sec.gov/Archives/edgar/data/880807/000119312507173829/dex103.htm" TargetMode="External"/><Relationship Id="rId119" Type="http://schemas.openxmlformats.org/officeDocument/2006/relationships/hyperlink" Target="http://www.sec.gov/Archives/edgar/data/880807/000119312507173829/dex104.htm" TargetMode="External"/><Relationship Id="rId120" Type="http://schemas.openxmlformats.org/officeDocument/2006/relationships/hyperlink" Target="http://www.sec.gov/Archives/edgar/data/880807/000119312507173829/dex105.htm" TargetMode="External"/><Relationship Id="rId121" Type="http://schemas.openxmlformats.org/officeDocument/2006/relationships/hyperlink" Target="http://www.sec.gov/Archives/edgar/data/880807/000119312508119372/dex101.htm" TargetMode="External"/><Relationship Id="rId122" Type="http://schemas.openxmlformats.org/officeDocument/2006/relationships/hyperlink" Target="http://www.sec.gov/Archives/edgar/data/880807/000162828018013770/a104formofoptionsurrendera.htm" TargetMode="External"/><Relationship Id="rId123" Type="http://schemas.openxmlformats.org/officeDocument/2006/relationships/hyperlink" Target="http://www.sec.gov/Archives/edgar/data/880807/000143774920001789/ex_170064.htm" TargetMode="External"/><Relationship Id="rId124" Type="http://schemas.openxmlformats.org/officeDocument/2006/relationships/hyperlink" Target="http://www.sec.gov/Archives/edgar/data/880807/000143774920001789/ex_170065.htm" TargetMode="External"/><Relationship Id="rId125" Type="http://schemas.openxmlformats.org/officeDocument/2006/relationships/hyperlink" Target="http://www.sec.gov/Archives/edgar/data/880807/000143774921013956/ex_254430.htm" TargetMode="External"/><Relationship Id="rId126" Type="http://schemas.openxmlformats.org/officeDocument/2006/relationships/hyperlink" Target="http://www.sec.gov/Archives/edgar/data/880807/000119312507173829/dex107.htm" TargetMode="External"/><Relationship Id="rId127" Type="http://schemas.openxmlformats.org/officeDocument/2006/relationships/hyperlink" Target="http://www.sec.gov/Archives/edgar/data/880807/000162828018007711/exh1011nondisclosure.htm" TargetMode="External"/><Relationship Id="rId128" Type="http://schemas.openxmlformats.org/officeDocument/2006/relationships/hyperlink" Target="http://www.sec.gov/Archives/edgar/data/880807/000095012311053517/b86731exv10w2.htm" TargetMode="External"/><Relationship Id="rId129" Type="http://schemas.openxmlformats.org/officeDocument/2006/relationships/hyperlink" Target="http://www.sec.gov/Archives/edgar/data/880807/000119312517109748/d369870dex101.htm" TargetMode="External"/><Relationship Id="rId130" Type="http://schemas.openxmlformats.org/officeDocument/2006/relationships/hyperlink" Target="http://www.sec.gov/Archives/edgar/data/880807/000162828017011077/firstamendmenttoexecutives.htm" TargetMode="External"/><Relationship Id="rId131" Type="http://schemas.openxmlformats.org/officeDocument/2006/relationships/hyperlink" Target="http://www.sec.gov/Archives/edgar/data/880807/000143774920011837/ex_188140.htm" TargetMode="External"/><Relationship Id="rId132" Type="http://schemas.openxmlformats.org/officeDocument/2006/relationships/hyperlink" Target="http://www.sec.gov/Archives/edgar/data/880807/000143774921013279/ex_252986.htm" TargetMode="External"/><Relationship Id="rId133" Type="http://schemas.openxmlformats.org/officeDocument/2006/relationships/hyperlink" Target="http://www.sec.gov/Archives/edgar/data/880807/000156459016012481/amsc-ex101_499.htm" TargetMode="External"/><Relationship Id="rId134" Type="http://schemas.openxmlformats.org/officeDocument/2006/relationships/hyperlink" Target="http://www.sec.gov/Archives/edgar/data/880807/000162828018007644/exh1029amsc-ctrxinoxamendm.htm" TargetMode="External"/><Relationship Id="rId135" Type="http://schemas.openxmlformats.org/officeDocument/2006/relationships/hyperlink" Target="http://www.sec.gov/Archives/edgar/data/880807/000162828018007644/exh1030amsc-ctrxinoxamendm.htm" TargetMode="External"/><Relationship Id="rId136" Type="http://schemas.openxmlformats.org/officeDocument/2006/relationships/hyperlink" Target="http://www.sec.gov/Archives/edgar/data/880807/000143774921013956/ex_254477.htm" TargetMode="External"/><Relationship Id="rId137" Type="http://schemas.openxmlformats.org/officeDocument/2006/relationships/hyperlink" Target="http://www.sec.gov/Archives/edgar/data/880807/000156459016012481/amsc-ex102_500.htm" TargetMode="External"/><Relationship Id="rId138" Type="http://schemas.openxmlformats.org/officeDocument/2006/relationships/hyperlink" Target="http://www.sec.gov/Archives/edgar/data/0000880807/000143774920001789/amsc20191231_10q.htm" TargetMode="External"/><Relationship Id="rId139" Type="http://schemas.openxmlformats.org/officeDocument/2006/relationships/hyperlink" Target="http://www.sec.gov/Archives/edgar/data/880807/000143774920012276/ex_187341.htm" TargetMode="External"/><Relationship Id="rId140" Type="http://schemas.openxmlformats.org/officeDocument/2006/relationships/hyperlink" Target="http://www.sec.gov/Archives/edgar/data/880807/000143774920020734/ex_205896.htm" TargetMode="External"/><Relationship Id="rId141" Type="http://schemas.openxmlformats.org/officeDocument/2006/relationships/hyperlink" Target="http://www.sec.gov/Archives/edgar/data/880807/000119312521156251/d80808dex101.htm" TargetMode="External"/><Relationship Id="rId142" Type="http://schemas.openxmlformats.org/officeDocument/2006/relationships/hyperlink" Target="http://www.sec.gov/Archives/edgar/data/0000880807/000119312521156251/d8080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2022-06-01T15:17:54Z</dcterms:created>
  <dcterms:modified xsi:type="dcterms:W3CDTF">2022-06-01T15:17:54Z</dcterms:modified>
</cp:coreProperties>
</file>