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201295</wp:posOffset>
            </wp:positionV>
            <wp:extent cx="1285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186055</wp:posOffset>
            </wp:positionV>
            <wp:extent cx="12858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41" w:lineRule="exact"/>
        <w:rPr>
          <w:sz w:val="24"/>
          <w:szCs w:val="24"/>
          <w:color w:val="auto"/>
        </w:rPr>
      </w:pPr>
    </w:p>
    <w:p>
      <w:pPr>
        <w:jc w:val="right"/>
        <w:ind w:left="3840" w:right="3800" w:hanging="3832"/>
        <w:spacing w:after="0" w:line="422" w:lineRule="auto"/>
        <w:tabs>
          <w:tab w:leader="none" w:pos="64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For the transition period from </w:t>
      </w:r>
      <w:r>
        <w:rPr>
          <w:rFonts w:ascii="Arial" w:cs="Arial" w:eastAsia="Arial" w:hAnsi="Arial"/>
          <w:sz w:val="16"/>
          <w:szCs w:val="16"/>
          <w:color w:val="auto"/>
        </w:rPr>
        <w:t>_____</w:t>
      </w:r>
      <w:r>
        <w:rPr>
          <w:rFonts w:ascii="Arial" w:cs="Arial" w:eastAsia="Arial" w:hAnsi="Arial"/>
          <w:sz w:val="16"/>
          <w:szCs w:val="16"/>
          <w:b w:val="1"/>
          <w:bCs w:val="1"/>
          <w:color w:val="auto"/>
        </w:rPr>
        <w:t xml:space="preserve"> to </w:t>
      </w:r>
      <w:r>
        <w:rPr>
          <w:rFonts w:ascii="Arial" w:cs="Arial" w:eastAsia="Arial" w:hAnsi="Arial"/>
          <w:sz w:val="16"/>
          <w:szCs w:val="16"/>
          <w:color w:val="auto"/>
        </w:rPr>
        <w:t>_____</w:t>
      </w:r>
      <w:r>
        <w:rPr>
          <w:rFonts w:ascii="Arial" w:cs="Arial" w:eastAsia="Arial" w:hAnsi="Arial"/>
          <w:sz w:val="16"/>
          <w:szCs w:val="16"/>
          <w:b w:val="1"/>
          <w:bCs w:val="1"/>
          <w:color w:val="auto"/>
        </w:rPr>
        <w:t>.</w:t>
      </w:r>
    </w:p>
    <w:p>
      <w:pPr>
        <w:ind w:left="428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Commission File Number: 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231775</wp:posOffset>
            </wp:positionV>
            <wp:extent cx="1285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American Superconductor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150495</wp:posOffset>
            </wp:positionV>
            <wp:extent cx="1285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340" w:type="dxa"/>
        <w:tblCellMar>
          <w:top w:w="0" w:type="dxa"/>
          <w:left w:w="0" w:type="dxa"/>
          <w:bottom w:w="0" w:type="dxa"/>
          <w:right w:w="0" w:type="dxa"/>
        </w:tblCellMar>
      </w:tblPr>
      <w:tr>
        <w:trPr>
          <w:trHeight w:val="212"/>
        </w:trPr>
        <w:tc>
          <w:tcPr>
            <w:tcW w:w="6220" w:type="dxa"/>
            <w:vAlign w:val="bottom"/>
          </w:tcPr>
          <w:p>
            <w:pPr>
              <w:jc w:val="center"/>
              <w:ind w:right="318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61"/>
              <w:spacing w:after="0"/>
              <w:rPr>
                <w:sz w:val="20"/>
                <w:szCs w:val="20"/>
                <w:color w:val="auto"/>
              </w:rPr>
            </w:pPr>
            <w:r>
              <w:rPr>
                <w:rFonts w:ascii="Arial" w:cs="Arial" w:eastAsia="Arial" w:hAnsi="Arial"/>
                <w:sz w:val="18"/>
                <w:szCs w:val="18"/>
                <w:b w:val="1"/>
                <w:bCs w:val="1"/>
                <w:color w:val="auto"/>
              </w:rPr>
              <w:t>04-2959321</w:t>
            </w:r>
          </w:p>
        </w:tc>
      </w:tr>
      <w:tr>
        <w:trPr>
          <w:trHeight w:val="148"/>
        </w:trPr>
        <w:tc>
          <w:tcPr>
            <w:tcW w:w="6220" w:type="dxa"/>
            <w:vAlign w:val="bottom"/>
          </w:tcPr>
          <w:p>
            <w:pPr>
              <w:jc w:val="center"/>
              <w:ind w:right="31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tcPr>
          <w:p>
            <w:pPr>
              <w:jc w:val="center"/>
              <w:ind w:right="3180"/>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6"/>
              </w:rPr>
              <w:t>Identification No.)</w:t>
            </w:r>
          </w:p>
        </w:tc>
      </w:tr>
      <w:tr>
        <w:trPr>
          <w:trHeight w:val="327"/>
        </w:trPr>
        <w:tc>
          <w:tcPr>
            <w:tcW w:w="6220" w:type="dxa"/>
            <w:vAlign w:val="bottom"/>
          </w:tcPr>
          <w:p>
            <w:pPr>
              <w:jc w:val="center"/>
              <w:ind w:right="3200"/>
              <w:spacing w:after="0"/>
              <w:rPr>
                <w:sz w:val="20"/>
                <w:szCs w:val="20"/>
                <w:color w:val="auto"/>
              </w:rPr>
            </w:pPr>
            <w:r>
              <w:rPr>
                <w:rFonts w:ascii="Arial" w:cs="Arial" w:eastAsia="Arial" w:hAnsi="Arial"/>
                <w:sz w:val="18"/>
                <w:szCs w:val="18"/>
                <w:b w:val="1"/>
                <w:bCs w:val="1"/>
                <w:color w:val="auto"/>
                <w:w w:val="88"/>
              </w:rPr>
              <w:t>114 East Main St. Ayer, Massachusetts</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01432</w:t>
            </w:r>
          </w:p>
        </w:tc>
      </w:tr>
      <w:tr>
        <w:trPr>
          <w:trHeight w:val="186"/>
        </w:trPr>
        <w:tc>
          <w:tcPr>
            <w:tcW w:w="6220" w:type="dxa"/>
            <w:vAlign w:val="bottom"/>
          </w:tcPr>
          <w:p>
            <w:pPr>
              <w:jc w:val="center"/>
              <w:ind w:right="32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220" w:type="dxa"/>
            <w:vAlign w:val="bottom"/>
          </w:tcPr>
          <w:p>
            <w:pPr>
              <w:jc w:val="right"/>
              <w:ind w:right="1300"/>
              <w:spacing w:after="0"/>
              <w:rPr>
                <w:sz w:val="20"/>
                <w:szCs w:val="20"/>
                <w:color w:val="auto"/>
              </w:rPr>
            </w:pPr>
            <w:r>
              <w:rPr>
                <w:rFonts w:ascii="Arial" w:cs="Arial" w:eastAsia="Arial" w:hAnsi="Arial"/>
                <w:sz w:val="18"/>
                <w:szCs w:val="18"/>
                <w:b w:val="1"/>
                <w:bCs w:val="1"/>
                <w:color w:val="auto"/>
              </w:rPr>
              <w:t>(978) 842-3000</w:t>
            </w:r>
          </w:p>
        </w:tc>
        <w:tc>
          <w:tcPr>
            <w:tcW w:w="1440" w:type="dxa"/>
            <w:vAlign w:val="bottom"/>
          </w:tcPr>
          <w:p>
            <w:pPr>
              <w:spacing w:after="0"/>
              <w:rPr>
                <w:sz w:val="24"/>
                <w:szCs w:val="24"/>
                <w:color w:val="auto"/>
              </w:rPr>
            </w:pPr>
          </w:p>
        </w:tc>
      </w:tr>
      <w:tr>
        <w:trPr>
          <w:trHeight w:val="186"/>
        </w:trPr>
        <w:tc>
          <w:tcPr>
            <w:tcW w:w="6220" w:type="dxa"/>
            <w:vAlign w:val="bottom"/>
          </w:tcPr>
          <w:p>
            <w:pPr>
              <w:jc w:val="center"/>
              <w:ind w:left="22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1120" w:type="dxa"/>
        <w:tblCellMar>
          <w:top w:w="0" w:type="dxa"/>
          <w:left w:w="0" w:type="dxa"/>
          <w:bottom w:w="0" w:type="dxa"/>
          <w:right w:w="0" w:type="dxa"/>
        </w:tblCellMar>
      </w:tblPr>
      <w:tr>
        <w:trPr>
          <w:trHeight w:val="230"/>
        </w:trPr>
        <w:tc>
          <w:tcPr>
            <w:tcW w:w="32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2"/>
              </w:rPr>
              <w:t>Trading Symbol(s)</w:t>
            </w:r>
          </w:p>
        </w:tc>
        <w:tc>
          <w:tcPr>
            <w:tcW w:w="35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Name of each exchange on which registered</w:t>
            </w:r>
          </w:p>
        </w:tc>
      </w:tr>
      <w:tr>
        <w:trPr>
          <w:trHeight w:val="195"/>
        </w:trPr>
        <w:tc>
          <w:tcPr>
            <w:tcW w:w="3200" w:type="dxa"/>
            <w:vAlign w:val="bottom"/>
          </w:tcPr>
          <w:p>
            <w:pPr>
              <w:jc w:val="center"/>
              <w:ind w:left="110"/>
              <w:spacing w:after="0" w:line="195" w:lineRule="exact"/>
              <w:rPr>
                <w:sz w:val="20"/>
                <w:szCs w:val="20"/>
                <w:color w:val="auto"/>
              </w:rPr>
            </w:pPr>
            <w:r>
              <w:rPr>
                <w:rFonts w:ascii="Arial" w:cs="Arial" w:eastAsia="Arial" w:hAnsi="Arial"/>
                <w:sz w:val="18"/>
                <w:szCs w:val="18"/>
                <w:color w:val="auto"/>
                <w:w w:val="90"/>
              </w:rPr>
              <w:t>Common Stock,</w:t>
            </w:r>
          </w:p>
        </w:tc>
        <w:tc>
          <w:tcPr>
            <w:tcW w:w="224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230"/>
        </w:trPr>
        <w:tc>
          <w:tcPr>
            <w:tcW w:w="32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7"/>
              </w:rPr>
              <w:t>$0.01 par value per share</w:t>
            </w:r>
          </w:p>
        </w:tc>
        <w:tc>
          <w:tcPr>
            <w:tcW w:w="22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6"/>
              </w:rPr>
              <w:t>AMSC</w:t>
            </w:r>
          </w:p>
        </w:tc>
        <w:tc>
          <w:tcPr>
            <w:tcW w:w="35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Nasdaq Global Select Market</w:t>
            </w:r>
          </w:p>
        </w:tc>
      </w:tr>
    </w:tbl>
    <w:p>
      <w:pPr>
        <w:spacing w:after="0" w:line="310"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36" w:right="339" w:bottom="1" w:gutter="0" w:footer="0" w:header="0"/>
        </w:sectPr>
      </w:pPr>
    </w:p>
    <w:p>
      <w:pPr>
        <w:spacing w:after="0" w:line="83"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3" w:lineRule="exact"/>
        <w:rPr>
          <w:sz w:val="24"/>
          <w:szCs w:val="24"/>
          <w:color w:val="auto"/>
        </w:rPr>
      </w:pPr>
    </w:p>
    <w:p>
      <w:pPr>
        <w:sectPr>
          <w:pgSz w:w="11900" w:h="16838" w:orient="portrait"/>
          <w:cols w:equalWidth="0" w:num="2">
            <w:col w:w="5520" w:space="720"/>
            <w:col w:w="5000"/>
          </w:cols>
          <w:pgMar w:left="320" w:top="836" w:right="339" w:bottom="1"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13" w:lineRule="exact"/>
        <w:rPr>
          <w:sz w:val="24"/>
          <w:szCs w:val="24"/>
          <w:color w:val="auto"/>
        </w:rPr>
      </w:pPr>
    </w:p>
    <w:p>
      <w:pPr>
        <w:sectPr>
          <w:pgSz w:w="11900" w:h="16838" w:orient="portrait"/>
          <w:cols w:equalWidth="0" w:num="2">
            <w:col w:w="5520" w:space="720"/>
            <w:col w:w="5000"/>
          </w:cols>
          <w:pgMar w:left="320" w:top="836" w:right="339" w:bottom="1" w:gutter="0" w:footer="0" w:header="0"/>
          <w:type w:val="continuous"/>
        </w:sectPr>
      </w:pPr>
    </w:p>
    <w:p>
      <w:pPr>
        <w:ind w:left="6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836" w:right="339" w:bottom="1" w:gutter="0" w:footer="0" w:header="0"/>
          <w:type w:val="continuous"/>
        </w:sectPr>
      </w:pPr>
    </w:p>
    <w:p>
      <w:pPr>
        <w:spacing w:after="0" w:line="21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Shares outstanding of the Registrant’s common stock:</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584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28,395,386</w:t>
            </w:r>
          </w:p>
        </w:tc>
      </w:tr>
      <w:tr>
        <w:trPr>
          <w:trHeight w:val="27"/>
        </w:trPr>
        <w:tc>
          <w:tcPr>
            <w:tcW w:w="54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6"/>
        </w:trPr>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7"/>
              </w:rPr>
              <w:t>Class</w:t>
            </w:r>
          </w:p>
        </w:tc>
        <w:tc>
          <w:tcPr>
            <w:tcW w:w="46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as of November 4, 2021</w:t>
            </w:r>
          </w:p>
        </w:tc>
      </w:tr>
      <w:tr>
        <w:trPr>
          <w:trHeight w:val="297"/>
        </w:trPr>
        <w:tc>
          <w:tcPr>
            <w:tcW w:w="5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r>
        <w:trPr>
          <w:trHeight w:val="68"/>
        </w:trPr>
        <w:tc>
          <w:tcPr>
            <w:tcW w:w="54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380" w:type="dxa"/>
            <w:vAlign w:val="bottom"/>
            <w:tcBorders>
              <w:bottom w:val="single" w:sz="8" w:color="auto"/>
            </w:tcBorders>
          </w:tcPr>
          <w:p>
            <w:pPr>
              <w:spacing w:after="0"/>
              <w:rPr>
                <w:sz w:val="5"/>
                <w:szCs w:val="5"/>
                <w:color w:val="auto"/>
              </w:rPr>
            </w:pPr>
          </w:p>
        </w:tc>
      </w:tr>
      <w:tr>
        <w:trPr>
          <w:trHeight w:val="628"/>
        </w:trPr>
        <w:tc>
          <w:tcPr>
            <w:tcW w:w="5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6" w:right="339" w:bottom="1"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10"/>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I—FINANCIAL INFORMATION</w:t>
              </w:r>
            </w:hyperlink>
          </w:p>
        </w:tc>
        <w:tc>
          <w:tcPr>
            <w:tcW w:w="7360" w:type="dxa"/>
            <w:vAlign w:val="bottom"/>
            <w:gridSpan w:val="5"/>
            <w:vMerge w:val="restart"/>
          </w:tcPr>
          <w:p>
            <w:pPr>
              <w:spacing w:after="0"/>
              <w:rPr>
                <w:sz w:val="20"/>
                <w:szCs w:val="20"/>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EE"/>
            </w:tcBorders>
            <w:gridSpan w:val="10"/>
            <w:vMerge w:val="continue"/>
          </w:tcPr>
          <w:p>
            <w:pPr>
              <w:spacing w:after="0"/>
              <w:rPr>
                <w:sz w:val="14"/>
                <w:szCs w:val="14"/>
                <w:color w:val="auto"/>
              </w:rPr>
            </w:pPr>
          </w:p>
        </w:tc>
        <w:tc>
          <w:tcPr>
            <w:tcW w:w="736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920" w:type="dxa"/>
            <w:vAlign w:val="bottom"/>
            <w:gridSpan w:val="8"/>
          </w:tcPr>
          <w:p>
            <w:pPr>
              <w:spacing w:after="0"/>
              <w:rPr>
                <w:sz w:val="24"/>
                <w:szCs w:val="24"/>
                <w:color w:val="auto"/>
              </w:rPr>
            </w:pPr>
          </w:p>
        </w:tc>
        <w:tc>
          <w:tcPr>
            <w:tcW w:w="90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90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40" w:type="dxa"/>
            <w:vAlign w:val="bottom"/>
            <w:gridSpan w:val="1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PART II—OTHER INFORMATION</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7660" w:type="dxa"/>
            <w:vAlign w:val="bottom"/>
            <w:gridSpan w:val="6"/>
          </w:tcPr>
          <w:p>
            <w:pPr>
              <w:spacing w:after="0"/>
              <w:rPr>
                <w:sz w:val="24"/>
                <w:szCs w:val="24"/>
                <w:color w:val="auto"/>
              </w:rPr>
            </w:pPr>
          </w:p>
        </w:tc>
        <w:tc>
          <w:tcPr>
            <w:tcW w:w="90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100" w:type="dxa"/>
            <w:vAlign w:val="bottom"/>
            <w:gridSpan w:val="9"/>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Unregistered Sales of Equity Securities and Use of Proceeds</w:t>
              </w:r>
            </w:hyperlink>
          </w:p>
        </w:tc>
        <w:tc>
          <w:tcPr>
            <w:tcW w:w="508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Defaults Upon Senior Securities</w:t>
              </w:r>
            </w:hyperlink>
          </w:p>
        </w:tc>
        <w:tc>
          <w:tcPr>
            <w:tcW w:w="7100" w:type="dxa"/>
            <w:vAlign w:val="bottom"/>
            <w:gridSpan w:val="4"/>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Mine Safety Disclosure</w:t>
              </w:r>
            </w:hyperlink>
          </w:p>
        </w:tc>
        <w:tc>
          <w:tcPr>
            <w:tcW w:w="7720" w:type="dxa"/>
            <w:vAlign w:val="bottom"/>
            <w:gridSpan w:val="7"/>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90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4"/>
                <w:szCs w:val="24"/>
                <w:color w:val="auto"/>
              </w:rPr>
            </w:pPr>
          </w:p>
        </w:tc>
        <w:tc>
          <w:tcPr>
            <w:tcW w:w="8120" w:type="dxa"/>
            <w:vAlign w:val="bottom"/>
            <w:gridSpan w:val="10"/>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0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453"/>
        </w:trPr>
        <w:tc>
          <w:tcPr>
            <w:tcW w:w="7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440" w:type="dxa"/>
            <w:vAlign w:val="bottom"/>
            <w:gridSpan w:val="12"/>
          </w:tcPr>
          <w:p>
            <w:pPr>
              <w:ind w:left="4660"/>
              <w:spacing w:after="0"/>
              <w:rPr>
                <w:sz w:val="20"/>
                <w:szCs w:val="20"/>
                <w:color w:val="auto"/>
              </w:rPr>
            </w:pPr>
            <w:r>
              <w:rPr>
                <w:rFonts w:ascii="Arial" w:cs="Arial" w:eastAsia="Arial" w:hAnsi="Arial"/>
                <w:sz w:val="18"/>
                <w:szCs w:val="18"/>
                <w:color w:val="auto"/>
              </w:rPr>
              <w:t>2</w:t>
            </w:r>
          </w:p>
        </w:tc>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March 31, 2021</w:t>
            </w:r>
          </w:p>
        </w:tc>
      </w:tr>
      <w:tr>
        <w:trPr>
          <w:trHeight w:val="210"/>
        </w:trPr>
        <w:tc>
          <w:tcPr>
            <w:tcW w:w="800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67,814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5,140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Inventory,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13,306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105,230</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Intangibles,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9,153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Right-of-use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43,471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34,634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184,373</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168,866</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20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Lease liability, current portion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current portion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7,050</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revenue,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57,259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40,738</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revenue, long-term portion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7,991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 long-term portion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long-term portion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52,274</w:t>
            </w:r>
          </w:p>
        </w:tc>
      </w:tr>
      <w:tr>
        <w:trPr>
          <w:trHeight w:val="210"/>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1,130,921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1,121,495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Treasury stock</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(3,639)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(3,593)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(1,011,150)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(1,001,313)</w:t>
            </w:r>
          </w:p>
        </w:tc>
      </w:tr>
      <w:tr>
        <w:trPr>
          <w:trHeight w:val="209"/>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116,104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184,373</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168,866</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42,329</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15,596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31,768</w:t>
            </w:r>
          </w:p>
        </w:tc>
      </w:tr>
      <w:tr>
        <w:trPr>
          <w:trHeight w:val="209"/>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10,561</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2,719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5,711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5,218</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11,524</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Amortization of acquisition-related intangibles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7,563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8,727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18,431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16,984</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(4,302)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(3,206)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(11,801)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(6,423)</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(4,253)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(3,521)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(11,784)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(6,749)</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r>
      <w:tr>
        <w:trPr>
          <w:trHeight w:val="209"/>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(4,434)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(9,837)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(7,129)</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r>
      <w:tr>
        <w:trPr>
          <w:trHeight w:val="210"/>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27,252</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21,860</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27,040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27,252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21,860</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27,040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21,775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comprehensive (loss) gain, net of tax:</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(loss) gain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 other comprehensive (loss) gain, net of tax</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AMERICAN SUPERCONDUCTOR CORPORATION UNAUDITED CONSOLIDATED STATEMENTS OF STOCKHOLDERS’ EQUITY FOR THE THREE AND SIX MONTHS ENDED SEPTEMBER 30, 2021 AND 2020</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20" w:type="dxa"/>
            <w:vAlign w:val="bottom"/>
          </w:tcPr>
          <w:p>
            <w:pPr>
              <w:spacing w:after="0"/>
              <w:rPr>
                <w:sz w:val="19"/>
                <w:szCs w:val="19"/>
                <w:color w:val="auto"/>
              </w:rPr>
            </w:pPr>
          </w:p>
        </w:tc>
        <w:tc>
          <w:tcPr>
            <w:tcW w:w="1600" w:type="dxa"/>
            <w:vAlign w:val="bottom"/>
            <w:tcBorders>
              <w:bottom w:val="single" w:sz="8" w:color="auto"/>
            </w:tcBorders>
            <w:gridSpan w:val="3"/>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Comprehensive</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5"/>
              </w:rPr>
              <w:t>Par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27,988</w:t>
            </w:r>
          </w:p>
        </w:tc>
        <w:tc>
          <w:tcPr>
            <w:tcW w:w="7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$ 1,121,495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(1,001,313)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116,592</w:t>
            </w:r>
          </w:p>
        </w:tc>
        <w:tc>
          <w:tcPr>
            <w:tcW w:w="0" w:type="dxa"/>
            <w:vAlign w:val="bottom"/>
          </w:tcPr>
          <w:p>
            <w:pPr>
              <w:spacing w:after="0"/>
              <w:rPr>
                <w:sz w:val="1"/>
                <w:szCs w:val="1"/>
                <w:color w:val="auto"/>
              </w:rPr>
            </w:pPr>
          </w:p>
        </w:tc>
      </w:tr>
      <w:tr>
        <w:trPr>
          <w:trHeight w:val="182"/>
        </w:trPr>
        <w:tc>
          <w:tcPr>
            <w:tcW w:w="3120" w:type="dxa"/>
            <w:vAlign w:val="bottom"/>
            <w:tcBorders>
              <w:top w:val="single" w:sz="8" w:color="CCEEFF"/>
            </w:tcBorders>
          </w:tcPr>
          <w:p>
            <w:pPr>
              <w:ind w:left="340"/>
              <w:spacing w:after="0" w:line="182" w:lineRule="exact"/>
              <w:rPr>
                <w:sz w:val="20"/>
                <w:szCs w:val="20"/>
                <w:color w:val="auto"/>
              </w:rPr>
            </w:pPr>
            <w:r>
              <w:rPr>
                <w:rFonts w:ascii="Arial" w:cs="Arial" w:eastAsia="Arial" w:hAnsi="Arial"/>
                <w:sz w:val="18"/>
                <w:szCs w:val="18"/>
                <w:color w:val="auto"/>
                <w:w w:val="99"/>
              </w:rPr>
              <w:t>Issuance of common stock - bonus</w:t>
            </w: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payout</w:t>
            </w: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1,681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Issuance of common stock -</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shares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stock for 401(k) match</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2"/>
        </w:trPr>
        <w:tc>
          <w:tcPr>
            <w:tcW w:w="3120" w:type="dxa"/>
            <w:vAlign w:val="bottom"/>
          </w:tcPr>
          <w:p>
            <w:pPr>
              <w:ind w:left="340"/>
              <w:spacing w:after="0" w:line="201" w:lineRule="exact"/>
              <w:rPr>
                <w:sz w:val="20"/>
                <w:szCs w:val="20"/>
                <w:color w:val="auto"/>
              </w:rPr>
            </w:pPr>
            <w:r>
              <w:rPr>
                <w:rFonts w:ascii="Arial" w:cs="Arial" w:eastAsia="Arial" w:hAnsi="Arial"/>
                <w:sz w:val="18"/>
                <w:szCs w:val="18"/>
                <w:color w:val="auto"/>
                <w:w w:val="92"/>
              </w:rPr>
              <w:t>Issuance of common stock - Neeltran</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acquisition</w:t>
            </w:r>
          </w:p>
        </w:tc>
        <w:tc>
          <w:tcPr>
            <w:tcW w:w="880" w:type="dxa"/>
            <w:vAlign w:val="bottom"/>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4,384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treasury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Cumulative translation adjustment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880" w:type="dxa"/>
            <w:vAlign w:val="bottom"/>
          </w:tcPr>
          <w:p>
            <w:pPr>
              <w:jc w:val="right"/>
              <w:spacing w:after="0"/>
              <w:rPr>
                <w:sz w:val="20"/>
                <w:szCs w:val="20"/>
                <w:color w:val="auto"/>
              </w:rPr>
            </w:pPr>
            <w:r>
              <w:rPr>
                <w:rFonts w:ascii="Arial" w:cs="Arial" w:eastAsia="Arial" w:hAnsi="Arial"/>
                <w:sz w:val="18"/>
                <w:szCs w:val="18"/>
                <w:color w:val="auto"/>
              </w:rPr>
              <w:t>28,726</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287</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$ 1,128,961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(3,639)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(1,006,716)</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118,553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w w:val="99"/>
              </w:rPr>
              <w:t>Issuance of common stock - ESPP</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2"/>
        </w:trPr>
        <w:tc>
          <w:tcPr>
            <w:tcW w:w="3120" w:type="dxa"/>
            <w:vAlign w:val="bottom"/>
          </w:tcPr>
          <w:p>
            <w:pPr>
              <w:ind w:left="340"/>
              <w:spacing w:after="0" w:line="201" w:lineRule="exact"/>
              <w:rPr>
                <w:sz w:val="20"/>
                <w:szCs w:val="20"/>
                <w:color w:val="auto"/>
              </w:rPr>
            </w:pPr>
            <w:r>
              <w:rPr>
                <w:rFonts w:ascii="Arial" w:cs="Arial" w:eastAsia="Arial" w:hAnsi="Arial"/>
                <w:sz w:val="18"/>
                <w:szCs w:val="18"/>
                <w:color w:val="auto"/>
                <w:w w:val="99"/>
              </w:rPr>
              <w:t>Issuance of common stock - bonus</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payout</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Issuance of stock for 401(k) match</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translation adjustment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(4,434)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28,793</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$ 1,130,921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(1,011,150)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116,104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120" w:type="dxa"/>
            <w:vAlign w:val="bottom"/>
          </w:tcPr>
          <w:p>
            <w:pPr>
              <w:spacing w:after="0"/>
              <w:rPr>
                <w:sz w:val="24"/>
                <w:szCs w:val="24"/>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120" w:type="dxa"/>
            <w:vAlign w:val="bottom"/>
          </w:tcPr>
          <w:p>
            <w:pPr>
              <w:spacing w:after="0"/>
              <w:rPr>
                <w:sz w:val="19"/>
                <w:szCs w:val="19"/>
                <w:color w:val="auto"/>
              </w:rPr>
            </w:pPr>
          </w:p>
        </w:tc>
        <w:tc>
          <w:tcPr>
            <w:tcW w:w="1600" w:type="dxa"/>
            <w:vAlign w:val="bottom"/>
            <w:tcBorders>
              <w:bottom w:val="single" w:sz="8" w:color="auto"/>
            </w:tcBorders>
            <w:gridSpan w:val="3"/>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Comprehensive</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5"/>
              </w:rPr>
              <w:t>Par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22,902</w:t>
            </w:r>
          </w:p>
        </w:tc>
        <w:tc>
          <w:tcPr>
            <w:tcW w:w="7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229</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$ 1,053,507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(978,635)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72,219</w:t>
            </w:r>
          </w:p>
        </w:tc>
        <w:tc>
          <w:tcPr>
            <w:tcW w:w="0" w:type="dxa"/>
            <w:vAlign w:val="bottom"/>
          </w:tcPr>
          <w:p>
            <w:pPr>
              <w:spacing w:after="0"/>
              <w:rPr>
                <w:sz w:val="1"/>
                <w:szCs w:val="1"/>
                <w:color w:val="auto"/>
              </w:rPr>
            </w:pPr>
          </w:p>
        </w:tc>
      </w:tr>
      <w:tr>
        <w:trPr>
          <w:trHeight w:val="182"/>
        </w:trPr>
        <w:tc>
          <w:tcPr>
            <w:tcW w:w="3120" w:type="dxa"/>
            <w:vAlign w:val="bottom"/>
            <w:tcBorders>
              <w:top w:val="single" w:sz="8" w:color="CCEEFF"/>
            </w:tcBorders>
          </w:tcPr>
          <w:p>
            <w:pPr>
              <w:ind w:left="340"/>
              <w:spacing w:after="0" w:line="182" w:lineRule="exact"/>
              <w:rPr>
                <w:sz w:val="20"/>
                <w:szCs w:val="20"/>
                <w:color w:val="auto"/>
              </w:rPr>
            </w:pPr>
            <w:r>
              <w:rPr>
                <w:rFonts w:ascii="Arial" w:cs="Arial" w:eastAsia="Arial" w:hAnsi="Arial"/>
                <w:sz w:val="18"/>
                <w:szCs w:val="18"/>
                <w:color w:val="auto"/>
              </w:rPr>
              <w:t>Issuance of common stock -</w:t>
            </w: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restricted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Issuance of stock for 401(k) match</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treasury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Cumulative translation adjustment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880" w:type="dxa"/>
            <w:vAlign w:val="bottom"/>
          </w:tcPr>
          <w:p>
            <w:pPr>
              <w:jc w:val="right"/>
              <w:spacing w:after="0"/>
              <w:rPr>
                <w:sz w:val="20"/>
                <w:szCs w:val="20"/>
                <w:color w:val="auto"/>
              </w:rPr>
            </w:pPr>
            <w:r>
              <w:rPr>
                <w:rFonts w:ascii="Arial" w:cs="Arial" w:eastAsia="Arial" w:hAnsi="Arial"/>
                <w:sz w:val="18"/>
                <w:szCs w:val="18"/>
                <w:color w:val="auto"/>
              </w:rPr>
              <w:t>23,408</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234</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$ 1,054,499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(3,043)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(982,052)</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69,419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w w:val="99"/>
              </w:rPr>
              <w:t>Issuance of common stock - ESPP</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3120" w:type="dxa"/>
            <w:vAlign w:val="bottom"/>
          </w:tcPr>
          <w:p>
            <w:pPr>
              <w:ind w:left="340"/>
              <w:spacing w:after="0" w:line="201" w:lineRule="exact"/>
              <w:rPr>
                <w:sz w:val="20"/>
                <w:szCs w:val="20"/>
                <w:color w:val="auto"/>
              </w:rPr>
            </w:pPr>
            <w:r>
              <w:rPr>
                <w:rFonts w:ascii="Arial" w:cs="Arial" w:eastAsia="Arial" w:hAnsi="Arial"/>
                <w:sz w:val="18"/>
                <w:szCs w:val="18"/>
                <w:color w:val="auto"/>
              </w:rPr>
              <w:t>Issuance of common stock -</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restricted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Issuance of stock for 401(k) match</w:t>
            </w: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treasury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Cumulative translation adjustment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Pr>
          <w:p>
            <w:pPr>
              <w:spacing w:after="0" w:line="196" w:lineRule="exact"/>
              <w:rPr>
                <w:sz w:val="20"/>
                <w:szCs w:val="20"/>
                <w:color w:val="auto"/>
              </w:rPr>
            </w:pPr>
            <w:r>
              <w:rPr>
                <w:rFonts w:ascii="Arial" w:cs="Arial" w:eastAsia="Arial" w:hAnsi="Arial"/>
                <w:sz w:val="18"/>
                <w:szCs w:val="18"/>
                <w:color w:val="auto"/>
              </w:rPr>
              <w:t>Balance at September 30, 2020</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23,458</w:t>
            </w:r>
          </w:p>
        </w:tc>
        <w:tc>
          <w:tcPr>
            <w:tcW w:w="200" w:type="dxa"/>
            <w:vAlign w:val="bottom"/>
          </w:tcPr>
          <w:p>
            <w:pPr>
              <w:spacing w:after="0"/>
              <w:rPr>
                <w:sz w:val="17"/>
                <w:szCs w:val="17"/>
                <w:color w:val="auto"/>
              </w:rPr>
            </w:pP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9"/>
              </w:rPr>
              <w:t>234</w:t>
            </w:r>
          </w:p>
        </w:tc>
        <w:tc>
          <w:tcPr>
            <w:tcW w:w="112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$ 1,055,548</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(3,336)</w:t>
            </w: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(262)</w:t>
            </w: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(985,764)</w:t>
            </w:r>
          </w:p>
        </w:tc>
        <w:tc>
          <w:tcPr>
            <w:tcW w:w="24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66,420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7"/>
          </w:tcPr>
          <w:p>
            <w:pPr>
              <w:jc w:val="right"/>
              <w:ind w:right="321"/>
              <w:spacing w:after="0"/>
              <w:rPr>
                <w:sz w:val="20"/>
                <w:szCs w:val="20"/>
                <w:color w:val="auto"/>
              </w:rPr>
            </w:pPr>
            <w:r>
              <w:rPr>
                <w:rFonts w:ascii="Arial" w:cs="Arial" w:eastAsia="Arial" w:hAnsi="Arial"/>
                <w:sz w:val="18"/>
                <w:szCs w:val="18"/>
                <w:b w:val="1"/>
                <w:bCs w:val="1"/>
                <w:color w:val="auto"/>
                <w:w w:val="95"/>
              </w:rPr>
              <w:t>Six Months Ended September 30,</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(9,837)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Adjustments to reconcile net loss to net cash used in operations: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2,009</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1,758</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Provision for excess and obsolete inventory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1,250</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fair value of contingent consideration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Other non-cash items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233</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Unrealized foreign exchange loss on cash and cash equivalents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Changes in operating asset and liability accounts: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157</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3,591</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3,475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(3,192)</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(4,636)</w:t>
            </w:r>
          </w:p>
        </w:tc>
      </w:tr>
      <w:tr>
        <w:trPr>
          <w:trHeight w:val="20"/>
        </w:trPr>
        <w:tc>
          <w:tcPr>
            <w:tcW w:w="8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(11,734)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(6,553)</w:t>
            </w:r>
          </w:p>
        </w:tc>
      </w:tr>
      <w:tr>
        <w:trPr>
          <w:trHeight w:val="209"/>
        </w:trPr>
        <w:tc>
          <w:tcPr>
            <w:tcW w:w="8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Purchase of property, plant and equipment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Sale of marketable securities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25,006</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paid for acquisition, net of cash acquired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(11,479)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Proceeds from the maturity of marketable securities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5,189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other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63</w:t>
            </w:r>
          </w:p>
        </w:tc>
      </w:tr>
      <w:tr>
        <w:trPr>
          <w:trHeight w:val="20"/>
        </w:trPr>
        <w:tc>
          <w:tcPr>
            <w:tcW w:w="8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(used)/provided by investing activities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(6,830)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23,743</w:t>
            </w:r>
          </w:p>
        </w:tc>
      </w:tr>
      <w:tr>
        <w:trPr>
          <w:trHeight w:val="209"/>
        </w:trPr>
        <w:tc>
          <w:tcPr>
            <w:tcW w:w="8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Repurchase of treasury stock</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Repayment of debt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exercise of employee stock options and ESPP</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99</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provided/(used) by financing activities</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53</w:t>
            </w:r>
          </w:p>
        </w:tc>
      </w:tr>
      <w:tr>
        <w:trPr>
          <w:trHeight w:val="210"/>
        </w:trPr>
        <w:tc>
          <w:tcPr>
            <w:tcW w:w="8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increase/(decrease) in cash, cash equivalents and restricted cash</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(18,550)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16,672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75,539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56,989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47,536</w:t>
            </w: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Supplemental schedule of cash flow information:</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paid for income taxes, net of refunds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Issuance of common stock to settle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Operations and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 and Operations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American Superconductor Corporation (together with its subsidiaries, “AMSC®” or the “Company”) was founded on April 9, 1987. The Company is a leading system provider of megawatt-scale power resiliency solutions that Orchestrate the Rhythm and Harmony of Power on the Grid™ and that protect and expand the capability of the Navy’s fleet. The Company’s system level products leverage its proprietary “smart materials” and “smart software and controls” to provide enhanced resiliency and improved performance of megawatt-scale power flow.</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These unaudited condensed consolidated financial statements of the Company have been prepared on a going concern basis in accordance with United States generally accepted accounting principles (“GAAP”) and the Securities and Exchange Commission’s (“SEC”) instructions to Form 10-Q. The going concern basis of presentation assumes that the Company will continue operations and will be able to realize its assets and discharge its liabilities and commitments in the normal course of business. Certain information and footnote disclosures normally included in the financial statements prepared in accordance with GAAP have been condensed or omitted pursuant to those instructions. The year-end condensed balance sheet data was derived from audited financial statements but does not include all disclosures required by GAAP. The unaudited condensed consolidated financial statements, in the opinion of management, reflect all adjustments (consisting of normal recurring adjustments) necessary for a fair statement of the results for the interim periods ended September 30, 2021 and 2020 and the financial position at September 30, 2021; however, these results are not necessarily indicative of results which may be expected for the full year. The interim condensed consolidated financial statements, and notes thereto, should be read in conjunction with the audited consolidated financial statements for the year ended March 31, 2021, and notes thereto, included in the Company’s Annual Report on Form 10-K for the year ended March 31, 2021 filed with the SEC on June 2,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historically experienced recurring operating losses and as of September 30, 2021, the Company had an accumulated deficit of $1,011.1 million. In addition, the Company has historically experienced recurring negative operating cash flows. At September 30, 2021, the Company had cash and cash equivalents of $48.5 million. Cash used in operations for the six months ended September 30, 2021 was $11.7 million.</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February 2021, the Company filed a shelf registration statement on Form S-3 that will expire in February 2024 (the “Form S-3”). The Form S-3 allows the Company to offer and sell from time-to-time up to $250 million of common stock, debt securities, warrants or units comprised of any combination of these securities. The Form S-3 is intended to provide the Company flexibility to conduct registered sales of the Company's securities, subject to market conditions, in order to fund the Company's future capital needs. The terms of any future offering under the Form S-3 will be established at the time of such offering and will be described in a prospectus supplement filed with the SEC prior to the completion of any such offering.</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May 6, 2021 (the "Neeltran Acquisition Date"), the Company entered into a Purchase and Sale Agreement (the "Real Property Purchase Agreement") and a Stock Purchase Agreement (the "Neeltran Stock Purchase Agreement") with the selling equity holders named therein. Also on May 6, 2021, pursuant to the Real Property Purchase Agreement, the Company's wholly-owned Connecticut limited liability company, AMSC Husky LLC ("AMSC Husky"), purchased the real property that served as Neeltran's headquarters for $4.3 million, of which (a) $2.4 million was paid in immediately available funds by AMSC Husky to the owners of such real property, and (b) $1.9 million was paid directly to TD Bank as full payment for the outstanding indebtedness secured by the mortgage on such real property. Pursuant to the terms of the Neeltran Stock Purchase Agreement and concurrently with entering into such agreement, the Company purchased all of the issued and outstanding shares of capital stock of (i) Neeltran, Inc., a Connecticut corporation ("Neeltran") that supplies rectifiers and transformers to industrial customers, and (ii) Neeltran International, Inc., a Connecticut corporation ("International"), for: (a) $1.0 million in cash, and (b) 301,556 shares of the Company's common stock, $.01 par value per share (the "AMSC Shares"), that were paid and issued to the Neeltran selling stockholders, respectively at closing (the "Neeltran Acquisition"). The Company also paid $1.1 million to International selling stockholders at closing to pay off previous loans made by them to Neeltran. Additionally, the Company paid approximately $7.6 million on behalf of the selling equity holders, including $1.9 million of indebtedness secured by the mortgage on the real property as described above, directly to Neeltran lenders at closing to extinguish outstanding Neeltran indebtedness to third parties on behalf of the sellers.</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2020, the World Health Organization declared the disease caused by the novel coronavirus, COVID-19, to be a pandemic. COVID-19 has spread throughout the globe, including in the Commonwealth of Massachusetts where the Company’s headquarters are located, and in other areas where the Company has business operations. In response to the outbreak, the Company has followed the guidelines of the U.S. Centers for Disease Control and Prevention and applicable state government authorities to protect the health and safety of the Company’s employees, families, suppliers, customers and communities. While these existing measures and, COVID-19 generally, have not materially disrupted the Company’s business to date, any future actions necessitated by the COVID-19 pandemic may result in disruption to the Company’s business.</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While the COVID-19 pandemic continues to rapidly evolve, the Company is starting to experience inflation pressure in its supply chains and some delays in sourcing materials needed for its products. The Company continues to assess the impact of the COVID-19 pandemic to best mitigate risk and continue the operations of the Company’s business. The extent to which the outbreak impacts the Company’s business, liquidity, results of operations and financial condition will depend on future developments, which are highly uncertain and cannot be predicted with confidence, including new information that may emerge concerning the severity of the COVID-19 pandemic, the spread of new variations of the virus, the actions to contain it or treat its impact and the effectiveness and adoption of vaccines and treatments, among others. If the Company, its customers or suppliers experience prolonged shutdowns or other business disruptions, including global supply chain disruptions, the Company’s business, liquidity, results of operations and financial condition are likely to be materially adversely affected, and the Company’s ability to access the capital markets may be limited.</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believes that based on the information presented above and its quarterly management assessment, it has sufficient liquidity to fund its operations and capital expenditures for the next twelve months following the issuance of the financial statements for the six months ended September 30, 2021. The Company’s liquidity is highly dependent on its ability to increase revenues, including its ability to collect revenues under its agreements with Inox, its ability to control its operating costs, and its ability to raise additional capital, if necessary. The impact of the COVID-19 pandemic on the global financing markets may reduce the Company's ability to raise additional capital, if necessary, which could negatively impact the Company's liquidity. There can be no assurance that the Company will be able to continue to raise additional capital, on favorable terms or at all, from other sources or execute on any other means of improving liquidity described above.</w:t>
      </w:r>
    </w:p>
    <w:p>
      <w:pPr>
        <w:sectPr>
          <w:pgSz w:w="11900" w:h="16861" w:orient="portrait"/>
          <w:cols w:equalWidth="0" w:num="1">
            <w:col w:w="11240"/>
          </w:cols>
          <w:pgMar w:left="320" w:top="580" w:right="339" w:bottom="0" w:gutter="0" w:footer="0" w:header="0"/>
        </w:sectPr>
      </w:pPr>
    </w:p>
    <w:bookmarkStart w:id="8" w:name="page9"/>
    <w:bookmarkEnd w:id="8"/>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Acquisition of Neeltran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described in Note 1, "Nature of the Business and Operations and Liquidity", on the Neeltran Acquisition Date, pursuant to the terms of the Neeltran Stock Purchase Agreement, the Company purchased all of the issued and outstanding shares of capital stock of Neeltran and International for $1.0 million in cash and the AMSC Shares, that were paid and issued, respectively, to the Neeltran selling stockholders. The Company also paid $1.1 million to International selling stockholders to pay off previous loans made by them to Neeltran.</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the Company paid approximately $7.6 million, including $1.9 million of indebtedness secured by the mortgage on the real property as described below, directly to Neeltran lenders at closing to extinguish outstanding Neeltran indebtedness to third parties. Pursuant to the terms of the Real Property Purchase Agreement, AMSC Husky purchased the real property that serves as Neeltran's headquarters for $4.3 million, of which (a) $2.4 million was paid from immediately available funds by AMSC Husky to the selling parties, and (b) $1.9 million was paid directly to TD Bank as full payment for the outstanding indebtedness secured by the mortgage on such real property. The total purchase price of $16.4 million includes cash paid, the fair value of the AMSC Shares issued at closing and the debt payoff on behalf of the sellers as follows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3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Issuance of 301,556 shares of Company's common stock</w:t>
            </w:r>
          </w:p>
        </w:tc>
        <w:tc>
          <w:tcPr>
            <w:tcW w:w="2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payment to third party lenders on behalf of sellers</w:t>
            </w:r>
          </w:p>
        </w:tc>
        <w:tc>
          <w:tcPr>
            <w:tcW w:w="28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6880" w:type="dxa"/>
            <w:vAlign w:val="bottom"/>
          </w:tcPr>
          <w:p>
            <w:pPr>
              <w:spacing w:after="0"/>
              <w:rPr>
                <w:sz w:val="20"/>
                <w:szCs w:val="20"/>
                <w:color w:val="auto"/>
              </w:rPr>
            </w:pPr>
            <w:r>
              <w:rPr>
                <w:rFonts w:ascii="Arial" w:cs="Arial" w:eastAsia="Arial" w:hAnsi="Arial"/>
                <w:sz w:val="18"/>
                <w:szCs w:val="18"/>
                <w:color w:val="auto"/>
              </w:rPr>
              <w:t>Total consideration</w:t>
            </w:r>
          </w:p>
        </w:tc>
        <w:tc>
          <w:tcPr>
            <w:tcW w:w="3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bl>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Neeltran Acquisition completed by the Company during the six months ended September 30, 2021 has been accounted for under the purchase method of accounting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The Company allocated the purchase price to the assets acquired and liabilities assumed at their estimated fair values as of the date of Neeltran Acquisition. The excess of the purchase price paid by the Company over the estimated fair value of net assets acquired has been recorded as goodwill. As Neeltran was previously a private company, the adoption of Accounting Standards Codification 842 ("ASC 842") was completed as part of the Neeltran Acquisition. See Note 15 "Leases" for further details. Neeltran had previously adopted Accounting Standards Codification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as part of prior year audited financial statements.</w:t>
      </w:r>
    </w:p>
    <w:p>
      <w:pPr>
        <w:spacing w:after="0" w:line="1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allocation of the purchase price based on the estimated fair value of the assets acquired and liabilities assumed in connection with the Neeltran Acquisition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3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working capital (excluding inventory and deferred revenue)</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assets/(liabilities)</w:t>
            </w:r>
          </w:p>
        </w:tc>
        <w:tc>
          <w:tcPr>
            <w:tcW w:w="2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Trade names and trademarks</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8"/>
                <w:szCs w:val="18"/>
                <w:color w:val="auto"/>
              </w:rPr>
              <w:t>Net identifiable intangible assets/(liabilities)</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0"/>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3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bl>
    <w:p>
      <w:pPr>
        <w:spacing w:after="0" w:line="187" w:lineRule="exact"/>
        <w:rPr>
          <w:sz w:val="20"/>
          <w:szCs w:val="20"/>
          <w:color w:val="auto"/>
        </w:rPr>
      </w:pPr>
    </w:p>
    <w:p>
      <w:pPr>
        <w:ind w:right="180" w:firstLine="675"/>
        <w:spacing w:after="0" w:line="257" w:lineRule="auto"/>
        <w:rPr>
          <w:sz w:val="20"/>
          <w:szCs w:val="20"/>
          <w:color w:val="auto"/>
        </w:rPr>
      </w:pPr>
      <w:r>
        <w:rPr>
          <w:rFonts w:ascii="Arial" w:cs="Arial" w:eastAsia="Arial" w:hAnsi="Arial"/>
          <w:sz w:val="18"/>
          <w:szCs w:val="18"/>
          <w:color w:val="auto"/>
        </w:rPr>
        <w:t>Inventory includes a $0.6 million adjustment to step up the inventory balance to fair value consistent with the purchase price allocation. The fair value was based on the estimated selling price of the inventory, less the remaining manufacturing and selling cost and a normal profit margin on those manufacturing and selling efforts. The inventory step up adjustment increased cost of revenue $0.6 million in the six month period ended September 30, 2021 as the inventory was sold. This increase is not reflected in the pro forma condensed combined statements of operations because it does not have a continuing impact beyond the first year.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Backlog of $0.1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 two year period with the expense being allocated to cost of revenues.</w:t>
      </w:r>
    </w:p>
    <w:p>
      <w:pPr>
        <w:spacing w:after="0" w:line="184" w:lineRule="exact"/>
        <w:rPr>
          <w:sz w:val="20"/>
          <w:szCs w:val="20"/>
          <w:color w:val="auto"/>
        </w:rPr>
      </w:pPr>
    </w:p>
    <w:p>
      <w:pPr>
        <w:jc w:val="both"/>
        <w:ind w:firstLine="698"/>
        <w:spacing w:after="0" w:line="263" w:lineRule="auto"/>
        <w:rPr>
          <w:sz w:val="20"/>
          <w:szCs w:val="20"/>
          <w:color w:val="auto"/>
        </w:rPr>
      </w:pPr>
      <w:r>
        <w:rPr>
          <w:rFonts w:ascii="Arial" w:cs="Arial" w:eastAsia="Arial" w:hAnsi="Arial"/>
          <w:sz w:val="18"/>
          <w:szCs w:val="18"/>
          <w:color w:val="auto"/>
        </w:rPr>
        <w:t>Customer relationships of $3.5 million relates to customers currently under contract and was determined based on a multi period excess earnings method under the income approach. The method of amortization being utilized is the economic consumption over 7 years with the expense being allocated to SG&amp;A.</w:t>
      </w:r>
    </w:p>
    <w:p>
      <w:pPr>
        <w:spacing w:after="0" w:line="184" w:lineRule="exact"/>
        <w:rPr>
          <w:sz w:val="20"/>
          <w:szCs w:val="20"/>
          <w:color w:val="auto"/>
        </w:rPr>
      </w:pPr>
    </w:p>
    <w:p>
      <w:pPr>
        <w:jc w:val="both"/>
        <w:ind w:firstLine="698"/>
        <w:spacing w:after="0" w:line="308" w:lineRule="auto"/>
        <w:rPr>
          <w:sz w:val="20"/>
          <w:szCs w:val="20"/>
          <w:color w:val="auto"/>
        </w:rPr>
      </w:pPr>
      <w:r>
        <w:rPr>
          <w:rFonts w:ascii="Arial" w:cs="Arial" w:eastAsia="Arial" w:hAnsi="Arial"/>
          <w:sz w:val="17"/>
          <w:szCs w:val="17"/>
          <w:color w:val="auto"/>
        </w:rPr>
        <w:t>Trade names and trademarks of $1.2 million were reviewed using the assumption that the Company would continue to utilize the Neeltran trade name indefinitely. The relief from royalty method was utilized using a 1% royalty rate on revenues with a 24.5% discount rate over 15 years.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118" w:gutter="0" w:footer="0" w:header="0"/>
        </w:sectPr>
      </w:pPr>
    </w:p>
    <w:bookmarkStart w:id="10" w:name="page11"/>
    <w:bookmarkEnd w:id="10"/>
    <w:p>
      <w:pPr>
        <w:jc w:val="both"/>
        <w:ind w:firstLine="486"/>
        <w:spacing w:after="0" w:line="254" w:lineRule="auto"/>
        <w:rPr>
          <w:sz w:val="20"/>
          <w:szCs w:val="20"/>
          <w:color w:val="auto"/>
        </w:rPr>
      </w:pPr>
      <w:r>
        <w:rPr>
          <w:rFonts w:ascii="Arial" w:cs="Arial" w:eastAsia="Arial" w:hAnsi="Arial"/>
          <w:sz w:val="18"/>
          <w:szCs w:val="18"/>
          <w:color w:val="auto"/>
        </w:rPr>
        <w:t>The goodwill represents the value associated with the acquired workforce and expected synergies related to the business combinations of the two companies. Goodwill resulting from the Neeltran Acquisition was assigned to the Company's Grid business segment. Goodwill recognized in the Neeltran Acquisition is not deductible for tax purposes. This purchase price allocation is preliminary and has not been finalized as the analysis on the assets and liabilities acquired, primarily the tax liability may require further adjustments to our purchase accounting that could result in a measurement period adjustment that would impact our recorded net assets and goodwill as of May 6, 2021. Material changes, if any, to the preliminary allocation summarized above will be reported once the related uncertainties are resolved but no later than May 6, 2022. The $2.3 million of deferred tax liability is primarily related to inventory step up and intangibles.</w:t>
      </w:r>
    </w:p>
    <w:p>
      <w:pPr>
        <w:spacing w:after="0" w:line="195" w:lineRule="exact"/>
        <w:rPr>
          <w:sz w:val="20"/>
          <w:szCs w:val="20"/>
          <w:color w:val="auto"/>
        </w:rPr>
      </w:pPr>
    </w:p>
    <w:p>
      <w:pPr>
        <w:jc w:val="both"/>
        <w:ind w:firstLine="418"/>
        <w:spacing w:after="0" w:line="263" w:lineRule="auto"/>
        <w:rPr>
          <w:sz w:val="20"/>
          <w:szCs w:val="20"/>
          <w:color w:val="auto"/>
        </w:rPr>
      </w:pPr>
      <w:r>
        <w:rPr>
          <w:rFonts w:ascii="Arial" w:cs="Arial" w:eastAsia="Arial" w:hAnsi="Arial"/>
          <w:sz w:val="18"/>
          <w:szCs w:val="18"/>
          <w:color w:val="auto"/>
        </w:rPr>
        <w:t>The results of Neeltran's operations, are included in the Company's consolidated results from the date of the Neeltran Acquisition of May 6, 2021, for the six months ended September 30, 2021. In the unaudited consolidated results for the six months ended September 30, 2021, Neeltran contributed $12.5 million of revenue and $0.4 million in net loss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 of NEPSI</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October 1, 2020 (the "NEPSI Acquisition Date"), the Company entered into a Stock Purchase Agreement (the "NEPSI Stock Purchase Agreement") with the selling stockholders named therein. Pursuant to the terms of the NEPSI Stock Purchase Agreement and concurrently with entering into such agreement, the Company acquired all of the issued and outstanding (i) shares of capital stock of Northeast Power Systems, Inc., a New York corporation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Prior to the NEPSI Acquisition, the Company had purchased $0.4 million of products from NEPSI in fiscal year 2019 for which NEPSI was paid and had recorded revenue.</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the NEPSI Stock Purchase Agreement, the Company acquired all of the issued and outstanding shares of NEPSI, and membership interest in the realty entity, for which the Company paid $26.0 million in cash and issued 873,657 restricted shares of the Company’s common stock. Additionally, the Company may issue to the selling stockholders up to an additional 1,000,000 shares of common stock upon NEPSI’s achievement of specified revenue objectives during varying periods of up to four years following closing of the NEPSI Acquisition. This contingent consideration is recorded as a derivative liability based on a Monte Carlo simulation to determine fair value at the time of issuance. NEPSI is now a wholly-owned subsidiary of the Company and is operated and reported as a component of its Grid business unit.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NEPSI Acquisition completed by the Company during the fiscal year ended March 31, 2021 has been accounted for under the purchase method of accounting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allocated the purchase price to the assets acquired and liabilities assumed at their estimated fair values as of the date of NEPSI Acquisition. The excess of the purchase price paid by the Company over the estimated fair value of net assets acquired has been recorded as goodwill. As NEPSI was previously a private company, the adoption of ASC 606 was completed as part of the NEPSI Acquisition. See Note 3 "Revenue Recognition" for further details. There were no leases acquired and the NEPSI Acquisition had no impact to the Company's reporting under ASC 842.</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total purchase price of approximately $42.4 million includes the fair value of shares of the Company’s common stock issued at closing, cash paid, and contingent consideration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3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Issuance of 873,657 shares of Company’s common stock</w:t>
            </w:r>
          </w:p>
        </w:tc>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7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6900" w:type="dxa"/>
            <w:vAlign w:val="bottom"/>
          </w:tcPr>
          <w:p>
            <w:pPr>
              <w:spacing w:after="0"/>
              <w:rPr>
                <w:sz w:val="20"/>
                <w:szCs w:val="20"/>
                <w:color w:val="auto"/>
              </w:rPr>
            </w:pPr>
            <w:r>
              <w:rPr>
                <w:rFonts w:ascii="Arial" w:cs="Arial" w:eastAsia="Arial" w:hAnsi="Arial"/>
                <w:sz w:val="18"/>
                <w:szCs w:val="18"/>
                <w:color w:val="auto"/>
              </w:rPr>
              <w:t>Total consideration</w:t>
            </w:r>
          </w:p>
        </w:tc>
        <w:tc>
          <w:tcPr>
            <w:tcW w:w="3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consideration consists of (a) cash of $26.0 million, (b) issuance of the Company's common stock, using $14.23 per share, which was the closing price on the day that the Company acquired NEPSI, and (c) $4.0 million of contingent consideration for the earnout liability valued as of the NEPSI Acquisition Date. NEPSI Acquisition costs of $0.3 million were recorded in selling, general and administrative ("SG&amp;A") costs for the fiscal year ended March 31, 2021.</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the contingent consideration was determined using a Monte Carlo model and is accounted for as a derivative liability which is revalued at the fair value determined at each subsequent balance sheet date until the contingencies are resolved and the shares to be issued are determined, with the change in fair value recorded in the current period operating loss or (income). See Note 13, "Contingent Consideration" for further details and a summary of key assumptions used to determine fair value in each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allocation of the purchase price based on the estimated fair values of the assets acquired and liabilities assumed and related deferred income taxes in connection with the NEPSI Acquisition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 (excluding inventory and deferred revenue)</w:t>
            </w:r>
          </w:p>
        </w:tc>
        <w:tc>
          <w:tcPr>
            <w:tcW w:w="3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Inventory</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revenue</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09"/>
        </w:trPr>
        <w:tc>
          <w:tcPr>
            <w:tcW w:w="7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tangible assets/(liabilities)</w:t>
            </w:r>
          </w:p>
        </w:tc>
        <w:tc>
          <w:tcPr>
            <w:tcW w:w="25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Backlog</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09"/>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identifiable intangible assets/(liabilities)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7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09"/>
        </w:trPr>
        <w:tc>
          <w:tcPr>
            <w:tcW w:w="71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w:t>
            </w:r>
          </w:p>
        </w:tc>
        <w:tc>
          <w:tcPr>
            <w:tcW w:w="3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Inventory includes a $1.0 million adjustment to step 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$1.0 million step up adjustment increased cost of revenue in the fiscal year ended March 31, 2021 as the inventory was sold. This increase is not reflected in the pro forma condensed combined statements of operations because it does not have a continuing impact beyond the first year.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Backlog of $0.6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 two year period with the expense being allocated to cost of revenues.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Customer relationships of $6.1 million relates to customers currently under contract and was determined based on a multi period excess earnings method under the income approach. The method of amortization being utilized is the economic consumption over 7 years with the expense being allocated to SG&amp;A.</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Trade names and trademarks of $0.6 million were reviewed, using the assumption that the Company would continue to utilize the NEPSI trade name indefinitely. The relief from royalty method was utilized using an 8% royalty rate on revenues with a 13% discount rate over 8 years.</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Goodwill represents the value associated with the acquired workforce and expected synergies related to the business combination of the two companies. Goodwill resulting from the NEPSI Acquisition was assigned to the Company’s Grid business segment. Goodwill recognized in the NEPSI Acquisition is not deductible for tax purposes. This purchase price allocation is preliminary and has not been finalized as the analysis on the assets and liabilities acquired, primarily the tax related liability may require further adjustments to our purchase accounting that could result in a measurement period adjustment that would impact the Company's reported net assets and goodwill as of October 1, 2020. The $1.7 million of deferred tax liability is primarily related to inventory step up and intangibles.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Operating Results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unaudited pro forma condensed consolidated statement of operations for the three and six months ended September 30, 2021 and 2020 is presented as if the NEPSI Acquisition and Neeltran Acquisition had occurred on April 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2"/>
              </w:rPr>
              <w:t>Six Months Ended September</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27,908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64,860</w:t>
            </w: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(4,346)</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(4,963)</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(11,131)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(8,591)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(3,746)</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Shares - basic</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27,253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23,036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27,101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22,951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Shares - diluted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27,253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22,951</w:t>
            </w: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pro forma amounts include the historical operating results of the Company, NEPSI and Neeltran, with appropriate adjustments that give effect to acquisition related costs, income taxes, intangible amortization resulting from the NEPSI Acquisition and Neeltran Acquisition and certain conforming accounting policies of the Company. The pro forma amounts are not necessarily indicative of the operating results that would have occurred if the NEPSI Acquisition and Neeltran Acquisition and related transactions had been completed at the beginning of the applicable periods presented. In addition, the pro forma amounts are not necessarily indicative of operating results in future periods.</w:t>
      </w:r>
    </w:p>
    <w:p>
      <w:pPr>
        <w:spacing w:after="0" w:line="17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70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revenues in its Grid business segment are derived primarily through enabling the transmission and distribution of power, providing planning services that allow it to identify power grid needs and risks, and developing ship protection systems for the U.S. Navy. The Company’s revenues in its Wind business segment are derived primarily through supplying advanced power electronics and control systems, licensing its highly engineered wind turbine designs, and providing extensive customer support services to wind turbine manufacturers. The Company records revenue based on a five-step model in accordance with ASC 606.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In the three and six months ended September 30, 2021, 86% and 82% of revenue, respectively, was recognized at the point in time when control transferred to the customer, with the remainder being recognized over time. In the three and six months ended September 30, 2020, 78% and 79% of revenue, respectively, was recognized at the point in time when control transferred to the customer, with the remainder being recognized over time.</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equipment and system product line includes certain contracts which do not meet the requirements of an exchange transaction and therefore do not fall within the scope of ASC 606. As these non-exchange transaction contracts are considered grant revenue and do not fall within any specific accounting literature, the Company follows guidance within ASC 606 by analogy to recognize grant revenue over time. In the three and six months ended September 30, 2021, the Company recorded $0.3 million and $0.8 million in grant revenue, respectively, which is included in the Company’s Grid business segment revenue. In the three and six months ended September 30, 2020, the Company recorded $0.4 million and $0.8 million in grant revenue, respectively, which is included in the Company's Grid segment revenue.</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the Company's service and technology development product line, there are several different types of transactions and each begins with a contract with a customer that summarizes each product sold to a customer, which typically represent distinct performance obligations. The technology development transactions are primarily for activities that have no alternative use and for which a profit can be expected throughout the life of the contract. In these cases, the revenue is recognized over time, but in the instances where a reasonable profit margin cannot be assured throughout the entire contract, the revenue is recognized at a point in time. Each contract's transaction price is allocated to each distinct performance obligation using the respective standalone selling price which is determined primarily using the cost-plus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not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not assured and a contract does not exist under ASC 606, revenue is deferred until a non-refundable payment has been received for substantially all the amount that is due and there are no further remaining performance obligations.</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policy is not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provides assurance-type warranties on all product sales for a term of typically one to three years, and extended service-type warranties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twelve months; in such cases the long-term amount will be assessed for materiality. The Company has elected not to adjust the promised amount of consideration for the effects of a significant financing component if the period of financing is twelve months or less.</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contracts with customers do not typically include extended payment terms and may include milestone billing over the life of the contract. Payment terms vary by contract type and type of customer and generally range from 30 to 60 days from delivery.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362"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The following tables disaggregate the Company’s revenue by product line and by shipment destination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7"/>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0"/>
              </w:rPr>
              <w:t>Six Months Ended September</w:t>
            </w: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30, 2021</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91"/>
              </w:rPr>
              <w:t>30, 2021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Product Line: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Grid</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Wind</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Grid</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Wind</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systems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Services and technology development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2,349</w:t>
            </w: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24,619</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96"/>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Americas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18,115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40,760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EMEA</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3,235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94"/>
        </w:trPr>
        <w:tc>
          <w:tcPr>
            <w:tcW w:w="5980" w:type="dxa"/>
            <w:vAlign w:val="bottom"/>
          </w:tcPr>
          <w:p>
            <w:pPr>
              <w:spacing w:after="0"/>
              <w:rPr>
                <w:sz w:val="24"/>
                <w:szCs w:val="24"/>
                <w:color w:val="auto"/>
              </w:rPr>
            </w:pPr>
          </w:p>
        </w:tc>
        <w:tc>
          <w:tcPr>
            <w:tcW w:w="2720" w:type="dxa"/>
            <w:vAlign w:val="bottom"/>
            <w:gridSpan w:val="7"/>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0"/>
              </w:rPr>
              <w:t>Six Months Ended September</w:t>
            </w: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30, 2020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91"/>
              </w:rPr>
              <w:t>30, 2020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Product Line: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Grid</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Wind</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Grid</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Wind</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systems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Services and technology development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8,267</w:t>
            </w:r>
          </w:p>
        </w:tc>
      </w:tr>
      <w:tr>
        <w:trPr>
          <w:trHeight w:val="197"/>
        </w:trPr>
        <w:tc>
          <w:tcPr>
            <w:tcW w:w="59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Americas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15,677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26,231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EMEA</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September 30, 2021, and 2020,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8, “Accounts Receivable” and Note 9, “Inventory” for a reconciliation to the condensed consolidated balance sheets) and "Contract liabilities", which are included in the current portion and long-term portion of "Deferred revenue" in the Company’s condensed consolidated balance sheets, are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Unbilled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Accounts</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Deferred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6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Receivable</w:t>
            </w:r>
          </w:p>
        </w:tc>
        <w:tc>
          <w:tcPr>
            <w:tcW w:w="22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Program Costs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c>
          <w:tcPr>
            <w:tcW w:w="100" w:type="dxa"/>
            <w:vAlign w:val="bottom"/>
          </w:tcPr>
          <w:p>
            <w:pPr>
              <w:spacing w:after="0"/>
              <w:rPr>
                <w:sz w:val="20"/>
                <w:szCs w:val="20"/>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Increase for balances acquired</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10,048</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Increase (decrease) due to customer billings</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(4,807)</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34,344</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980" w:type="dxa"/>
            <w:vAlign w:val="bottom"/>
          </w:tcPr>
          <w:p>
            <w:pPr>
              <w:spacing w:after="0" w:line="201" w:lineRule="exact"/>
              <w:rPr>
                <w:sz w:val="20"/>
                <w:szCs w:val="20"/>
                <w:color w:val="auto"/>
              </w:rPr>
            </w:pPr>
            <w:r>
              <w:rPr>
                <w:rFonts w:ascii="Arial" w:cs="Arial" w:eastAsia="Arial" w:hAnsi="Arial"/>
                <w:sz w:val="18"/>
                <w:szCs w:val="18"/>
                <w:color w:val="auto"/>
                <w:w w:val="92"/>
              </w:rPr>
              <w:t>Increase (decrease) due to recognition of revenue based on transfer of control of performance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7,838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(34,169)</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changes and FX impact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0"/>
        </w:trPr>
        <w:tc>
          <w:tcPr>
            <w:tcW w:w="6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Ending balance as of September 30, 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8,796</w:t>
            </w:r>
          </w:p>
        </w:tc>
        <w:tc>
          <w:tcPr>
            <w:tcW w:w="2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830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31,518</w:t>
            </w:r>
          </w:p>
        </w:tc>
      </w:tr>
      <w:tr>
        <w:trPr>
          <w:trHeight w:val="20"/>
        </w:trPr>
        <w:tc>
          <w:tcPr>
            <w:tcW w:w="6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Unbilled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Accounts</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Deferred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Receivable</w:t>
            </w:r>
          </w:p>
        </w:tc>
        <w:tc>
          <w:tcPr>
            <w:tcW w:w="22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Program Costs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c>
          <w:tcPr>
            <w:tcW w:w="100" w:type="dxa"/>
            <w:vAlign w:val="bottom"/>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5,711</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due to customer billings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(5,929)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(3,314)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Increase (decrease) due to recognition of revenue based on transfer of control of performance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obligations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6,186</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(28,678)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changes and FX impact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as of September 30, 2020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5,968</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21,956</w:t>
            </w:r>
          </w:p>
        </w:tc>
      </w:tr>
      <w:tr>
        <w:trPr>
          <w:trHeight w:val="413"/>
        </w:trPr>
        <w:tc>
          <w:tcPr>
            <w:tcW w:w="6860" w:type="dxa"/>
            <w:vAlign w:val="bottom"/>
            <w:tcBorders>
              <w:top w:val="single" w:sz="8" w:color="CCEEFF"/>
            </w:tcBorders>
          </w:tcPr>
          <w:p>
            <w:pPr>
              <w:ind w:left="5540"/>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6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4" w:name="page15"/>
    <w:bookmarkEnd w:id="14"/>
    <w:p>
      <w:pPr>
        <w:spacing w:after="0" w:line="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Company’s remaining performance obligations represent the unrecognized revenue value of the Company’s contractual commitments. The Company’s performance obligations may vary significantly each reporting period based on the timing of major new contractual commitments. As of September 30, 2021, the Company had outstanding performance obligations on existing contracts under ASC 606 to be recognized in the next twelve months of approximately $89.5 million. There are also approximately $10.5 million of outstanding performance obligations to be recognized over a period of thirteen to sixty months. The remaining performance obligations are subject to customer actions and therefore the timing of revenue recognition cannot be reasonably estimated. The twelve-month performance obligations include anticipated shipments to Inox based on the twelve-month rolling forecast provided by Inox on the multi-year supply contract. The quantities specified in any forecast provided by Inox related to the multi-year supply contract are firm and irrevocable for the first three months of a twelve-month rolling forecast. The timing of the performance obligations beyond the twelve-month forecast provided by Inox are not determinable and therefore are not included in the total remaining performance obligations.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customers who represented 10% or more of the Company’s total revenues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760" w:type="dxa"/>
            <w:vAlign w:val="bottom"/>
            <w:gridSpan w:val="4"/>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2640" w:type="dxa"/>
            <w:vAlign w:val="bottom"/>
            <w:gridSpan w:val="4"/>
          </w:tcPr>
          <w:p>
            <w:pPr>
              <w:ind w:left="5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3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Reportable</w:t>
            </w:r>
          </w:p>
        </w:tc>
        <w:tc>
          <w:tcPr>
            <w:tcW w:w="2760" w:type="dxa"/>
            <w:vAlign w:val="bottom"/>
            <w:gridSpan w:val="4"/>
          </w:tcPr>
          <w:p>
            <w:pPr>
              <w:ind w:left="700"/>
              <w:spacing w:after="0"/>
              <w:rPr>
                <w:sz w:val="20"/>
                <w:szCs w:val="20"/>
                <w:color w:val="auto"/>
              </w:rPr>
            </w:pPr>
            <w:r>
              <w:rPr>
                <w:rFonts w:ascii="Arial" w:cs="Arial" w:eastAsia="Arial" w:hAnsi="Arial"/>
                <w:sz w:val="18"/>
                <w:szCs w:val="18"/>
                <w:b w:val="1"/>
                <w:bCs w:val="1"/>
                <w:color w:val="auto"/>
              </w:rPr>
              <w:t>September 30,</w:t>
            </w:r>
          </w:p>
        </w:tc>
        <w:tc>
          <w:tcPr>
            <w:tcW w:w="2640" w:type="dxa"/>
            <w:vAlign w:val="bottom"/>
            <w:gridSpan w:val="4"/>
          </w:tcPr>
          <w:p>
            <w:pPr>
              <w:ind w:left="68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3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1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0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EPC Services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Grid</w:t>
            </w: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&lt;10%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3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&lt;10%</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88"/>
              </w:rPr>
              <w:t>18%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Inox Wind Limited</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Wind</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10%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&lt;10%</w:t>
            </w:r>
          </w:p>
        </w:tc>
        <w:tc>
          <w:tcPr>
            <w:tcW w:w="1380" w:type="dxa"/>
            <w:vAlign w:val="bottom"/>
            <w:gridSpan w:val="2"/>
          </w:tcPr>
          <w:p>
            <w:pPr>
              <w:ind w:left="660"/>
              <w:spacing w:after="0"/>
              <w:rPr>
                <w:sz w:val="20"/>
                <w:szCs w:val="20"/>
                <w:color w:val="auto"/>
              </w:rPr>
            </w:pPr>
            <w:r>
              <w:rPr>
                <w:rFonts w:ascii="Arial" w:cs="Arial" w:eastAsia="Arial" w:hAnsi="Arial"/>
                <w:sz w:val="18"/>
                <w:szCs w:val="18"/>
                <w:color w:val="auto"/>
              </w:rPr>
              <w:t>&lt;10%</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&lt;10%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7"/>
              </w:rPr>
              <w:t>Tri-State Generation and Transmission Association, Inc.</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Grid</w:t>
            </w:r>
          </w:p>
        </w:tc>
        <w:tc>
          <w:tcPr>
            <w:tcW w:w="13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&lt;10%</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Micron Technology</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Grid</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&lt;10%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&lt;10%</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&lt;10%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Reed &amp; Reed Inc.</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Grid</w:t>
            </w: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&lt;10%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3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&lt;10%</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88"/>
              </w:rPr>
              <w:t>12%</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Siemens Gamesa Renewable Energy Pty.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Grid</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&lt;10%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&lt;10%</w:t>
            </w:r>
          </w:p>
        </w:tc>
        <w:tc>
          <w:tcPr>
            <w:tcW w:w="1380" w:type="dxa"/>
            <w:vAlign w:val="bottom"/>
            <w:gridSpan w:val="2"/>
          </w:tcPr>
          <w:p>
            <w:pPr>
              <w:ind w:left="660"/>
              <w:spacing w:after="0"/>
              <w:rPr>
                <w:sz w:val="20"/>
                <w:szCs w:val="20"/>
                <w:color w:val="auto"/>
              </w:rPr>
            </w:pPr>
            <w:r>
              <w:rPr>
                <w:rFonts w:ascii="Arial" w:cs="Arial" w:eastAsia="Arial" w:hAnsi="Arial"/>
                <w:sz w:val="18"/>
                <w:szCs w:val="18"/>
                <w:color w:val="auto"/>
              </w:rPr>
              <w:t>&lt;10%</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w w:val="88"/>
              </w:rPr>
              <w:t>13%</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accounts for its stock-based compensation at fair value. The following table summarizes stock-based compensation expense by financial statement line item for the three and six months ended September 30, 2021 and 2020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ind w:left="60"/>
              <w:spacing w:after="0"/>
              <w:rPr>
                <w:sz w:val="20"/>
                <w:szCs w:val="20"/>
                <w:color w:val="auto"/>
              </w:rPr>
            </w:pPr>
            <w:r>
              <w:rPr>
                <w:rFonts w:ascii="Arial" w:cs="Arial" w:eastAsia="Arial" w:hAnsi="Arial"/>
                <w:sz w:val="18"/>
                <w:szCs w:val="18"/>
                <w:b w:val="1"/>
                <w:bCs w:val="1"/>
                <w:color w:val="auto"/>
                <w:w w:val="96"/>
              </w:rPr>
              <w:t>Six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1,101</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2,393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1,758</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issued 47,604 shares of immediately vested common stock, all of which were issued in lieu of cash bonuses, during the three months ended September 30, 2021, and 166,648 shares of immediately vested common stock, of which 158,356 shares were issued in-lieu of cash bonuses and 309,700 shares of restricted stock awards during the six months ended September 30, 2021. The Company issued 32,500 shares of restricted stock awards during the three months ended September 30, 2020, and 27,341 shares of immediately vested common stock and 688,167 shares of restricted stock awards during the six months ended September 30, 2020. These restricted stock awards generally vest over 2-3 years. Awards for restricted stock include both time-based and performance-based awards. For options and restricted stock awards that vest upon the passage of time, expense is being recorded over the vesting period. Performance-based awards are expensed over the requisite service period based on probability of achievement.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estimated fair value of the Company’s stock-based awards, less expected annual forfeitures, is amortized over the awards’ service period. The Company has no unrecognized compensation cost for unvested outstanding stock options at September 30, 2021. The total unrecognized compensation cost for unvested outstanding restricted stock was $6.8 million at September 30, 2021. This expense will be recognized over a weighted-average expense period of approximately 1.7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grant any stock options during the three and six months ended September 30, 2021 or September 30, 2020.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Computation of Net Loss per Common Share</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Basic net loss per share (“EPS”) is computed by dividing net loss by the weighted-average number of common shares outstanding for the period. Where applicable, diluted EPS is computed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Stock options and warrants that are out-of-the-money with exercise prices greater than the average market price of the underlying common shares and shares of performance-based restricted stock where the contingency was not met are excluded from the computation of diluted EPS as the effect of their inclusion would be anti-dilutive. For the three and six months ended September 30, 2021, 1.1 million shares were not included in the calculation of diluted EPS. Of these, 1.0 million relate to shares tied to the derivative liability for which the contingency has not yet been met, and 0.1 million relate to outstanding stock options as they were considered anti-dilutive. For the three and six months ended September 30, 2020, 0.1 million shares related to outstanding stock options were not included in the calculation of diluted EPS as they were considered anti-dilutive.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reconciles the numerators and denominators of the earnings per share calculation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Six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(4,434)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(9,837)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(7,129)</w:t>
            </w:r>
          </w:p>
        </w:tc>
      </w:tr>
      <w:tr>
        <w:trPr>
          <w:trHeight w:val="117"/>
        </w:trPr>
        <w:tc>
          <w:tcPr>
            <w:tcW w:w="59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611" w:right="3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Weighted-average shares of common stock outstanding</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28,360</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23,057</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28,141</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22,943</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subject to repurchase</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(1,108)</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(1,168)</w:t>
            </w:r>
          </w:p>
        </w:tc>
      </w:tr>
      <w:tr>
        <w:trPr>
          <w:trHeight w:val="20"/>
        </w:trPr>
        <w:tc>
          <w:tcPr>
            <w:tcW w:w="47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760" w:type="dxa"/>
            <w:vAlign w:val="bottom"/>
          </w:tcPr>
          <w:p>
            <w:pPr>
              <w:spacing w:after="0"/>
              <w:rPr>
                <w:sz w:val="20"/>
                <w:szCs w:val="20"/>
                <w:color w:val="auto"/>
              </w:rPr>
            </w:pPr>
            <w:r>
              <w:rPr>
                <w:rFonts w:ascii="Arial" w:cs="Arial" w:eastAsia="Arial" w:hAnsi="Arial"/>
                <w:sz w:val="18"/>
                <w:szCs w:val="18"/>
                <w:color w:val="auto"/>
              </w:rPr>
              <w:t>Shares used in per-share calculation ― basic</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27,252</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21,860</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27,040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21,775</w:t>
            </w:r>
          </w:p>
        </w:tc>
      </w:tr>
      <w:tr>
        <w:trPr>
          <w:trHeight w:val="23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 ― diluted</w:t>
            </w:r>
          </w:p>
        </w:tc>
        <w:tc>
          <w:tcPr>
            <w:tcW w:w="1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27,252</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21,860</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27,040</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21,775</w:t>
            </w: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760" w:type="dxa"/>
            <w:vAlign w:val="bottom"/>
          </w:tcPr>
          <w:p>
            <w:pPr>
              <w:spacing w:after="0" w:line="196" w:lineRule="exact"/>
              <w:rPr>
                <w:sz w:val="20"/>
                <w:szCs w:val="20"/>
                <w:color w:val="auto"/>
              </w:rPr>
            </w:pPr>
            <w:r>
              <w:rPr>
                <w:rFonts w:ascii="Arial" w:cs="Arial" w:eastAsia="Arial" w:hAnsi="Arial"/>
                <w:sz w:val="18"/>
                <w:szCs w:val="18"/>
                <w:color w:val="auto"/>
              </w:rPr>
              <w:t>Net loss per share ― basic</w:t>
            </w:r>
          </w:p>
        </w:tc>
        <w:tc>
          <w:tcPr>
            <w:tcW w:w="15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(0.16)</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(0.17)</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(0.36)</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(0.33)</w:t>
            </w:r>
          </w:p>
        </w:tc>
      </w:tr>
      <w:tr>
        <w:trPr>
          <w:trHeight w:val="20"/>
        </w:trPr>
        <w:tc>
          <w:tcPr>
            <w:tcW w:w="4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 diluted</w:t>
            </w:r>
          </w:p>
        </w:tc>
        <w:tc>
          <w:tcPr>
            <w:tcW w:w="158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(0.16)</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(0.17)</w:t>
            </w: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(0.36)</w:t>
            </w: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(0.33)</w:t>
            </w:r>
          </w:p>
        </w:tc>
      </w:tr>
      <w:tr>
        <w:trPr>
          <w:trHeight w:val="413"/>
        </w:trPr>
        <w:tc>
          <w:tcPr>
            <w:tcW w:w="476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14</w:t>
            </w: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7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6. Goodwill and Other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left="140" w:right="220" w:firstLine="486"/>
        <w:spacing w:after="0" w:line="257" w:lineRule="auto"/>
        <w:rPr>
          <w:sz w:val="20"/>
          <w:szCs w:val="20"/>
          <w:color w:val="auto"/>
        </w:rPr>
      </w:pPr>
      <w:r>
        <w:rPr>
          <w:rFonts w:ascii="Arial" w:cs="Arial" w:eastAsia="Arial" w:hAnsi="Arial"/>
          <w:sz w:val="18"/>
          <w:szCs w:val="18"/>
          <w:color w:val="auto"/>
        </w:rPr>
        <w:t>Goodwill represents the difference between the purchase price and the fair value of the identifiable tangible and intangible net assets when accounted for using the purchase method of accounting. The Company's goodwill balance relates to the Neeltran Acquisition in the current year, the NEPSI Acquisition in fiscal 2020, and the acquisition of Infinia Technology Corporation in fiscal 2017 and is reported in the Grid business segment. Goodwill is not amortized but reviewed for impairment. Goodwill is reviewed annually and whenever events or changes in circumstances indicate that the carrying value of the goodwill might not be recoverable.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620"/>
              <w:spacing w:after="0"/>
              <w:rPr>
                <w:sz w:val="20"/>
                <w:szCs w:val="20"/>
                <w:color w:val="auto"/>
              </w:rPr>
            </w:pPr>
            <w:r>
              <w:rPr>
                <w:rFonts w:ascii="Arial" w:cs="Arial" w:eastAsia="Arial" w:hAnsi="Arial"/>
                <w:sz w:val="18"/>
                <w:szCs w:val="18"/>
                <w:color w:val="auto"/>
                <w:w w:val="97"/>
              </w:rPr>
              <w:t>The following table provides a roll forward of the changes in the Company's Grid business segment goodwill balance:</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Goodwill</w:t>
            </w: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March 31, 2021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34,634</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Neeltran Acquisition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Pr>
          <w:p>
            <w:pPr>
              <w:spacing w:after="0"/>
              <w:rPr>
                <w:sz w:val="18"/>
                <w:szCs w:val="18"/>
                <w:color w:val="auto"/>
              </w:rPr>
            </w:pP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impairment loss</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680" w:type="dxa"/>
            <w:vAlign w:val="bottom"/>
          </w:tcPr>
          <w:p>
            <w:pPr>
              <w:spacing w:after="0"/>
              <w:rPr>
                <w:sz w:val="20"/>
                <w:szCs w:val="20"/>
                <w:color w:val="auto"/>
              </w:rPr>
            </w:pPr>
            <w:r>
              <w:rPr>
                <w:rFonts w:ascii="Arial" w:cs="Arial" w:eastAsia="Arial" w:hAnsi="Arial"/>
                <w:sz w:val="18"/>
                <w:szCs w:val="18"/>
                <w:color w:val="auto"/>
              </w:rPr>
              <w:t>September 30, 2021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43,471</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The Company did not identify any triggering events in the three and six months ended September 30, 2021 that would require interim impairment testing of goodwill.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at September 30, 2021 and March 31, 2021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September 30, 2021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March 31, 2021</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191"/>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Gross</w:t>
            </w: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8"/>
              </w:rPr>
              <w:t>Net Book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6"/>
                <w:szCs w:val="16"/>
                <w:color w:val="auto"/>
              </w:rPr>
            </w:pP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8"/>
              </w:rPr>
              <w:t>Net Book</w:t>
            </w: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54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Trade name</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1,800</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2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Core technology and know-how</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5,970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(3,144)</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2,826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5,970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(2,903)</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3,067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13,270</w:t>
            </w:r>
          </w:p>
        </w:tc>
        <w:tc>
          <w:tcPr>
            <w:tcW w:w="54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9,153</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Company recorded intangible amortization expense related to customer relationship and core technology and know-how of $0.6 million and $1.2 million, in the three and six months ended September 30, 2021, respectively, and $0.1 million and $0.2 million in the three and six months ended September 30, 2020, respectively. Additionally, the Company recorded intangible amortization related to backlog that is reported in cost of revenues of less than $0.1 million and $0.1 million in the three and six months ended September 30, 2021,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tcPr>
          <w:p>
            <w:pPr>
              <w:ind w:left="660"/>
              <w:spacing w:after="0"/>
              <w:rPr>
                <w:sz w:val="20"/>
                <w:szCs w:val="20"/>
                <w:color w:val="auto"/>
              </w:rPr>
            </w:pPr>
            <w:r>
              <w:rPr>
                <w:rFonts w:ascii="Arial" w:cs="Arial" w:eastAsia="Arial" w:hAnsi="Arial"/>
                <w:sz w:val="18"/>
                <w:szCs w:val="18"/>
                <w:color w:val="auto"/>
              </w:rPr>
              <w:t>Expected future amortization expense related to intangible assets is as follows (in thousands):</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40" w:type="dxa"/>
            <w:vAlign w:val="bottom"/>
          </w:tcPr>
          <w:p>
            <w:pPr>
              <w:spacing w:after="0"/>
              <w:rPr>
                <w:sz w:val="20"/>
                <w:szCs w:val="20"/>
                <w:color w:val="auto"/>
              </w:rPr>
            </w:pPr>
            <w:r>
              <w:rPr>
                <w:rFonts w:ascii="Arial" w:cs="Arial" w:eastAsia="Arial" w:hAnsi="Arial"/>
                <w:sz w:val="18"/>
                <w:szCs w:val="18"/>
                <w:b w:val="1"/>
                <w:bCs w:val="1"/>
                <w:color w:val="auto"/>
              </w:rPr>
              <w:t>Years ended March 31,</w:t>
            </w:r>
          </w:p>
        </w:tc>
        <w:tc>
          <w:tcPr>
            <w:tcW w:w="1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2023</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2,772</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2025</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Thereafter</w:t>
            </w:r>
          </w:p>
        </w:tc>
        <w:tc>
          <w:tcPr>
            <w:tcW w:w="1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18"/>
                <w:szCs w:val="18"/>
                <w:color w:val="auto"/>
              </w:rPr>
            </w:pPr>
          </w:p>
        </w:tc>
      </w:tr>
      <w:tr>
        <w:trPr>
          <w:trHeight w:val="249"/>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relate entirely to the Grid business segment operations in the United States.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29"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A valuation hierarchy for disclosure of the inputs to valuation used to measure fair value has been established. This hierarchy prioritizes the inputs into three broad levels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660" w:type="dxa"/>
            <w:vAlign w:val="bottom"/>
          </w:tcPr>
          <w:p>
            <w:pPr>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Inputs are unadjusted quoted prices in active markets for identical assets or liabilities that the Company has the ability to access at</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rPr>
              <w:t>the measurement date.</w:t>
            </w:r>
          </w:p>
        </w:tc>
      </w:tr>
      <w:tr>
        <w:trPr>
          <w:trHeight w:val="418"/>
        </w:trPr>
        <w:tc>
          <w:tcPr>
            <w:tcW w:w="660" w:type="dxa"/>
            <w:vAlign w:val="bottom"/>
          </w:tcPr>
          <w:p>
            <w:pPr>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7"/>
              </w:rPr>
              <w:t>Inputs include quoted prices for similar assets and liabilities in active markets, quoted prices for identical or similar assets or</w:t>
            </w:r>
          </w:p>
        </w:tc>
      </w:tr>
      <w:tr>
        <w:trPr>
          <w:trHeight w:val="216"/>
        </w:trPr>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liabilities in markets that are not active, inputs other than quoted prices that are observable for the asset or liability, and inputs that</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are derived principally from or corroborated by observable market data by correlation or other means (market corroborated inputs).</w:t>
            </w:r>
          </w:p>
        </w:tc>
      </w:tr>
      <w:tr>
        <w:trPr>
          <w:trHeight w:val="418"/>
        </w:trPr>
        <w:tc>
          <w:tcPr>
            <w:tcW w:w="660" w:type="dxa"/>
            <w:vAlign w:val="bottom"/>
          </w:tcPr>
          <w:p>
            <w:pPr>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Unobservable inputs that reflect the Company’s assumptions that market participants would use in pricing the asset or liability. The</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rPr>
              <w:t>Company develops these inputs based on the best information available, including its own data.</w:t>
            </w:r>
          </w:p>
        </w:tc>
      </w:tr>
    </w:tbl>
    <w:p>
      <w:pPr>
        <w:spacing w:after="0" w:line="20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The Company provides a gross presentation of activity within Level 3 measurement roll-forward and details of transfers in and out of Level 1 and 2 measurements. A change in the hierarchy of an investment from its current level is reflected in the period during which the pricing methodology of such investment changes. Disclosure of the transfer of securities from Level 1 to Level 2 or Level 3 is made in the event that the related security is significant to</w:t>
      </w:r>
    </w:p>
    <w:p>
      <w:pPr>
        <w:sectPr>
          <w:pgSz w:w="11900" w:h="16838" w:orient="portrait"/>
          <w:cols w:equalWidth="0" w:num="1">
            <w:col w:w="11320"/>
          </w:cols>
          <w:pgMar w:left="320" w:top="850" w:right="259" w:bottom="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total cash and investments. The Company did not have any transfers of assets and liabilities from Level 1, Level 2 or Level 3 of the fair value measurement hierarchy during the six months ended September 30, 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both"/>
        <w:ind w:right="20" w:firstLine="648"/>
        <w:spacing w:after="0" w:line="277"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are measured using such inputs as quoted prices and are classified within Level 1 of the valuation hierarchy. Cash equivalents consist principally of certificates of deposits and money market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Marketable securities consist of certificates of deposit that are measured using such inputs as quoted prices and are classified within Level 1 of the valuation hierarchy. The Company determines the appropriate classification of its marketable securities at the time of purchase and re-evaluates such classification as of each balance sheet date. All marketable securities are considered available for sale and are carried at fair value. Changes in fair value are recorded to other income (expense), net. The Company had no outstanding marketable securities as of September 30, 2021 and the Company recognized no change in the three and six months ended September 30, 2021. The Company recognized $0.2 million and $0.1 million in unrealized losses on marketable securities, which is recorded in other income (expense), net, for the three and six months ended September 30, 2020 and less than a $0.1 million gain which was recognized during the three and six months ended September 30, 2020 upon the sale of one of the certificates of deposit. The Company periodically reviews the realizability of each short and long term marketable security when impairment indicators exist with respect to the security. If other than temporary impairment of value of the security exists, the carrying value of the security is written down to its estimated fair value.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Contingent consideration relates to the earnout payment set forth in the NEPSI Stock Purchase Agreement that provides that the selling stockholders may receive up to an additional 1,000,000 shares of common stock of the Company upon the achievement of certain specified revenue objectives over varying periods of up to four years following the NEPSI Acquisition Date. See Note 13, "Contingent Consideration" and Note 2, “Acquisitions” for further discussion. The Company relied on a Monte Carlo method to determine the fair value of the contingent consideration on the NEPSI Acquisition Date and will continue to revalue the fair value of the contingent consideration using the same method at each subsequent balance sheet date until the contingencies are resolved and the shares to be issued are determined, with the change in fair value recorded in the current period operating loss.</w:t>
      </w:r>
    </w:p>
    <w:p>
      <w:pPr>
        <w:spacing w:after="0" w:line="19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the assets and liabilities carried at fair value on a recurring basis, measured as of September 30, 2021 and March 31, 2021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Quoted Prices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 Active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Total Carrying</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Markets (Level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1)</w:t>
            </w:r>
          </w:p>
        </w:tc>
        <w:tc>
          <w:tcPr>
            <w:tcW w:w="2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2)</w:t>
            </w:r>
          </w:p>
        </w:tc>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3)</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16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Assets: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9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20,108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98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840" w:type="dxa"/>
            <w:vAlign w:val="bottom"/>
          </w:tcPr>
          <w:p>
            <w:pPr>
              <w:ind w:left="340"/>
              <w:spacing w:after="0"/>
              <w:rPr>
                <w:sz w:val="20"/>
                <w:szCs w:val="20"/>
                <w:color w:val="auto"/>
              </w:rPr>
            </w:pPr>
            <w:r>
              <w:rPr>
                <w:rFonts w:ascii="Arial" w:cs="Arial" w:eastAsia="Arial" w:hAnsi="Arial"/>
                <w:sz w:val="18"/>
                <w:szCs w:val="18"/>
                <w:color w:val="auto"/>
              </w:rPr>
              <w:t>Contingent consideration</w:t>
            </w:r>
          </w:p>
        </w:tc>
        <w:tc>
          <w:tcPr>
            <w:tcW w:w="198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4,720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4,720</w:t>
            </w:r>
          </w:p>
        </w:tc>
      </w:tr>
      <w:tr>
        <w:trPr>
          <w:trHeight w:val="399"/>
        </w:trPr>
        <w:tc>
          <w:tcPr>
            <w:tcW w:w="3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Quoted Prices</w:t>
            </w: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 Active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Total Carrying</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Markets (Level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1)</w:t>
            </w:r>
          </w:p>
        </w:tc>
        <w:tc>
          <w:tcPr>
            <w:tcW w:w="2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2)</w:t>
            </w:r>
          </w:p>
        </w:tc>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3)</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March 31, 2021:</w:t>
            </w:r>
          </w:p>
        </w:tc>
        <w:tc>
          <w:tcPr>
            <w:tcW w:w="16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Assets: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9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54,104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54,104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98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5,140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5,140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840" w:type="dxa"/>
            <w:vAlign w:val="bottom"/>
          </w:tcPr>
          <w:p>
            <w:pPr>
              <w:ind w:left="340"/>
              <w:spacing w:after="0"/>
              <w:rPr>
                <w:sz w:val="20"/>
                <w:szCs w:val="20"/>
                <w:color w:val="auto"/>
              </w:rPr>
            </w:pPr>
            <w:r>
              <w:rPr>
                <w:rFonts w:ascii="Arial" w:cs="Arial" w:eastAsia="Arial" w:hAnsi="Arial"/>
                <w:sz w:val="18"/>
                <w:szCs w:val="18"/>
                <w:color w:val="auto"/>
              </w:rPr>
              <w:t>Contingent consideration</w:t>
            </w:r>
          </w:p>
        </w:tc>
        <w:tc>
          <w:tcPr>
            <w:tcW w:w="198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7,050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7,050</w:t>
            </w:r>
          </w:p>
        </w:tc>
      </w:tr>
      <w:tr>
        <w:trPr>
          <w:trHeight w:val="418"/>
        </w:trPr>
        <w:tc>
          <w:tcPr>
            <w:tcW w:w="3840" w:type="dxa"/>
            <w:vAlign w:val="bottom"/>
          </w:tcPr>
          <w:p>
            <w:pPr>
              <w:spacing w:after="0"/>
              <w:rPr>
                <w:sz w:val="24"/>
                <w:szCs w:val="24"/>
                <w:color w:val="auto"/>
              </w:rPr>
            </w:pPr>
          </w:p>
        </w:tc>
        <w:tc>
          <w:tcPr>
            <w:tcW w:w="1980" w:type="dxa"/>
            <w:vAlign w:val="bottom"/>
            <w:gridSpan w:val="2"/>
          </w:tcPr>
          <w:p>
            <w:pPr>
              <w:ind w:left="1700"/>
              <w:spacing w:after="0"/>
              <w:rPr>
                <w:sz w:val="20"/>
                <w:szCs w:val="20"/>
                <w:color w:val="auto"/>
              </w:rPr>
            </w:pPr>
            <w:r>
              <w:rPr>
                <w:rFonts w:ascii="Arial" w:cs="Arial" w:eastAsia="Arial" w:hAnsi="Arial"/>
                <w:sz w:val="18"/>
                <w:szCs w:val="18"/>
                <w:color w:val="auto"/>
              </w:rPr>
              <w:t>16</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9" w:name="page20"/>
    <w:bookmarkEnd w:id="19"/>
    <w:p>
      <w:pPr>
        <w:ind w:left="640"/>
        <w:spacing w:after="0"/>
        <w:rPr>
          <w:sz w:val="20"/>
          <w:szCs w:val="20"/>
          <w:color w:val="auto"/>
        </w:rPr>
      </w:pPr>
      <w:r>
        <w:rPr>
          <w:rFonts w:ascii="Arial" w:cs="Arial" w:eastAsia="Arial" w:hAnsi="Arial"/>
          <w:sz w:val="18"/>
          <w:szCs w:val="18"/>
          <w:color w:val="auto"/>
        </w:rPr>
        <w:t>The table below reflects the activity for the Company’s derivative liability measured at fair value on a recurring basis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Acquisition</w:t>
            </w:r>
          </w:p>
        </w:tc>
      </w:tr>
      <w:tr>
        <w:trPr>
          <w:trHeight w:val="216"/>
        </w:trPr>
        <w:tc>
          <w:tcPr>
            <w:tcW w:w="41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Contingent</w:t>
            </w:r>
          </w:p>
        </w:tc>
      </w:tr>
      <w:tr>
        <w:trPr>
          <w:trHeight w:val="234"/>
        </w:trPr>
        <w:tc>
          <w:tcPr>
            <w:tcW w:w="41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Consideration</w:t>
            </w:r>
          </w:p>
        </w:tc>
        <w:tc>
          <w:tcPr>
            <w:tcW w:w="100" w:type="dxa"/>
            <w:vAlign w:val="bottom"/>
          </w:tcPr>
          <w:p>
            <w:pPr>
              <w:spacing w:after="0"/>
              <w:rPr>
                <w:sz w:val="20"/>
                <w:szCs w:val="20"/>
                <w:color w:val="auto"/>
              </w:rPr>
            </w:pP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Change in fair value</w:t>
            </w: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(2,330)</w:t>
            </w:r>
          </w:p>
        </w:tc>
      </w:tr>
      <w:tr>
        <w:trPr>
          <w:trHeight w:val="250"/>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3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655"/>
        </w:trPr>
        <w:tc>
          <w:tcPr>
            <w:tcW w:w="4180" w:type="dxa"/>
            <w:vAlign w:val="bottom"/>
          </w:tcPr>
          <w:p>
            <w:pPr>
              <w:spacing w:after="0"/>
              <w:rPr>
                <w:sz w:val="20"/>
                <w:szCs w:val="20"/>
                <w:color w:val="auto"/>
              </w:rPr>
            </w:pPr>
            <w:r>
              <w:rPr>
                <w:rFonts w:ascii="Arial" w:cs="Arial" w:eastAsia="Arial" w:hAnsi="Arial"/>
                <w:sz w:val="18"/>
                <w:szCs w:val="18"/>
                <w:b w:val="1"/>
                <w:bCs w:val="1"/>
                <w:color w:val="auto"/>
              </w:rPr>
              <w:t>8. Accounts Receivable</w:t>
            </w: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180" w:type="dxa"/>
            <w:vAlign w:val="bottom"/>
          </w:tcPr>
          <w:p>
            <w:pPr>
              <w:ind w:left="660"/>
              <w:spacing w:after="0"/>
              <w:rPr>
                <w:sz w:val="20"/>
                <w:szCs w:val="20"/>
                <w:color w:val="auto"/>
              </w:rPr>
            </w:pPr>
            <w:r>
              <w:rPr>
                <w:rFonts w:ascii="Arial" w:cs="Arial" w:eastAsia="Arial" w:hAnsi="Arial"/>
                <w:sz w:val="18"/>
                <w:szCs w:val="18"/>
                <w:color w:val="auto"/>
                <w:w w:val="91"/>
              </w:rPr>
              <w:t>Accounts receivable at September 30, 2021 and</w:t>
            </w:r>
          </w:p>
        </w:tc>
        <w:tc>
          <w:tcPr>
            <w:tcW w:w="5400" w:type="dxa"/>
            <w:vAlign w:val="bottom"/>
            <w:gridSpan w:val="4"/>
          </w:tcPr>
          <w:p>
            <w:pPr>
              <w:ind w:left="40"/>
              <w:spacing w:after="0"/>
              <w:rPr>
                <w:sz w:val="20"/>
                <w:szCs w:val="20"/>
                <w:color w:val="auto"/>
              </w:rPr>
            </w:pPr>
            <w:r>
              <w:rPr>
                <w:rFonts w:ascii="Arial" w:cs="Arial" w:eastAsia="Arial" w:hAnsi="Arial"/>
                <w:sz w:val="18"/>
                <w:szCs w:val="18"/>
                <w:color w:val="auto"/>
              </w:rPr>
              <w:t>March 31, 2021 consisted of the following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1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1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0"/>
                <w:szCs w:val="20"/>
                <w:color w:val="auto"/>
              </w:rPr>
            </w:pP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(billed)</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3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5,765</w:t>
            </w:r>
          </w:p>
        </w:tc>
        <w:tc>
          <w:tcPr>
            <w:tcW w:w="100" w:type="dxa"/>
            <w:vAlign w:val="bottom"/>
          </w:tcPr>
          <w:p>
            <w:pPr>
              <w:spacing w:after="0"/>
              <w:rPr>
                <w:sz w:val="18"/>
                <w:szCs w:val="18"/>
                <w:color w:val="auto"/>
              </w:rPr>
            </w:pPr>
          </w:p>
        </w:tc>
      </w:tr>
      <w:tr>
        <w:trPr>
          <w:trHeight w:val="249"/>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net of reserves, at September 30, 2021 and March 31, 2021 consisted of the following (in thousands):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Work-in-process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Deferred program costs</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inventory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2021</w:t>
            </w:r>
          </w:p>
        </w:tc>
      </w:tr>
      <w:tr>
        <w:trPr>
          <w:trHeight w:val="195"/>
        </w:trPr>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11,396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8,255</w:t>
            </w:r>
          </w:p>
        </w:tc>
        <w:tc>
          <w:tcPr>
            <w:tcW w:w="2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7,533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3,297</w:t>
            </w:r>
          </w:p>
        </w:tc>
      </w:tr>
      <w:tr>
        <w:trPr>
          <w:trHeight w:val="216"/>
        </w:trPr>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1,815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777</w:t>
            </w:r>
          </w:p>
        </w:tc>
      </w:tr>
      <w:tr>
        <w:trPr>
          <w:trHeight w:val="230"/>
        </w:trPr>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830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977</w:t>
            </w: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21,574</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13,306</w:t>
            </w:r>
          </w:p>
        </w:tc>
        <w:tc>
          <w:tcPr>
            <w:tcW w:w="2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-719455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-445135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-162560</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220"/>
          </w:cols>
          <w:pgMar w:left="320" w:top="611" w:right="339" w:bottom="1440" w:gutter="0" w:footer="0" w:header="0"/>
          <w:type w:val="continuous"/>
        </w:sectPr>
      </w:pPr>
    </w:p>
    <w:p>
      <w:pPr>
        <w:spacing w:after="0" w:line="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recorded inventory write-downs of $0.6 million and $0.5 million for the three months ended September 30, 2021, and 2020, respectively. The Company recorded inventory write-downs of $1.2 million and $1.3 million for the six months ended September 30, 2021 and 2020, respectively. These write-downs were based on the Company's evaluation of its inventory on hand for excess quantities and obsolescence.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Deferred program costs as of September 30, 2021, and March 31, 2021, primarily represent costs incurred on programs where the Company needs to complete performance obligations before the related revenue and costs will be recognized.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10. Property, Plant and Equipment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cost and accumulated depreciation of property, plant and equipment at September 30, 2021 and March 31, 2021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 -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Land</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Equipment and software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43,714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41,652</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Finance lease - right of use asset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58,315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51,413</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(42,416)</w:t>
            </w:r>
          </w:p>
        </w:tc>
      </w:tr>
      <w:tr>
        <w:trPr>
          <w:trHeight w:val="209"/>
        </w:trPr>
        <w:tc>
          <w:tcPr>
            <w:tcW w:w="8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8,997</w:t>
            </w:r>
          </w:p>
        </w:tc>
        <w:tc>
          <w:tcPr>
            <w:tcW w:w="100" w:type="dxa"/>
            <w:vAlign w:val="bottom"/>
            <w:tcBorders>
              <w:top w:val="single" w:sz="8" w:color="CCEEFF"/>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Depreciation expense was $0.7 million and $0.9 million for the three months ended September 30, 2021 and 2020, respectively. Depreciation expense was $1.3 million and $1.8 million for the six months ended September 30, 2021 and 2020, respectively. The increase in land and building relates to the property added as part of the Neeltran Acquisition.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Accounts Payable and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at September 30, 2021 and March 31, 2021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5,353</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Accrued inventories in-transit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1,460</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Accrued other miscellaneous expenses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Advanced deposits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1,035</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7,018</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product warranty</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27,891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19,810</w:t>
            </w:r>
          </w:p>
        </w:tc>
      </w:tr>
      <w:tr>
        <w:trPr>
          <w:trHeight w:val="20"/>
        </w:trPr>
        <w:tc>
          <w:tcPr>
            <w:tcW w:w="8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660"/>
              <w:spacing w:after="0"/>
              <w:rPr>
                <w:sz w:val="20"/>
                <w:szCs w:val="20"/>
                <w:color w:val="auto"/>
              </w:rPr>
            </w:pPr>
            <w:r>
              <w:rPr>
                <w:rFonts w:ascii="Arial" w:cs="Arial" w:eastAsia="Arial" w:hAnsi="Arial"/>
                <w:sz w:val="18"/>
                <w:szCs w:val="18"/>
                <w:color w:val="auto"/>
              </w:rPr>
              <w:t>Product warranty activity was as follows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2"/>
              </w:rPr>
              <w:t>Six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2,187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Acquired warranty obligations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accruals for warranties during the period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Settlements during the period</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(460)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recorded an income tax expense of $0.2 million and income tax benefit of $1.9 million in the three and six months ended September 30, 2021, respectively. The Company recorded income tax expense of $0.2 million and $0.4 million in the three and six months ended September 30, 2020, respectively.</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result of a difference in book and tax basis related to the intangible assets acquired in the Neeltran Acquisition (see Note 2, "Acquisitions"), the Company recorded a deferred tax liability of $2.3 million. As a result, the Company was able to benefit from additional deferred tax assets and therefore released a corresponding valuation allowance of $2.3 million during the six months ended September 30, 2021. The purchase price allocation is preliminary and has not been finalized as the analysis on the assets and liabilities acquired, primarily the tax related liability, may require further adjustments to the Company's purchase accounting that could result in measurement period adjustments that would impact the Company's reported net assets and goodwill as of May 6, 2021. Material changes, if any, to the preliminary allocation summarized in Note 2, "Acquisitions" will be reported once the related uncertainties are resolved, but no later than May 6, 2022. Goodwill recognized in the Neeltran Acquisition and the NEPSI Acquisition is not deductible for tax purposes.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241" w:gutter="0" w:footer="0" w:header="0"/>
        </w:sectPr>
      </w:pPr>
    </w:p>
    <w:bookmarkStart w:id="21" w:name="page22"/>
    <w:bookmarkEnd w:id="21"/>
    <w:p>
      <w:pPr>
        <w:jc w:val="both"/>
        <w:ind w:firstLine="648"/>
        <w:spacing w:after="0" w:line="291" w:lineRule="auto"/>
        <w:rPr>
          <w:sz w:val="20"/>
          <w:szCs w:val="20"/>
          <w:color w:val="auto"/>
        </w:rPr>
      </w:pPr>
      <w:r>
        <w:rPr>
          <w:rFonts w:ascii="Arial" w:cs="Arial" w:eastAsia="Arial" w:hAnsi="Arial"/>
          <w:sz w:val="16"/>
          <w:szCs w:val="16"/>
          <w:color w:val="auto"/>
        </w:rPr>
        <w:t>Accounting for income taxes requires a two-step approach to recognizing and measuring uncertain tax positions. The first step is to evaluate the tax position for recognition by determining if, based on the technical merits, it is more likely than not the position will be sustained upon audit, including resolution of related appeals or litigation processes, if any. The second step is to measure the tax benefit as the largest amount that is more than 50% likely to be realized upon ultimate settlement. The Company re-evaluates these uncertain tax positions on a quarterly basis. The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in the six months ended September 30, 2021 and did not have any gross unrecognized tax benefits as of September 30,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Contingent Consideration</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evaluated the NEPSI Acquisition earnout payment set forth in the NEPSI Stock Purchase Agreement (see Note 2, "Acquisitions" for further details), which may require settlement in the Company's common stock, and determined the contingent consideration qualified for liability classification and derivative treatment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 a result, for each period, the fair value of the contingent consideration will be remeasured and the resulting gain or loss will be recognized in operating expenses until the share amount is fixed.</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Following is a summary of the key assumptions used in a Monte Carlo simulation to calculate the fair value of the contingent consideration related to the NEPSI Acquisition: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18"/>
                <w:szCs w:val="18"/>
                <w:color w:val="auto"/>
              </w:rPr>
            </w:pPr>
          </w:p>
        </w:tc>
        <w:tc>
          <w:tcPr>
            <w:tcW w:w="3080" w:type="dxa"/>
            <w:vAlign w:val="bottom"/>
            <w:gridSpan w:val="2"/>
          </w:tcPr>
          <w:p>
            <w:pPr>
              <w:jc w:val="center"/>
              <w:ind w:right="212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3920" w:type="dxa"/>
            <w:vAlign w:val="bottom"/>
          </w:tcPr>
          <w:p>
            <w:pPr>
              <w:spacing w:after="0"/>
              <w:rPr>
                <w:sz w:val="20"/>
                <w:szCs w:val="20"/>
                <w:color w:val="auto"/>
              </w:rPr>
            </w:pPr>
            <w:r>
              <w:rPr>
                <w:rFonts w:ascii="Arial" w:cs="Arial" w:eastAsia="Arial" w:hAnsi="Arial"/>
                <w:sz w:val="18"/>
                <w:szCs w:val="18"/>
                <w:color w:val="auto"/>
              </w:rPr>
              <w:t>Fiscal Year 2021</w:t>
            </w:r>
          </w:p>
        </w:tc>
        <w:tc>
          <w:tcPr>
            <w:tcW w:w="2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880" w:type="dxa"/>
            <w:vAlign w:val="bottom"/>
          </w:tcPr>
          <w:p>
            <w:pPr>
              <w:spacing w:after="0"/>
              <w:rPr>
                <w:sz w:val="20"/>
                <w:szCs w:val="20"/>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 risk premium</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2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jc w:val="right"/>
              <w:ind w:right="1720"/>
              <w:spacing w:after="0"/>
              <w:rPr>
                <w:sz w:val="20"/>
                <w:szCs w:val="20"/>
                <w:color w:val="auto"/>
              </w:rPr>
            </w:pPr>
            <w:r>
              <w:rPr>
                <w:rFonts w:ascii="Arial" w:cs="Arial" w:eastAsia="Arial" w:hAnsi="Arial"/>
                <w:sz w:val="18"/>
                <w:szCs w:val="18"/>
                <w:color w:val="auto"/>
              </w:rPr>
              <w:t>6.60%</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Revenue volatility</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3080" w:type="dxa"/>
            <w:vAlign w:val="bottom"/>
            <w:gridSpan w:val="2"/>
          </w:tcPr>
          <w:p>
            <w:pPr>
              <w:jc w:val="right"/>
              <w:ind w:right="1720"/>
              <w:spacing w:after="0"/>
              <w:rPr>
                <w:sz w:val="20"/>
                <w:szCs w:val="20"/>
                <w:color w:val="auto"/>
              </w:rPr>
            </w:pPr>
            <w:r>
              <w:rPr>
                <w:rFonts w:ascii="Arial" w:cs="Arial" w:eastAsia="Arial" w:hAnsi="Arial"/>
                <w:sz w:val="18"/>
                <w:szCs w:val="18"/>
                <w:color w:val="auto"/>
              </w:rPr>
              <w:t>30%</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3080" w:type="dxa"/>
            <w:vAlign w:val="bottom"/>
            <w:gridSpan w:val="2"/>
            <w:shd w:val="clear" w:color="auto" w:fill="CCEEFF"/>
          </w:tcPr>
          <w:p>
            <w:pPr>
              <w:jc w:val="right"/>
              <w:ind w:right="1880"/>
              <w:spacing w:after="0"/>
              <w:rPr>
                <w:sz w:val="20"/>
                <w:szCs w:val="20"/>
                <w:color w:val="auto"/>
              </w:rPr>
            </w:pPr>
            <w:r>
              <w:rPr>
                <w:rFonts w:ascii="Arial" w:cs="Arial" w:eastAsia="Arial" w:hAnsi="Arial"/>
                <w:sz w:val="18"/>
                <w:szCs w:val="18"/>
                <w:color w:val="auto"/>
              </w:rPr>
              <w:t>17.39</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Payment delay (days)</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3080" w:type="dxa"/>
            <w:vAlign w:val="bottom"/>
            <w:gridSpan w:val="2"/>
          </w:tcPr>
          <w:p>
            <w:pPr>
              <w:jc w:val="right"/>
              <w:ind w:right="1880"/>
              <w:spacing w:after="0"/>
              <w:rPr>
                <w:sz w:val="20"/>
                <w:szCs w:val="20"/>
                <w:color w:val="auto"/>
              </w:rPr>
            </w:pPr>
            <w:r>
              <w:rPr>
                <w:rFonts w:ascii="Arial" w:cs="Arial" w:eastAsia="Arial" w:hAnsi="Arial"/>
                <w:sz w:val="18"/>
                <w:szCs w:val="18"/>
                <w:color w:val="auto"/>
              </w:rPr>
              <w:t>80</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jc w:val="right"/>
              <w:ind w:right="1880"/>
              <w:spacing w:after="0"/>
              <w:rPr>
                <w:sz w:val="20"/>
                <w:szCs w:val="20"/>
                <w:color w:val="auto"/>
              </w:rPr>
            </w:pPr>
            <w:r>
              <w:rPr>
                <w:rFonts w:ascii="Arial" w:cs="Arial" w:eastAsia="Arial" w:hAnsi="Arial"/>
                <w:sz w:val="18"/>
                <w:szCs w:val="18"/>
                <w:color w:val="auto"/>
              </w:rPr>
              <w:t>7.2</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w w:val="93"/>
              </w:rPr>
              <w:t>March 31,</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October 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Fiscal Year 2020</w:t>
            </w:r>
          </w:p>
        </w:tc>
        <w:tc>
          <w:tcPr>
            <w:tcW w:w="2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 risk premium</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Revenue volatility</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23.42</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Payment delay (days)</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r>
    </w:tbl>
    <w:p>
      <w:pPr>
        <w:spacing w:after="0" w:line="202" w:lineRule="exact"/>
        <w:rPr>
          <w:sz w:val="20"/>
          <w:szCs w:val="20"/>
          <w:color w:val="auto"/>
        </w:rPr>
      </w:pPr>
    </w:p>
    <w:p>
      <w:pPr>
        <w:ind w:left="140" w:right="120" w:firstLine="486"/>
        <w:spacing w:after="0" w:line="277" w:lineRule="auto"/>
        <w:rPr>
          <w:sz w:val="20"/>
          <w:szCs w:val="20"/>
          <w:color w:val="auto"/>
        </w:rPr>
      </w:pPr>
      <w:r>
        <w:rPr>
          <w:rFonts w:ascii="Arial" w:cs="Arial" w:eastAsia="Arial" w:hAnsi="Arial"/>
          <w:sz w:val="18"/>
          <w:szCs w:val="18"/>
          <w:color w:val="auto"/>
        </w:rPr>
        <w:t>The Company recorded a net gain of $2.4 million and $2.3 million resulting from the decrease in the fair value of the contingent consideration in the three and six months ended September 30, 2021, respectively.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229" w:lineRule="exact"/>
        <w:rPr>
          <w:sz w:val="20"/>
          <w:szCs w:val="20"/>
          <w:color w:val="auto"/>
        </w:rPr>
      </w:pPr>
    </w:p>
    <w:p>
      <w:pPr>
        <w:jc w:val="both"/>
        <w:ind w:firstLine="775"/>
        <w:spacing w:after="0" w:line="263" w:lineRule="auto"/>
        <w:rPr>
          <w:sz w:val="20"/>
          <w:szCs w:val="20"/>
          <w:color w:val="auto"/>
        </w:rPr>
      </w:pPr>
      <w:r>
        <w:rPr>
          <w:rFonts w:ascii="Arial" w:cs="Arial" w:eastAsia="Arial" w:hAnsi="Arial"/>
          <w:sz w:val="18"/>
          <w:szCs w:val="18"/>
          <w:color w:val="auto"/>
        </w:rPr>
        <w:t>As part of the Neeltran Acquisition, the Company identified four equipment financing agreements that Neeltran had entered into prior to the acquisition on May 6, 2021. The Company determined to account for these agreements as a debt transaction and recorded current and long-term debt liabilities of $0.1 million each during the six months ended September 30, 2021.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determines whether a contract is or contains a lease at inception of a contract. The Company defines a lease as a contract, or part of a contract, that conveys the right to control the use of identified property or equipment (an identified asset) for a period of time in exchange for consideration. Control over the use of the identified asset means that the Company have both the right to obtain substantially all of the economic benefits from the use of the asset and the right to direct the use of the asset.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discount rate was calculated using an incremental borrowing rate based on an assessment prepared by the Company through the use of Company credit ratings, consideration of its lease populations potential risk to its total capital structure, and a market rate for a collateralized loan for its risk profile, calculated by a third party. The Company elected to apply the discount rate using the remaining lease term at the date of adoption for Neeltran lease contracts.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Following the Neeltran Acquisition, the Company evaluated all open Neeltran contracts at the date of the acquisition to determine if any applied under ASC 842 as Neeltran, a private company, had deferred adopting ASC 842 prior to the Neeltran Acquisition, as permitted. The Company identified nine lease contracts with terms greater than twelve months and evaluated them under ASC 842 guidance. As part of the implementation, the Company identified one lease contract that classified as a financing lease. The Company does not expect a material impact to the financial statements on an ongoing basis resulting from the adoption of the ASC 842 standard for the Neeltran business and Neeltran will follow the existing policies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one or more renewal options that</w:t>
      </w:r>
    </w:p>
    <w:p>
      <w:pPr>
        <w:sectPr>
          <w:pgSz w:w="11900" w:h="16838" w:orient="portrait"/>
          <w:cols w:equalWidth="0" w:num="1">
            <w:col w:w="11240"/>
          </w:cols>
          <w:pgMar w:left="320" w:top="611" w:right="339" w:bottom="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allow the Company, at its discretion, to renew the lease for varying periods up to five years or to terminate the lease. Only renewal options or termination rights that the Company believed were likely to be exercised were included in the lease calculations.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also enters into leases for vehicles, IT equipment and service agreements, and other leases related to its manufacturing operations that are also included in the right-of-use assets and lease liability accounts if they are for a term of longer than twelve months. However, many of these leases are either short-term in nature or immaterial. The Company has made the policy election to exclude short-term leases from the balance sheet.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b w:val="1"/>
          <w:bCs w:val="1"/>
          <w:i w:val="1"/>
          <w:iCs w:val="1"/>
          <w:color w:val="auto"/>
        </w:rPr>
        <w:t>Finance Leases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part of the adoption of ASC 842 at Neeltran, the Company identified one lease contract that is classified as a financing lease. In February 2020, Neeltran entered into a contract to lease a copy machine for an initial term of 39 months, or through May 2023. The Company concluded that the lease should be classified and accounted for as a finance lease as the total value of the lease payments are greater than fair value of the asset. Accordingly, on May 6, 2021, the Company recognized a finance lease right-of-use asset and a finance lease liability of $13.2 thousand on the Neeltran opening balance sheet. As of September 30, 2021, the right-of-use asset related to the finance lease was $10.7 thousand, net of accumulated amortization of $2.5 thousand, and is included in the property and equipment, net on the Company's consolidated balance sheet.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Finance lease right-of-use assets and lease liabilities are recognized similar to an operating lease, at the lease commencement date or the date the lessor makes the leased asset available for use. Finance lease right-of-use assets are generally amortized on a straight-line basis over the lease term, and the carrying amount of the finance lease liabilities are (1) accreted to reflect interest using the incremental borrowing rate if the rate implicit in the lease is not readily determinable, and (2) reduced to reflect lease payments made during the period. Amortization expense for finance lease right-of-use assets and interest accretion on finance lease liabilities are recorded to depreciation expense and interest expense, respectively in our consolidated statement of operations.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leases at September 30, 2021, and March 31, 2021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7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March 31, 2021</w:t>
            </w:r>
          </w:p>
        </w:tc>
      </w:tr>
      <w:tr>
        <w:trPr>
          <w:trHeight w:val="209"/>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Right-of-use assets - Financing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 Operating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3,588</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3,747</w:t>
            </w:r>
          </w:p>
        </w:tc>
      </w:tr>
      <w:tr>
        <w:trPr>
          <w:trHeight w:val="20"/>
        </w:trPr>
        <w:tc>
          <w:tcPr>
            <w:tcW w:w="79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Total right-of-use assets</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3,599</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3,747</w:t>
            </w:r>
          </w:p>
        </w:tc>
      </w:tr>
      <w:tr>
        <w:trPr>
          <w:trHeight w:val="216"/>
        </w:trPr>
        <w:tc>
          <w:tcPr>
            <w:tcW w:w="7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Lease liabilities - ST Financing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 ST Operating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Lease liabilities - LT Financing</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 LT Operating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3,007</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3,246</w:t>
            </w:r>
          </w:p>
        </w:tc>
      </w:tr>
      <w:tr>
        <w:trPr>
          <w:trHeight w:val="20"/>
        </w:trPr>
        <w:tc>
          <w:tcPr>
            <w:tcW w:w="79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3,717</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3,858</w:t>
            </w:r>
          </w:p>
        </w:tc>
      </w:tr>
      <w:tr>
        <w:trPr>
          <w:trHeight w:val="216"/>
        </w:trPr>
        <w:tc>
          <w:tcPr>
            <w:tcW w:w="7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Weighted-average remaining lease term</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5.82</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w:t>
            </w: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costs related to the Company's finance lease are not material. The costs related to the Company's operating leases for the three and six months ended September 30, 2021, and 2020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Six Months Ended</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Operating lease costs - fixed</w:t>
            </w:r>
          </w:p>
        </w:tc>
        <w:tc>
          <w:tcPr>
            <w:tcW w:w="4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 - variable</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Short-term lease costs</w:t>
            </w:r>
          </w:p>
        </w:tc>
        <w:tc>
          <w:tcPr>
            <w:tcW w:w="4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costs</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630"/>
        </w:trPr>
        <w:tc>
          <w:tcPr>
            <w:tcW w:w="39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Six Months Ended</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Operating lease costs - fixed</w:t>
            </w:r>
          </w:p>
        </w:tc>
        <w:tc>
          <w:tcPr>
            <w:tcW w:w="4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 - variable</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Short-term lease costs</w:t>
            </w:r>
          </w:p>
        </w:tc>
        <w:tc>
          <w:tcPr>
            <w:tcW w:w="4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costs</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432"/>
        </w:trPr>
        <w:tc>
          <w:tcPr>
            <w:tcW w:w="9580" w:type="dxa"/>
            <w:vAlign w:val="bottom"/>
            <w:gridSpan w:val="5"/>
          </w:tcPr>
          <w:p>
            <w:pPr>
              <w:ind w:left="660"/>
              <w:spacing w:after="0"/>
              <w:rPr>
                <w:sz w:val="20"/>
                <w:szCs w:val="20"/>
                <w:color w:val="auto"/>
              </w:rPr>
            </w:pPr>
            <w:r>
              <w:rPr>
                <w:rFonts w:ascii="Arial" w:cs="Arial" w:eastAsia="Arial" w:hAnsi="Arial"/>
                <w:sz w:val="18"/>
                <w:szCs w:val="18"/>
                <w:color w:val="auto"/>
                <w:w w:val="93"/>
              </w:rPr>
              <w:t>The Company’s estimated minimum future lease obligations under the Company's leases are as follows (in thousands):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20" w:type="dxa"/>
            <w:vAlign w:val="bottom"/>
            <w:vMerge w:val="restart"/>
          </w:tcPr>
          <w:p>
            <w:pPr>
              <w:spacing w:after="0"/>
              <w:rPr>
                <w:sz w:val="20"/>
                <w:szCs w:val="20"/>
                <w:color w:val="auto"/>
              </w:rPr>
            </w:pPr>
            <w:r>
              <w:rPr>
                <w:rFonts w:ascii="Arial" w:cs="Arial" w:eastAsia="Arial" w:hAnsi="Arial"/>
                <w:sz w:val="18"/>
                <w:szCs w:val="18"/>
                <w:color w:val="auto"/>
              </w:rPr>
              <w:t>Year ended March 31,</w:t>
            </w:r>
          </w:p>
        </w:tc>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Leases</w:t>
            </w:r>
          </w:p>
        </w:tc>
        <w:tc>
          <w:tcPr>
            <w:tcW w:w="0" w:type="dxa"/>
            <w:vAlign w:val="bottom"/>
          </w:tcPr>
          <w:p>
            <w:pPr>
              <w:spacing w:after="0"/>
              <w:rPr>
                <w:sz w:val="1"/>
                <w:szCs w:val="1"/>
                <w:color w:val="auto"/>
              </w:rPr>
            </w:pPr>
          </w:p>
        </w:tc>
      </w:tr>
      <w:tr>
        <w:trPr>
          <w:trHeight w:val="210"/>
        </w:trPr>
        <w:tc>
          <w:tcPr>
            <w:tcW w:w="3920" w:type="dxa"/>
            <w:vAlign w:val="bottom"/>
            <w:vMerge w:val="continue"/>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2023</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2025</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Thereafter</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Less: interest</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4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412"/>
        </w:trPr>
        <w:tc>
          <w:tcPr>
            <w:tcW w:w="3920" w:type="dxa"/>
            <w:vAlign w:val="bottom"/>
            <w:tcBorders>
              <w:top w:val="single" w:sz="8" w:color="CCEEFF"/>
            </w:tcBorders>
          </w:tcPr>
          <w:p>
            <w:pPr>
              <w:spacing w:after="0"/>
              <w:rPr>
                <w:sz w:val="24"/>
                <w:szCs w:val="24"/>
                <w:color w:val="auto"/>
              </w:rPr>
            </w:pPr>
          </w:p>
        </w:tc>
        <w:tc>
          <w:tcPr>
            <w:tcW w:w="4080" w:type="dxa"/>
            <w:vAlign w:val="bottom"/>
            <w:tcBorders>
              <w:top w:val="single" w:sz="8" w:color="CCEEFF"/>
            </w:tcBorders>
          </w:tcPr>
          <w:p>
            <w:pPr>
              <w:jc w:val="right"/>
              <w:ind w:right="2190"/>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
                    </a:xfrm>
                    <a:prstGeom prst="rect">
                      <a:avLst/>
                    </a:prstGeom>
                    <a:noFill/>
                  </pic:spPr>
                </pic:pic>
              </a:graphicData>
            </a:graphic>
          </wp:anchor>
        </w:drawing>
      </w:r>
    </w:p>
    <w:p>
      <w:pPr>
        <w:sectPr>
          <w:pgSz w:w="11900" w:h="16838" w:orient="portrait"/>
          <w:cols w:equalWidth="0" w:num="1">
            <w:col w:w="11240"/>
          </w:cols>
          <w:pgMar w:left="320" w:top="611" w:right="339" w:bottom="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2021, the Company had $6.2 million of restricted cash included in long-term assets and $2.3 million of restricted cash included in current assets. As of March 31, 2021, the Company had $5.6 million of restricted cash included in long term assets and $2.2 million of restricted cash included in current assets. These amounts included in restricted cash primarily represent deposits to secure letters of credit for various supply contracts and long-term projects, including the irrevocable letter of credit in the amount of $5.0 million to secure certain of the Company's obligations under a subcontract agreement with ComEd. These deposits are held in interest bearing accounts.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Business Segments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reports its financial results in two reportable business segments: Grid and Wind.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 the Company’s power grid offerings, the Grid business segment enables electric utilities, industrial facilities, and renewable energy project developers to connect, transmit and distribute power with exceptional efficiency, reliability, security and affordability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 the Company’s wind power offerings, the Wind business segment enables manufacturers to field wind turbines with exceptional power output, reliability and affordability. The Company provides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2 megawatts ("MWs") and higher. The Company provides a broad range of power electronics and software-based control systems that are highly integrated and designed for optimized performance, efficiency, and grid compatibility.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ind w:left="60"/>
              <w:spacing w:after="0"/>
              <w:rPr>
                <w:sz w:val="20"/>
                <w:szCs w:val="20"/>
                <w:color w:val="auto"/>
              </w:rPr>
            </w:pPr>
            <w:r>
              <w:rPr>
                <w:rFonts w:ascii="Arial" w:cs="Arial" w:eastAsia="Arial" w:hAnsi="Arial"/>
                <w:sz w:val="18"/>
                <w:szCs w:val="18"/>
                <w:b w:val="1"/>
                <w:bCs w:val="1"/>
                <w:color w:val="auto"/>
                <w:w w:val="96"/>
              </w:rPr>
              <w:t>Six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Grid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24,619</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16,347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48,119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34,062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8,267</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27,908</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21,117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53,328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42,329</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2"/>
              </w:rPr>
              <w:t>Six Months Ended September</w:t>
            </w:r>
          </w:p>
        </w:tc>
      </w:tr>
      <w:tr>
        <w:trPr>
          <w:trHeight w:val="234"/>
        </w:trPr>
        <w:tc>
          <w:tcPr>
            <w:tcW w:w="4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Grid</w:t>
            </w:r>
          </w:p>
        </w:tc>
        <w:tc>
          <w:tcPr>
            <w:tcW w:w="206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(5,836)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(11,180)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(2,562)</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(2,103)</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Unallocated corporate gain (expenses)</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1,329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(849)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(1,758)</w:t>
            </w:r>
          </w:p>
        </w:tc>
      </w:tr>
      <w:tr>
        <w:trPr>
          <w:trHeight w:val="20"/>
        </w:trPr>
        <w:tc>
          <w:tcPr>
            <w:tcW w:w="4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(6,423)</w:t>
            </w:r>
          </w:p>
        </w:tc>
      </w:tr>
      <w:tr>
        <w:trPr>
          <w:trHeight w:val="413"/>
        </w:trPr>
        <w:tc>
          <w:tcPr>
            <w:tcW w:w="4160" w:type="dxa"/>
            <w:vAlign w:val="bottom"/>
            <w:tcBorders>
              <w:top w:val="single" w:sz="8" w:color="CCEEFF"/>
            </w:tcBorders>
          </w:tcPr>
          <w:p>
            <w:pPr>
              <w:spacing w:after="0"/>
              <w:rPr>
                <w:sz w:val="24"/>
                <w:szCs w:val="24"/>
                <w:color w:val="auto"/>
              </w:rPr>
            </w:pPr>
          </w:p>
        </w:tc>
        <w:tc>
          <w:tcPr>
            <w:tcW w:w="182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16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0" w:right="339" w:bottom="1440" w:gutter="0" w:footer="0" w:header="0"/>
        </w:sectPr>
      </w:pPr>
    </w:p>
    <w:bookmarkStart w:id="25" w:name="page26"/>
    <w:bookmarkEnd w:id="25"/>
    <w:p>
      <w:pPr>
        <w:jc w:val="both"/>
        <w:ind w:firstLine="648"/>
        <w:spacing w:after="0" w:line="254"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loss.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Unallocated corporate expenses consist of a gain on contingent consideration of $2.4 million and $2.3 million in the three and six months ended September 30, 2021, respectively. Additionally, unallocated corporate expenses consist of stock-based compensation expense of $1.1 million and $0.8 million in the three months ended September 30, 2021, and 2020, respectively and $2.4 million and $1.8 million in the six months ended September 30, 2021 and 2020,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assets for the two business segments as of September 30, 2021, and March 31, 2021,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Grid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118,503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81,253</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Wind</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6,098</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184,373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168,866</w:t>
            </w:r>
          </w:p>
        </w:tc>
      </w:tr>
      <w:tr>
        <w:trPr>
          <w:trHeight w:val="20"/>
        </w:trPr>
        <w:tc>
          <w:tcPr>
            <w:tcW w:w="8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Recent Accounting Pronouncements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amendments in ASU 2016-13 will provide more decision-useful information about the expected credit losses on financial instruments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commitments to extend credit held by a reporting entity at each reporting date. Following the release of ASU 2019-10 in November 2019, the new effective date, as long as the Company remains a smaller reporting company, would be annual reporting periods beginning after December 15, 2022. The Company is currently evaluating the impact, if any, that the adoption of ASU 2016-13 may have on its consolidated financial statements.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amendments in ASU 2019-12 provide for simplified accounting to several income tax situations and removal of certain accounting exceptions. As of April 1, 2021, we have adopted ASU 2019-12 and noted no material impact on our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performed an evaluation of subsequent events through the time of filing this Quarterly Report on Form 10-Q with the SEC and has determined that there are no such events to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our prospective results of operations or financial position, the benefits of our acquisition of Northeast Power Systems, Inc. ("NEPSI") and Neeltran, Inc. ("Neeltran"), changes in macroeconomic and market conditions, arising from the COVID-19 pandemic, including inflation, sourcing, material delays and global supply chain disruptions and adoption of accounting changes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We have a history of operating losses, which may continue in the future. Our operating results may fluctuate significantly from quarter to quarter and may fall below expectations in any particular fiscal quarter; We have a history of negative operating cash flows, and we may require additional financing in the future, which may not be available to us; We may be required to issue performance bonds or provide letters of credit, which restricts our ability to access any cash used as collateral for the bonds or letters of credit; Changes in exchange rates could adversely affect our results of operations; If we fail to maintain proper and effective internal control over financial reporting, our ability to produce accurate and timely financial statements could be impaired and may lead investors and other users to lose confidence in our financial data; We may not realize all of the sales expected from our backlog of orders and contracts;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The “COVID-19” pandemic could adversely impact our business, financial condition and results of operations; Changes in U.S. government defense spending could negatively impact our financial position, results of operations, liquidity, and overall business. We rely on third-party suppliers for components and subassemblies of many of our Grid and Wind products, making us vulnerable to supply shortages and price fluctuations, which could harm our business; Uncertainty surrounding our prospects and financial condition may have an adverse effect on our customer and supplier relationships; We may experience difficulties re-establishing our HTS wire production capability in our Ayer, Massachusetts facility; Our success is dependent upon attracting and retaining qualified personnel and our inability to do so could significantly damage our business and prospects; Historically, a significant portion of our revenues have been derived from a single customer and if this customer’s business is negatively affected, it could adversely impact our business; Our success in addressing the wind energy market is dependent on the manufacturers that license our designs; Our business and operations would be adversely impacted in the event of a failure or security breach of our information technology infrastructure; Failure to comply with evolving data privacy and data protection laws and regulations or to otherwise protect personal data, may adversely impact our business and financial results;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and our failure to more broadly market and sell our products and solutions could lower our revenue and cash flow; We may acquire additional complementary businesses or technologies, which may require us to incur substantial costs for which we may never realize the anticipated benefits, such as in connection with our acquisition of NEPSI and Neeltran; Our success depends upon the commercial adoption of the REG system, which is currently limited, and a widespread commercial market for our products may not develop; Adverse changes in domestic and global economic conditions could adversely affect our operating results; 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 Our products face competition, which could limit our ability to acquire or retain customers; Our international operations are subject to risks that we do not face in the United States, which could have an adverse effect on our operating results; Growth of the wind energy market depends largely on the availability and size of government subsidies, economic incentives and legislative programs designed to support the growth of wind energy; Lower prices for other fuel sources may reduce the demand for wind energy development, which could have a material adverse effect on our ability to grow our Wind business; We may be unable to adequately prevent disclosure of trade secrets and other proprietary information; Our patents may not provide meaningful protection for our technology, which could result in us losing some or all of our market position; We face risks related to our technologies; We face risks related to our legal proceedings; We face risks related to our common stock; and the important factors discussed under the caption "Risk Factors" in Part 1. Item 1A of our Form 10-K for the fiscal year ended March 31, 2021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American Superconductor®, Amperium®, AMSC®, D-VAR®, PowerModule™, </w:t>
      </w:r>
      <w:r>
        <w:rPr>
          <w:rFonts w:ascii="Arial" w:cs="Arial" w:eastAsia="Arial" w:hAnsi="Arial"/>
          <w:sz w:val="18"/>
          <w:szCs w:val="18"/>
          <w:i w:val="1"/>
          <w:iCs w:val="1"/>
          <w:color w:val="auto"/>
        </w:rPr>
        <w:t>D-VAR VVO®,</w:t>
      </w:r>
      <w:r>
        <w:rPr>
          <w:rFonts w:ascii="Arial" w:cs="Arial" w:eastAsia="Arial" w:hAnsi="Arial"/>
          <w:sz w:val="18"/>
          <w:szCs w:val="18"/>
          <w:color w:val="auto"/>
        </w:rPr>
        <w:t xml:space="preserve"> PQ-IVR®, SeaTitan®, Gridtec™ Solutions, Windtec™ Solutions, Smarter, Cleaner...Better Energy™, Orchestrate the Rhythm and Harmony of Power on the Grid™, actiVAR®, armorVAR™, NEPSI™ and Neeltran™ are trademarks or registered trademarks of American Superconductor Corporation or our subsidiaries. We reserve all of our rights with respect to our trademarks or registered trademarks regardless of whether they are so designated in this Quarterly Report on Form 10-Q by an ® or ™ symbol. All other brand names, product names, trademarks or service marks appearing in this Quarterly Report on Form 10-Q are the property of their respective 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457" w:gutter="0" w:footer="0" w:header="0"/>
        </w:sectPr>
      </w:pPr>
    </w:p>
    <w:bookmarkStart w:id="27" w:name="page28"/>
    <w:bookmarkEnd w:id="27"/>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leading system provider of megawatt-scale resiliency solutions that orchestrate the rhythm and harmony of power on the grid™, and that protect and expand the capability of the U.S. Navy's fleet.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on-board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manufacture products using two proprietary core technologies: PowerModule™ programmable power electronic converters and our Amperium® high temperature superconductor (“HTS”) wires. These technologies and our system-level solutions are protected by a broad and deep intellectual property portfolio consisting of hundreds of patents and licenses worldwide.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operate our business under two market-facing business units: Grid and Wind. We believe this market-centric structure enables us to more effectively anticipate and meet the needs of the U.S. Navy, electric utilities, industrial facilities, power generation project developers and wind turbine manufacturers.</w:t>
      </w:r>
    </w:p>
    <w:p>
      <w:pPr>
        <w:spacing w:after="0" w:line="184" w:lineRule="exact"/>
        <w:rPr>
          <w:sz w:val="20"/>
          <w:szCs w:val="20"/>
          <w:color w:val="auto"/>
        </w:rPr>
      </w:pPr>
    </w:p>
    <w:p>
      <w:pPr>
        <w:jc w:val="both"/>
        <w:ind w:left="780" w:hanging="232"/>
        <w:spacing w:after="0" w:line="255"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Grid. </w:t>
      </w:r>
      <w:r>
        <w:rPr>
          <w:rFonts w:ascii="Arial" w:cs="Arial" w:eastAsia="Arial" w:hAnsi="Arial"/>
          <w:sz w:val="18"/>
          <w:szCs w:val="18"/>
          <w:color w:val="auto"/>
        </w:rPr>
        <w:t>Through our Gridtec™ Solutions, our Grid business segment enables electric utilities, industrial facilities and renewable energy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developers to 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p>
      <w:pPr>
        <w:spacing w:after="0" w:line="259" w:lineRule="exact"/>
        <w:rPr>
          <w:rFonts w:ascii="Arial" w:cs="Arial" w:eastAsia="Arial" w:hAnsi="Arial"/>
          <w:sz w:val="18"/>
          <w:szCs w:val="18"/>
          <w:color w:val="auto"/>
        </w:rPr>
      </w:pPr>
    </w:p>
    <w:p>
      <w:pPr>
        <w:jc w:val="both"/>
        <w:ind w:left="800" w:hanging="252"/>
        <w:spacing w:after="0" w:line="275"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Wind. </w:t>
      </w:r>
      <w:r>
        <w:rPr>
          <w:rFonts w:ascii="Arial" w:cs="Arial" w:eastAsia="Arial" w:hAnsi="Arial"/>
          <w:sz w:val="17"/>
          <w:szCs w:val="17"/>
          <w:color w:val="auto"/>
        </w:rPr>
        <w:t>Through our Windtec™ Solutions, our Wind business segment enables manufacturers to field wind turbines with exceptional power</w:t>
      </w:r>
      <w:r>
        <w:rPr>
          <w:rFonts w:ascii="Arial" w:cs="Arial" w:eastAsia="Arial" w:hAnsi="Arial"/>
          <w:sz w:val="17"/>
          <w:szCs w:val="17"/>
          <w:i w:val="1"/>
          <w:iCs w:val="1"/>
          <w:color w:val="auto"/>
        </w:rPr>
        <w:t xml:space="preserve"> </w:t>
      </w:r>
      <w:r>
        <w:rPr>
          <w:rFonts w:ascii="Arial" w:cs="Arial" w:eastAsia="Arial" w:hAnsi="Arial"/>
          <w:sz w:val="17"/>
          <w:szCs w:val="17"/>
          <w:color w:val="auto"/>
        </w:rPr>
        <w:t>output, reliability and affordability. We supply advanced power electronics and control systems, license our highly engineered wind turbine designs, and provide extensive customer support services to wind turbine manufacturers. Our design portfolio includes a broad range of drive trains and power ratings of 2 megawatts (“MW”) and higher. We provide a broad range of power electronics and software-based control systems that are highly integrated and designed for optimized performance, efficiency, and grid compatibility.</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fiscal year begins on April 1 and ends on March 31. When we refer to a particular fiscal year, we are referring to the fiscal year that began on April 1 of that same year. For example, fiscal 2021 refers to the fiscal year that began on April 1, 2021. Other fiscal years follow similarly.</w:t>
      </w:r>
    </w:p>
    <w:p>
      <w:pPr>
        <w:spacing w:after="0" w:line="14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On October 31, 2018, we entered into a Subcontract Agreement with Commonwealth Edison Company (“ComEd”) (the “Subcontract Agreement”) for the manufacture and installation of the Company’s REG system within ComEd’s electric grid in Chicago, Illinois (the “Project”). As provided in the Subcontract Agreement, the Subcontract Agreement became effective upon the signing of an amendment by us and the U.S. Department of Homeland Security (“DHS”) to the existing contract (the “Prime Contract”) between us and DHS on June 20, 2019. Unless terminated earlier by us, ComEd or DHS according to the terms of the Subcontract Agreement, the term of the Subcontract Agreement will continue until we complete our warranty obligations under the Subcontract Agreement. Under the terms of the Subcontract Agreement, we have agreed, among other things, to provide the REG system and to supervise ComEd’s installation of the REG system in Chicago. As part of our separate cost sharing arrangement with DHS under the Prime Contract, we expect funding provided by DHS in connection with the Subcontract Agreement to be between $9.0 to $11.0 million, which represents the total amount of revenue we are expected to recognize over the term of the Subcontract Agreement and includes up to $1.0 million that we have agreed to reimburse ComEd for costs incurred by ComEd while undertaking its tasks under the Subcontract Agreement (the “Reimbursement Amount”). In addition, we are required to deliver an irrevocable letter of credit in the amount of $5.0 million to secure certain Company obligations under the Subcontract Agreement, which we have done, and deposited $5.0 million in an escrow account as collateral to secure such letter of credit. ComEd has agreed to provide the site and provide all civil engineering work required to support the installation, operation and integration of the REG system into ComEd’s electric grid. Other than the Reimbursement Amount, ComEd is responsible for its own costs and expenses. DHS’s approval to commence with construction was obtained on June 20, 2019. Substation work on the project began in late 2019 and we successfully integrated the REG system on Com Ed's electric power grid and the REG system became fully operational in August 2021. The REG system was placed into operation during the three months ended September 30, 2021.</w:t>
      </w:r>
    </w:p>
    <w:p>
      <w:pPr>
        <w:spacing w:after="0" w:line="19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October 1, 2020, we entered into a Stock Purchase Agreement (the “NEPSI Stock Purchase Agreement”) with the selling stockholders named therein. Pursuant to the terms of the NEPSI Stock Purchase Agreement and concurrently with entering into such agreement, we acquired all of the issued and outstanding (i) shares of capital stock of Northeast Power Systems, Inc., a New York corporation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As a result of this transaction, NEPSI became a wholly-owned subsidiary and is operated by our Grid business segment.</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NEPSI purchase price was $26.0 million in cash on hand, including cash from the settlement of our $25 million certificate of deposit during the three months ended September 30, 2020, and 873,657 restricted shares of our common stock. As part of the transaction, in the future, the selling stockholders may receive up to an additional 1,000,000 million restricted shares of our common stock upon the achievement of certain specified future revenue objectives during varying periods of up to four years after the closing.</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6, 2021, we acquired all of the issued and outstanding shares of capital stock of (i) Neeltran, Inc. a Connecticut corporation ("Neeltran") that supplies rectifiers and transformers to industrial customers, and (ii) Neeltran International, Inc., a Connecticut corporation (“International”), as well as the real property that served as Neeltran’s headquarters ("the Neeltran Acquisition"). For additional information, see “Liquidity and Capital Resources” below.</w:t>
      </w:r>
    </w:p>
    <w:p>
      <w:pPr>
        <w:sectPr>
          <w:pgSz w:w="11900" w:h="16866" w:orient="portrait"/>
          <w:cols w:equalWidth="0" w:num="1">
            <w:col w:w="11240"/>
          </w:cols>
          <w:pgMar w:left="320" w:top="584" w:right="339" w:bottom="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29" w:name="page30"/>
    <w:bookmarkEnd w:id="29"/>
    <w:p>
      <w:pPr>
        <w:spacing w:after="0" w:line="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2020, COVID-19 was declared a pandemic and spread throughout the globe, including in the Commonwealth of Massachusetts where our headquarters are located, and in other areas where we have business operations. In response to the pandemic, we have followed the guidelines of the U.S. Centers for Disease Control and Prevention (“CDC”) and applicable state government authorities to protect the health and safety of our employees, their families, our suppliers, our customers and our communities. While these measures and, COVID-19 generally, have not materially disrupted our business to date, any future actions necessitated by the COVID-19 pandemic may result in disruption to our business.</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COVID-19 pandemic continues to rapidly evolve. We are starting to experience inflation pressure in our supply chain and some delays in sourcing materials needed for our products which has increased our cost of revenues and decreased gross margin. The extent to which the outbreak impacts our business, liquidity, results of operations and financial condition will depend on future developments, which are highly uncertain and cannot be predicted with confidence, including the continued geographic spread of the disease, the duration of the pandemic, the location, duration and magnitude of future waves of infection, new variants of the virus, availability and adoption of vaccines and treatments, effectiveness of vaccines against the virus and its mutations, travel restrictions and social distancing in the United States, the European Union, India and other countries, the duration and extent of business closures or business disruptions including global supply chain disruptions and the effectiveness of actions taken to contain and treat the disease. Changes in macroeconomic and market conditions arising from the COVID-19 pandemic, including inflation, sourcing, material delays and global supply chain disruptions could have a material adverse effect on our business financial condition and results of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critical accounting policies that were disclosed in our Form 10-K for the fiscal year ended March 31,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September 30, 2021, compared to the three and six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revenues increased 32% and 26% to $27.9 million and $53.3 million for the three and six months ended September 30, 2021, respectively, compared to $21.1 million and $42.3 million for the three and six months ended September 30, 2020, respectively. Our revenues are summarized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ind w:left="60"/>
              <w:spacing w:after="0"/>
              <w:rPr>
                <w:sz w:val="20"/>
                <w:szCs w:val="20"/>
                <w:color w:val="auto"/>
              </w:rPr>
            </w:pPr>
            <w:r>
              <w:rPr>
                <w:rFonts w:ascii="Arial" w:cs="Arial" w:eastAsia="Arial" w:hAnsi="Arial"/>
                <w:sz w:val="18"/>
                <w:szCs w:val="18"/>
                <w:b w:val="1"/>
                <w:bCs w:val="1"/>
                <w:color w:val="auto"/>
                <w:w w:val="96"/>
              </w:rPr>
              <w:t>Six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Grid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24,619</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16,347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48,119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34,062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8,267</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27,908</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21,117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53,328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42,329</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Grid business unit accounted for 88% and 90% of total revenues for the three and six months ended September 30, 2021, respectively, compared to 77% and 80% for the three and six months ended September 30, 2020, respectively. Our Grid business unit revenues increased 51% and 41% to $24.6 million and $48.1 million in the three and six months ended September 30, 2021, respectively, from $16.3 million and $34.1 million in the three and six months ended September 30, 2020, respectively. The increase in the Grid business unit revenue in the three and six months ended September 30, 2021, was primarily driven by the contributions from the acquisitions of NEPSI and Neeltran.</w:t>
      </w:r>
    </w:p>
    <w:p>
      <w:pPr>
        <w:spacing w:after="0" w:line="17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Our Wind business unit accounted for 12% and 10% of total revenues for the three and six months ended September 30, 2021, respectively, compared to 23% and 20% for the three and six months ended September 30, 2020, respectively. Revenues in the Wind business unit decreased 31% and 37% to $3.3 million and $5.2 million in the three and six months ended September 30, 2021, from $4.8 million and $8.3 million in the three and six months ended September 30, 2020. The decrease in the three and six months ended September 30, 2021, was driven by shipments of electrical control systems ("ECS") to Doosan in the three and six months ended September 30, 2020 with no similar shipments in the current year period. Inox, historically one of the largest customers of our Wind business unit has had and may in the future have its ability to perform under our ECS supply contract hampered by the prolonged impacts of the COVID-19 pandemic. Inox has been active in the new central and state government auction regime in India and has a cumulative order book of over 1.4 GW. We are parties to a technology transfer &amp; license agreement dated as of April 17, 2009, as amended (the “2009 TTLA”) with Inox for a 2 MW class wind turbine, the manufacture of which requires our ECS. On July 21, 2021, we sent written notice to Inox notifying Inox of its default under the 2009 TTLA due to Inox’s failure to pay royalties for commissioned 2 MW wind turbines in the amount of €0.7 million that Inox is obligated to pay under the terms of the 2009 TTLA. Inox subsequently paid the royalties during the cure period. If Inox in the future fails to pay such royalties in accordance with the terms of the 2009 TTLA within the thirty working day cure period after receipt of the default notice, then we may terminate the 2009 TTLA by providing written notice of such termination to Inox. We cannot predict if and when Inox will pay royalties due and payable under the 2009 TTLA in the future. In the event we were to terminate the 2009 TTLA in connection with Inox's failure to pay royalties under such agreement, Inox would no longer be able to manufacture 2 MW wind turbines, likely result in a decrease in Inox’s demand for our ECS and our revenues and liquidity could be impacted. We cannot predict if and how successful Inox will be in executing on these orders or in obtaining new orders under the new central and state auction regime. Any failure by Inox to succeed under this regime, or any delay in Inox’s ability to deliver its wind turbines, could result in fewer ECS shipments to Inox.</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Cost of revenues increased by 58% and 47% to $24.6 million and $46.7 million for the three and six months ended September 30, 2021, compared to $15.6 million and $31.8 million for the three and six months ended September 30, 2020. Gross margin was 12% and 13% for the three and six months ended September 30, 2021, compared to 26% and 25% for the three and six months ended September 30, 2020. The decrease in gross margin in the three and six months ended September 30, 2021, was due to an unfavorable product mix, higher raw materials cost and additional costs related to purchase</w:t>
      </w:r>
    </w:p>
    <w:p>
      <w:pPr>
        <w:sectPr>
          <w:pgSz w:w="11900" w:h="16909" w:orient="portrait"/>
          <w:cols w:equalWidth="0" w:num="1">
            <w:col w:w="11240"/>
          </w:cols>
          <w:pgMar w:left="320" w:top="584" w:right="339" w:bottom="0" w:gutter="0" w:footer="0" w:header="0"/>
        </w:sectPr>
      </w:pPr>
    </w:p>
    <w:bookmarkStart w:id="30" w:name="page31"/>
    <w:bookmarkEnd w:id="30"/>
    <w:p>
      <w:pPr>
        <w:jc w:val="both"/>
        <w:spacing w:after="0" w:line="279" w:lineRule="auto"/>
        <w:rPr>
          <w:sz w:val="20"/>
          <w:szCs w:val="20"/>
          <w:color w:val="auto"/>
        </w:rPr>
      </w:pPr>
      <w:r>
        <w:rPr>
          <w:rFonts w:ascii="Arial" w:cs="Arial" w:eastAsia="Arial" w:hAnsi="Arial"/>
          <w:sz w:val="17"/>
          <w:szCs w:val="17"/>
          <w:color w:val="auto"/>
        </w:rPr>
        <w:t>accounting adjustments associated with the Neeltran Acquisition. Cost of revenues includes total amortization expense of less than $0.1 million and $0.1 million in the three and six months ended September 30, 2021 as a result of each of the NEPSI and Neeltran acquired backlog intangible assets. In addition, a fair value purchase adjustment of approximately $0.3 million and $0.6 million for the step-up basis assigned to acquired inventory, to properly reflect the fair value in purchase accounting, was charged to cost of revenues in the three and six months ended September 30,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("R&amp;D") expense remained relatively flat at $2.7 million in the three months ended September 30, 2021 and September 30, 2020, respectively. The slight decrease in R&amp;D expense was due to higher overall compensation expense and less allocation of expenses to cost of goods sold for revenue generating projects in the three months ended September 30, 2020, compared to the three months ended September 30, 2021. Research and development expenses increased 9% in the six months ended September 30, 2021 to $5.7 million from $5.2 million in the six months ended September 30, 2020. The increase in R&amp;D expense in the six month period was due to less allocation of expenses to cost of goods sold for revenue generating projects.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Selling, general and administrative ("SG&amp;A") expenses increased 14% in the three months ended September 30, 2021, to $6.7 million from $5.9 million in the three months ended September 30, 2020. The increase in SG&amp;A expense in the three months ended September 30, 2021 was due to higher overall compensation expense due to the additions of NEPSI and Neeltran, as well as higher stock compensation expense than in the prior year period. Selling, general and administrative expenses increased 20% to $13.8 million in the six months ended September 30, 2021 compared to $11.5 million in the six months ended September 30, 2020. The increase in SG&amp;A expense in the six months ended September 30, 2021 was due to higher overall compensation expense due to the additions of NEPSI and Neeltran than in the prior year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recorded amortization expense related to our core technology and know-how, customer relationships, and other intangible assets of $0.6 million and $1.2 million in the three and six months ended September 30, 2021, respectively, and $0.1 million and $0.2 million in the three and six months ended September 30, 2020, respectively. The increase in amortization expense is primarily a result of the acquisitions of NEPSI and Neeltran.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25" w:lineRule="exact"/>
        <w:rPr>
          <w:sz w:val="20"/>
          <w:szCs w:val="20"/>
          <w:color w:val="auto"/>
        </w:rPr>
      </w:pPr>
    </w:p>
    <w:p>
      <w:pPr>
        <w:jc w:val="both"/>
        <w:ind w:left="140" w:right="140" w:firstLine="499"/>
        <w:spacing w:after="0" w:line="263" w:lineRule="auto"/>
        <w:rPr>
          <w:sz w:val="20"/>
          <w:szCs w:val="20"/>
          <w:color w:val="auto"/>
        </w:rPr>
      </w:pPr>
      <w:r>
        <w:rPr>
          <w:rFonts w:ascii="Arial" w:cs="Arial" w:eastAsia="Arial" w:hAnsi="Arial"/>
          <w:sz w:val="18"/>
          <w:szCs w:val="18"/>
          <w:color w:val="auto"/>
        </w:rPr>
        <w:t>The change in fair value of our contingent consideration for the earnout payment on the NEPSI Acquisition resulted in a gain of $2.4 million and $2.3 million in the three and six months ended September 30, 2021. The change in the fair value was primarily driven by a decreased likelihood of achieving certain revenue targets.</w:t>
      </w:r>
    </w:p>
    <w:p>
      <w:pPr>
        <w:sectPr>
          <w:pgSz w:w="11900" w:h="16838" w:orient="portrait"/>
          <w:cols w:equalWidth="0" w:num="1">
            <w:col w:w="11240"/>
          </w:cols>
          <w:pgMar w:left="320" w:top="584"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Our operating loss is summarized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Unallocated corporate expenses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0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Six Months Ended September</w:t>
            </w:r>
          </w:p>
        </w:tc>
      </w:tr>
      <w:tr>
        <w:trPr>
          <w:trHeight w:val="234"/>
        </w:trPr>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r>
      <w:tr>
        <w:trPr>
          <w:trHeight w:val="41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(5,836)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(11,180)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w w:val="91"/>
              </w:rPr>
              <w:t>(2,562)</w:t>
            </w: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(983)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(558)</w:t>
            </w:r>
          </w:p>
        </w:tc>
        <w:tc>
          <w:tcPr>
            <w:tcW w:w="24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w w:val="91"/>
              </w:rPr>
              <w:t>(2,103)</w:t>
            </w:r>
          </w:p>
        </w:tc>
      </w:tr>
      <w:tr>
        <w:trPr>
          <w:trHeight w:val="230"/>
        </w:trPr>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(849)</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0"/>
                <w:szCs w:val="20"/>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w w:val="91"/>
              </w:rPr>
              <w:t>(1,758)</w:t>
            </w:r>
          </w:p>
        </w:tc>
      </w:tr>
      <w:tr>
        <w:trPr>
          <w:trHeight w:val="210"/>
        </w:trPr>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(4,302)</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(3,206)</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0"/>
              </w:rPr>
              <w:t>(6,423)</w:t>
            </w:r>
          </w:p>
        </w:tc>
        <w:tc>
          <w:tcPr>
            <w:tcW w:w="6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584" w:right="339" w:bottom="1440" w:gutter="0" w:footer="0" w:header="0"/>
          <w:type w:val="continuous"/>
        </w:sectPr>
      </w:pPr>
    </w:p>
    <w:p>
      <w:pPr>
        <w:spacing w:after="0" w:line="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Grid business segment generated operating losses of $5.8 million and $11.1 million in the three and six months ended September 30, 2021, compared to $1.4 million and $2.6 million in the three and six months ended September 30, 2020. The increase in the Grid business unit operating loss in the three and six months ended September 30, 2021, was due to a less favorable product mix and the impact of the purchase accounting adjustments recorded as part of the Neeltran Acquisition including the inventory step up charge noted above and an adjustment which reduced revenue by $0.6 million less than the contract value, to recognize the fair value adjustment related to the acquired customer deposits, in order to properly reflect pre-acquisition activities.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Wind business segment generated an operating profit of $0.2 million and an operating loss of $0.6 million in the three and six months ended September 30, 2021, compared to operating losses of $1.0 million and $2.1 million in the three and six months ended September 30, 2020. The decrease in the Wind business unit operating loss in the three and six month periods was due to reduced manufacturing overhead associated with consolidating wind manufacturing into our Ayer manufacturing facility in Massachusetts.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Unallocated corporate expenses consist of a gain on contingent consideration of $2.4 million and $2.3 million in the three and six months ended September 30, 2021. Additionally, unallocated corporate expenses primarily consisted of stock-based compensation expense of $1.1 million and $0.8 million in the three months ended September 30, 2021 and 2020, respectively and $2.4 million and $1.8 million in the six months ended September 30, 2021 and 2020,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income, net, was less than $0.1 million and $0.1 million in the three and six months ended September 30, 2021, compared to $0.2 million and $0.3 million in the three and six months ended September 30, 2020. The decrease in interest income in the three and six months ended September 30, 2021 was related to a lower cash balance earning lower interest rates than in the prior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Other income, net was less than $0.1 million and other expense, net was less than $0.1 million in the three and six months ended September 30, 2021, compared to other expense, net of $0.5 million and $0.6 million in the three and six months ended September 30, 2020. The decrease in other expense during both periods was driven by the impacts of favorable fluctuations in foreign currencies during the respective period.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expense was $0.2 million in the three months ended September 30, 2021 and income tax benefit was $1.9 million in the six months ended September 30, 2021. Income tax expense was $0.2 million and $0.4 million in the three and six months ended September 30, 2020. The decrease in income tax expense is a result of the release of the valuation allowance to offset the recording of the deferred tax liability from the Neeltran Acquisition in the six months ended September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loss was $4.4 million and $9.8 million in the three and six months ended September 30, 2021, compared to $3.7 million and $7.1 million in the three and six months ended September 30, 2020. The increase in net loss was driven by lower gross margin and higher operating expenses primarily due to acquisition costs and purchase accounting adjustments in the three and six months ended September 30,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 - Non-GAAP Net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10-Q, however, should be considered in addition to, and not as a substitute for or superior to the comparable measures prepared in accordance with GAAP.</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define non-GAAP net loss as net loss before stock-based compensation, amortization of acquisition-related intangibles, change in fair value of contingent consideration, acquisition costs, and other non-cash or unusual charges. We believe non-GAAP net loss assists management and investors in comparing our performance across reporting periods on a consistent basis by excluding these non-cash charges and other items that we do not believe are indicative of our core operating performance. In addition, we use non-GAAP net loss as a factor to evaluate the effectiveness of our business strategies. A reconciliation of GAAP to non-GAAP net loss is set forth in the table below (in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2"/>
              </w:rPr>
              <w:t>Six Months Ended September</w:t>
            </w: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2,393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1,758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acquisition-related intangibles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(2,330)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Non-GAAP net loss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(5,103)</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(7,804)</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(5,129)</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Non-GAAP net loss per share - basic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 - basic</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27,252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21,860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27,040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21,775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incurred non-GAAP net losses of $5.1 million and $7.8 million or $0.19 and $0.29 per share, for the three and six months ended September 30, 2021, compared to $2.7 million and $5.1 million, or $0.13 and $0.24 per share, for the three and six months ended September 30, 2020. The increase in the non-GAAP net loss for the three and six months ended September 30, 2021 was due to a higher operating loss driven by lower gross margin and higher operating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experienced recurring operating losses, and as of September 30, 2021, had an accumulated deficit of $1,011.1 million.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cash requirements depend on numerous factors, including the successful completion of our product development activities, our ability to commercialize our REG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expect to reduce our operating and capital spending to enhance liquidity.</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2021, we filed a shelf registration statement on Form S-3 that will expire in February 2024 (the “Form S-3”). The Form S-3 allows us to offer and sell from time-to-time up to $250 million of common stock, debt securities, warrants or units comprised of any combination of these securities. The Form S-3 is intended to provide us flexibility to conduct registered sales of our securities, subject to market conditions, in order to fund our future capital needs. The terms of any future offering under the Form S-3 will be established at the time of such offering and will be described in a prospectus supplement filed with the SEC prior to the completion of any such offering.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described above, on May 6, 2021, we acquired all of the issued and outstanding shares of capital stock of (i) Neeltran and (ii) International, for:</w:t>
      </w:r>
    </w:p>
    <w:p>
      <w:pPr>
        <w:spacing w:after="0" w:line="46" w:lineRule="exact"/>
        <w:rPr>
          <w:sz w:val="20"/>
          <w:szCs w:val="20"/>
          <w:color w:val="auto"/>
        </w:rPr>
      </w:pPr>
    </w:p>
    <w:p>
      <w:pPr>
        <w:ind w:right="20" w:firstLine="8"/>
        <w:spacing w:after="0" w:line="260" w:lineRule="auto"/>
        <w:tabs>
          <w:tab w:leader="none" w:pos="253" w:val="left"/>
        </w:tabs>
        <w:numPr>
          <w:ilvl w:val="0"/>
          <w:numId w:val="4"/>
        </w:numPr>
        <w:rPr>
          <w:rFonts w:ascii="Arial" w:cs="Arial" w:eastAsia="Arial" w:hAnsi="Arial"/>
          <w:sz w:val="18"/>
          <w:szCs w:val="18"/>
          <w:color w:val="auto"/>
        </w:rPr>
      </w:pPr>
      <w:r>
        <w:rPr>
          <w:rFonts w:ascii="Arial" w:cs="Arial" w:eastAsia="Arial" w:hAnsi="Arial"/>
          <w:sz w:val="18"/>
          <w:szCs w:val="18"/>
          <w:color w:val="auto"/>
        </w:rPr>
        <w:t>$1.0 million in cash, and (b) 301,556 shares of the Company’s common stock, which were paid and issued to the selling stockholders of Neeltran. We also paid $1.1 million to the selling stockholders of International at closing to pay off previous loans made by them to Neeltran.</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Also on May 6, 2021, our wholly-owned Connecticut limited liability company, AMSC Husky LLC, purchased the real property that served as Neeltran’s headquarters for $4.3 million, of which (a) $2.4 million was paid in immediately available funds by AMSC Husky to the owners of such real property, and (b) $1.9 million was paid directly to TD Bank as full payment for the outstanding indebtedness secured by the mortgage on such real property. In addition to the amount paid to discharge the mortgage, we paid approximately $5.7 million directly to other Neeltran lenders at closing to extinguish outstanding Neeltran indebtedness to third parties on behalf of the sellers. All cash payments associated with the Neeltran Acquisition were funded with cash on hand.</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September 30, 2021, we had cash, cash equivalents, marketable securities and restricted cash of $57.0 million, compared to $80.7 million as of March 31, 2021, a decrease of $23.7 million. As of September 30, 2021, we had approximately $2.3 million of cash, cash equivalents, and restricted cash in foreign bank accounts. Our cash, cash equivalents, marketable securities and restricted cash are summarized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67,814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5,140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8000" w:type="dxa"/>
            <w:vAlign w:val="bottom"/>
          </w:tcPr>
          <w:p>
            <w:pPr>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56,989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80,679</w:t>
            </w:r>
          </w:p>
        </w:tc>
      </w:tr>
    </w:tbl>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six months ended September 30, 2021, net cash used in operating activities was $11.7 million, compared to $6.6 million for the six months ended September 30, 2020. The increase in net cash used in operations was due primarily to the overall impact of increased sales activities on operating activities during the current year period.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six months ended September 30, 2021, net cash used in investing activities was $6.8 million, compared to net cash provided by investing activities of $23.7 million for the six months ended September 30, 2020. The increase in net cash used in investing activities was primarily due to the cash that was used to pay for the Neeltran Acquisition. Additionally the prior year period included $25 million for settlement of a certificate deposit that was used to fund the acquisition of NEPSI. There was no such transaction in the six months ended September 30, 2021.</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six months ended September 30, 2021, net cash provided by financing activities was less than $0.1 million compared to net cash used in financing activities of $0.6 million in the six months ended September 30, 2020. The decrease in net cash used in financing activities was due primarily to a decrease in the repurchase of common stock in connection with employee tax obligations upon the vesting of stock awards.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2021, we had $6.2 million of restricted cash included in long-term assets and $2.3 million of restricted cash included in current assets. These amounts of restricted cash primarily represent deposits to secure letters of credit for various supply contracts and long-term projects, including the irrevocable letter of credit in the amount of $5.0 million to secure certain of our obligations under the Subcontract Agreement with ComEd. These deposits are held in interest bearing accounts.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we have sufficient available liquidity to fund our operations and capital expenditures for the next twelve months. In addition, we may seek to raise additional capital, which could be in the form of loans, convertible debt or equity, to fund our operating requirements and capital expenditures. Our liquidity is highly dependent on our ability to increase revenues, including our ability to collect revenues under our agreements with Inox, control our operating costs, and raise additional capital, if necessary. There can be no assurance that we will be able to raise additional capital on favorable terms or at all, or execute on any other means of improving our liquidity as described above. Additionally, the impact of the COVID-19 pandemic on the global financial markets may reduce our ability to raise additional capital, if necessary, which could negatively impact our liquidity.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involved in legal and administrative proceedings and claims of various types. See Part II, Item 1, “Legal Proceedings,” for additional information.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consolidated financial statements not misleading. If the loss is not probable or cannot be reasonably estimated, a liability is not recorded in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occasionally enter into construction contracts that include a performance bond. As these contracts progress, we continually assess the probability of a payout from the performance bond. Should we determine that such a payout is probable, we would record a liability.</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have various contractual arrangements under which we have committed to purchase minimum quantities of goods or services on an annual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amendments in ASU 2016-13 provide more decision-useful information about the expected credit losses on financial instruments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commitments to extend credit held by a reporting entity at each reporting date. Following the release of ASU 2019-10 in November 2019, the new effective date, as long as the Company remains a smaller reporting company, would be annual reporting periods beginning after December 15, 2022. We are currently evaluating the impact, if any, that the adoption of ASU 2016-13 may have on our consolidated financial statements.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amendments in ASU 2019-12 provide for simplified accounting to several income tax situations and removal of certain accounting exceptions. As of April 1, 2021, we have adopted ASU 2019-12 and noted no material impact on our consolidated financial statements.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believe that, outside of those disclosed here, there are any other recently issued accounting pronouncements that will have a material impact on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September 30,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of our disclosure controls and procedures as of September 30, 2021,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during the quarter ended September 30, 2021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than the following, there have been no material changes to the risk factors described in Part I, Item 1A of our Annual Report on Form 10-K for the fiscal year ended March 31, 2021, filed with the SEC on June 2, 2021.</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Our success is dependent upon attracting and retaining qualified personnel and our inability to do so could significantly damage our business and prospects.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attracted a highly skilled management team and specialized workforce, including scientists, engineers, researchers, manufacturing, personnel, and marketing and sales professionals. Hiring and retaining good personnel for our business is challenging, and highly qualified technical personnel are likely to remain a limited resource for the foreseeable future. We may not be able to hire the necessary personnel to implement our business strategy. In addition, we may need to provide higher compensation or more training to our personnel than we currently anticipate. Moreover, any officer or employee can terminate his or her relationship with us at any time. Losing the services of any of our executive officers or key employees could materially and adversely impact our business.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9, 2021, President Biden issued an executive order requiring all employers with U.S. federal government contracts to ensure that their U.S.-based employees, contractors, and subcontractors, that work on or in support of U.S. federal government contracts, are fully vaccinated by December 2021. The executive order only permits limited exceptions for medical and religious reasons. As a U.S. federal government contractor, we are requiring all U.S. based employees at sites that service or support our U.S. federal government contracts to be fully vaccinated. Additional vaccine mandates may be announced in jurisdictions in which our businesses operate. Our implementation of these requirements may result in attrition, including attrition of key personnel and skilled labor, and difficulty securing future labor needs, which could have a material adverse effect on our business, financial condition and results of operations.</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stock repurchase activity during the three months ended September 30, 2021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that May Yet Be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Purchased under</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0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the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Plans or</w:t>
            </w: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Plans or Programs</w:t>
            </w:r>
          </w:p>
        </w:tc>
      </w:tr>
      <w:tr>
        <w:trPr>
          <w:trHeight w:val="234"/>
        </w:trPr>
        <w:tc>
          <w:tcPr>
            <w:tcW w:w="4500" w:type="dxa"/>
            <w:vAlign w:val="bottom"/>
          </w:tcPr>
          <w:p>
            <w:pPr>
              <w:spacing w:after="0"/>
              <w:rPr>
                <w:sz w:val="20"/>
                <w:szCs w:val="20"/>
                <w:color w:val="auto"/>
              </w:rPr>
            </w:pPr>
            <w:r>
              <w:rPr>
                <w:rFonts w:ascii="Arial" w:cs="Arial" w:eastAsia="Arial" w:hAnsi="Arial"/>
                <w:sz w:val="18"/>
                <w:szCs w:val="18"/>
                <w:b w:val="1"/>
                <w:bCs w:val="1"/>
                <w:color w:val="auto"/>
              </w:rPr>
              <w:t>Month</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r>
              <w:rPr>
                <w:rFonts w:ascii="Arial" w:cs="Arial" w:eastAsia="Arial" w:hAnsi="Arial"/>
                <w:sz w:val="14"/>
                <w:szCs w:val="14"/>
                <w:b w:val="1"/>
                <w:bCs w:val="1"/>
                <w:color w:val="auto"/>
                <w:w w:val="89"/>
              </w:rPr>
              <w:t>(a)</w:t>
            </w:r>
          </w:p>
        </w:tc>
        <w:tc>
          <w:tcPr>
            <w:tcW w:w="2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2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2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(in millions)</w:t>
            </w: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2021 - July 31, 2021</w:t>
            </w:r>
          </w:p>
        </w:tc>
        <w:tc>
          <w:tcPr>
            <w:tcW w:w="1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August 1, 2021 - August 31, 2021</w:t>
            </w:r>
          </w:p>
        </w:tc>
        <w:tc>
          <w:tcPr>
            <w:tcW w:w="120" w:type="dxa"/>
            <w:vAlign w:val="bottom"/>
          </w:tcPr>
          <w:p>
            <w:pPr>
              <w:spacing w:after="0"/>
              <w:rPr>
                <w:sz w:val="18"/>
                <w:szCs w:val="18"/>
                <w:color w:val="auto"/>
              </w:rPr>
            </w:pPr>
          </w:p>
        </w:tc>
        <w:tc>
          <w:tcPr>
            <w:tcW w:w="1480" w:type="dxa"/>
            <w:vAlign w:val="bottom"/>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80" w:type="dxa"/>
            <w:vAlign w:val="bottom"/>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1, 2021 - September 30, 2021</w:t>
            </w: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 During the three months ended September 30, 2021, we did not repurchase shares in connection with our stock-based compensation plans.</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spacing w:after="0" w:line="185" w:lineRule="auto"/>
        <w:framePr w:w="1940" w:h="160" w:wrap="auto" w:vAnchor="page" w:hAnchor="page" w:x="280" w:y="601"/>
        <w:rPr>
          <w:rFonts w:ascii="Arial" w:cs="Arial" w:eastAsia="Arial" w:hAnsi="Arial"/>
          <w:sz w:val="18"/>
          <w:szCs w:val="18"/>
          <w:b w:val="1"/>
          <w:bCs w:val="1"/>
          <w:color w:val="auto"/>
        </w:rPr>
      </w:pPr>
      <w:r>
        <w:rPr>
          <w:rFonts w:ascii="Arial" w:cs="Arial" w:eastAsia="Arial" w:hAnsi="Arial"/>
          <w:sz w:val="18"/>
          <w:szCs w:val="18"/>
          <w:b w:val="1"/>
          <w:bCs w:val="1"/>
          <w:color w:val="auto"/>
        </w:rPr>
        <w:t>ITEM 6.   EXHIBITS</w:t>
      </w:r>
    </w:p>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40" w:type="dxa"/>
            <w:vAlign w:val="bottom"/>
            <w:gridSpan w:val="11"/>
          </w:tcPr>
          <w:p>
            <w:pPr>
              <w:ind w:left="640"/>
              <w:spacing w:after="0"/>
              <w:rPr>
                <w:sz w:val="20"/>
                <w:szCs w:val="20"/>
                <w:color w:val="auto"/>
              </w:rPr>
            </w:pPr>
            <w:r>
              <w:rPr>
                <w:rFonts w:ascii="Arial" w:cs="Arial" w:eastAsia="Arial" w:hAnsi="Arial"/>
                <w:sz w:val="18"/>
                <w:szCs w:val="18"/>
                <w:b w:val="1"/>
                <w:bCs w:val="1"/>
                <w:color w:val="auto"/>
              </w:rPr>
              <w:t>EXHIBIT INDEX</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ind w:left="36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91"/>
        </w:trPr>
        <w:tc>
          <w:tcPr>
            <w:tcW w:w="1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12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Filed/Furnished</w:t>
            </w:r>
          </w:p>
        </w:tc>
        <w:tc>
          <w:tcPr>
            <w:tcW w:w="0" w:type="dxa"/>
            <w:vAlign w:val="bottom"/>
          </w:tcPr>
          <w:p>
            <w:pPr>
              <w:spacing w:after="0"/>
              <w:rPr>
                <w:sz w:val="1"/>
                <w:szCs w:val="1"/>
                <w:color w:val="auto"/>
              </w:rPr>
            </w:pPr>
          </w:p>
        </w:tc>
      </w:tr>
      <w:tr>
        <w:trPr>
          <w:trHeight w:val="234"/>
        </w:trPr>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5020" w:type="dxa"/>
            <w:vAlign w:val="bottom"/>
            <w:gridSpan w:val="12"/>
          </w:tcPr>
          <w:p>
            <w:pPr>
              <w:ind w:left="1760"/>
              <w:spacing w:after="0"/>
              <w:rPr>
                <w:sz w:val="20"/>
                <w:szCs w:val="20"/>
                <w:color w:val="auto"/>
              </w:rPr>
            </w:pPr>
            <w:r>
              <w:rPr>
                <w:rFonts w:ascii="Arial" w:cs="Arial" w:eastAsia="Arial" w:hAnsi="Arial"/>
                <w:sz w:val="18"/>
                <w:szCs w:val="18"/>
                <w:b w:val="1"/>
                <w:bCs w:val="1"/>
                <w:color w:val="auto"/>
              </w:rPr>
              <w:t>Exhibit Description</w:t>
            </w:r>
          </w:p>
        </w:tc>
        <w:tc>
          <w:tcPr>
            <w:tcW w:w="100" w:type="dxa"/>
            <w:vAlign w:val="bottom"/>
          </w:tcPr>
          <w:p>
            <w:pPr>
              <w:spacing w:after="0"/>
              <w:rPr>
                <w:sz w:val="20"/>
                <w:szCs w:val="20"/>
                <w:color w:val="auto"/>
              </w:rPr>
            </w:pPr>
          </w:p>
        </w:tc>
        <w:tc>
          <w:tcPr>
            <w:tcW w:w="2200" w:type="dxa"/>
            <w:vAlign w:val="bottom"/>
            <w:gridSpan w:val="5"/>
          </w:tcPr>
          <w:p>
            <w:pPr>
              <w:ind w:left="120"/>
              <w:spacing w:after="0"/>
              <w:rPr>
                <w:sz w:val="20"/>
                <w:szCs w:val="20"/>
                <w:color w:val="auto"/>
              </w:rPr>
            </w:pPr>
            <w:r>
              <w:rPr>
                <w:rFonts w:ascii="Arial" w:cs="Arial" w:eastAsia="Arial" w:hAnsi="Arial"/>
                <w:sz w:val="18"/>
                <w:szCs w:val="18"/>
                <w:b w:val="1"/>
                <w:bCs w:val="1"/>
                <w:color w:val="auto"/>
              </w:rPr>
              <w:t>Form   File No.  Exhibit</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385"/>
        </w:trPr>
        <w:tc>
          <w:tcPr>
            <w:tcW w:w="16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960" w:type="dxa"/>
            <w:vAlign w:val="bottom"/>
            <w:tcBorders>
              <w:top w:val="single" w:sz="8" w:color="auto"/>
              <w:bottom w:val="single" w:sz="8" w:color="0000EE"/>
            </w:tcBorders>
            <w:gridSpan w:val="9"/>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Form of Executive Stock Award Agreement (regarding stock awards</w:t>
              </w:r>
            </w:hyperlink>
          </w:p>
        </w:tc>
        <w:tc>
          <w:tcPr>
            <w:tcW w:w="60" w:type="dxa"/>
            <w:vAlign w:val="bottom"/>
            <w:tcBorders>
              <w:top w:val="single" w:sz="8" w:color="auto"/>
            </w:tcBorders>
            <w:gridSpan w:val="3"/>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to executive officers in lieu of cash bonus payouts), under 2007</w:t>
              </w:r>
            </w:hyperlink>
          </w:p>
        </w:tc>
        <w:tc>
          <w:tcPr>
            <w:tcW w:w="54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Stock Incentive Plan, as amended.</w:t>
              </w:r>
            </w:hyperlink>
          </w:p>
        </w:tc>
        <w:tc>
          <w:tcPr>
            <w:tcW w:w="264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680" w:type="dxa"/>
            <w:vAlign w:val="bottom"/>
          </w:tcPr>
          <w:p>
            <w:pPr>
              <w:ind w:left="68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00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Chief Executive Officer—Certification pursuant to Rule 13a-14(a) or</w:t>
              </w:r>
            </w:hyperlink>
          </w:p>
        </w:tc>
        <w:tc>
          <w:tcPr>
            <w:tcW w:w="12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3"/>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Rule 15d-14(a) of the Securities Exchange Act of 1934, as adopted</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pursuant to Section 302 of the Sarbanes-Oxley Act of 2002.</w:t>
              </w:r>
            </w:hyperlink>
          </w:p>
        </w:tc>
        <w:tc>
          <w:tcPr>
            <w:tcW w:w="500" w:type="dxa"/>
            <w:vAlign w:val="bottom"/>
            <w:tcBorders>
              <w:top w:val="single" w:sz="8" w:color="0000EE"/>
            </w:tcBorders>
            <w:gridSpan w:val="4"/>
          </w:tcPr>
          <w:p>
            <w:pPr>
              <w:spacing w:after="0"/>
              <w:rPr>
                <w:sz w:val="17"/>
                <w:szCs w:val="17"/>
                <w:color w:val="auto"/>
              </w:rPr>
            </w:pPr>
          </w:p>
        </w:tc>
        <w:tc>
          <w:tcPr>
            <w:tcW w:w="3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680" w:type="dxa"/>
            <w:vAlign w:val="bottom"/>
          </w:tcPr>
          <w:p>
            <w:pPr>
              <w:ind w:left="68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120" w:type="dxa"/>
            <w:vAlign w:val="bottom"/>
            <w:gridSpan w:val="13"/>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Chief Financial Officer—Certification pursuant to Rule 13a-14(a) or</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tcBorders>
            <w:gridSpan w:val="8"/>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Rule 15d-14(a) of the Securities Exchange Act of 1934, as adopted</w:t>
              </w:r>
            </w:hyperlink>
          </w:p>
        </w:tc>
        <w:tc>
          <w:tcPr>
            <w:tcW w:w="18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pursuant to Section 302 of the Sarbanes-Oxley Act of 2002.</w:t>
              </w:r>
            </w:hyperlink>
          </w:p>
        </w:tc>
        <w:tc>
          <w:tcPr>
            <w:tcW w:w="500" w:type="dxa"/>
            <w:vAlign w:val="bottom"/>
            <w:tcBorders>
              <w:top w:val="single" w:sz="8" w:color="0000EE"/>
            </w:tcBorders>
            <w:gridSpan w:val="4"/>
          </w:tcPr>
          <w:p>
            <w:pPr>
              <w:spacing w:after="0"/>
              <w:rPr>
                <w:sz w:val="17"/>
                <w:szCs w:val="17"/>
                <w:color w:val="auto"/>
              </w:rPr>
            </w:pPr>
          </w:p>
        </w:tc>
        <w:tc>
          <w:tcPr>
            <w:tcW w:w="3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680" w:type="dxa"/>
            <w:vAlign w:val="bottom"/>
          </w:tcPr>
          <w:p>
            <w:pPr>
              <w:ind w:left="68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98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Chief Executive Officer—Certification pursuant to Rule13a-14(b) or</w:t>
              </w:r>
            </w:hyperlink>
          </w:p>
        </w:tc>
        <w:tc>
          <w:tcPr>
            <w:tcW w:w="14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Rule 15d-14(b) of the Securities Exchange Act of 1934 and 18</w:t>
              </w:r>
            </w:hyperlink>
          </w:p>
        </w:tc>
        <w:tc>
          <w:tcPr>
            <w:tcW w:w="60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U.S.C. Section 1350, as adopted pursuant to Section 906 of the</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Sarbanes-Oxley Act of 2002.</w:t>
              </w:r>
            </w:hyperlink>
          </w:p>
        </w:tc>
        <w:tc>
          <w:tcPr>
            <w:tcW w:w="58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80" w:type="dxa"/>
            <w:vAlign w:val="bottom"/>
          </w:tcPr>
          <w:p>
            <w:pPr>
              <w:ind w:left="68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9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Chief Financial Officer—Certification pursuant to Rule 13a-14(b) or</w:t>
              </w:r>
            </w:hyperlink>
          </w:p>
        </w:tc>
        <w:tc>
          <w:tcPr>
            <w:tcW w:w="16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Rule 15d-14(b) of the Securities Exchange Act of 1934 and 18</w:t>
              </w:r>
            </w:hyperlink>
          </w:p>
        </w:tc>
        <w:tc>
          <w:tcPr>
            <w:tcW w:w="60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3"/>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U.S.C. Section 1350, as adopted pursuant to Section 906 of the</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Sarbanes-Oxley Act of 2002.</w:t>
              </w:r>
            </w:hyperlink>
          </w:p>
        </w:tc>
        <w:tc>
          <w:tcPr>
            <w:tcW w:w="58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02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68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20" w:type="dxa"/>
            <w:vAlign w:val="bottom"/>
          </w:tcPr>
          <w:p>
            <w:pPr>
              <w:spacing w:after="0"/>
              <w:rPr>
                <w:sz w:val="24"/>
                <w:szCs w:val="24"/>
                <w:color w:val="auto"/>
              </w:rPr>
            </w:pPr>
          </w:p>
        </w:tc>
        <w:tc>
          <w:tcPr>
            <w:tcW w:w="5120" w:type="dxa"/>
            <w:vAlign w:val="bottom"/>
            <w:gridSpan w:val="13"/>
          </w:tcPr>
          <w:p>
            <w:pPr>
              <w:spacing w:after="0"/>
              <w:rPr>
                <w:sz w:val="20"/>
                <w:szCs w:val="20"/>
                <w:color w:val="auto"/>
              </w:rPr>
            </w:pPr>
            <w:r>
              <w:rPr>
                <w:rFonts w:ascii="Arial" w:cs="Arial" w:eastAsia="Arial" w:hAnsi="Arial"/>
                <w:sz w:val="18"/>
                <w:szCs w:val="18"/>
                <w:color w:val="auto"/>
                <w:w w:val="96"/>
              </w:rPr>
              <w:t>Inline XBRL Instance Document - the instance document does not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gridSpan w:val="13"/>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20" w:type="dxa"/>
            <w:vAlign w:val="bottom"/>
            <w:gridSpan w:val="13"/>
          </w:tcPr>
          <w:p>
            <w:pPr>
              <w:spacing w:after="0"/>
              <w:rPr>
                <w:sz w:val="20"/>
                <w:szCs w:val="20"/>
                <w:color w:val="auto"/>
              </w:rPr>
            </w:pPr>
            <w:r>
              <w:rPr>
                <w:rFonts w:ascii="Arial" w:cs="Arial" w:eastAsia="Arial" w:hAnsi="Arial"/>
                <w:sz w:val="18"/>
                <w:szCs w:val="18"/>
                <w:color w:val="auto"/>
              </w:rPr>
              <w:t>embedded within the Inline XBRL document.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20" w:type="dxa"/>
            <w:vAlign w:val="bottom"/>
          </w:tcPr>
          <w:p>
            <w:pPr>
              <w:spacing w:after="0"/>
              <w:rPr>
                <w:sz w:val="24"/>
                <w:szCs w:val="24"/>
                <w:color w:val="auto"/>
              </w:rPr>
            </w:pPr>
          </w:p>
        </w:tc>
        <w:tc>
          <w:tcPr>
            <w:tcW w:w="512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20" w:type="dxa"/>
            <w:vAlign w:val="bottom"/>
          </w:tcPr>
          <w:p>
            <w:pPr>
              <w:spacing w:after="0"/>
              <w:rPr>
                <w:sz w:val="24"/>
                <w:szCs w:val="24"/>
                <w:color w:val="auto"/>
              </w:rPr>
            </w:pPr>
          </w:p>
        </w:tc>
        <w:tc>
          <w:tcPr>
            <w:tcW w:w="5120" w:type="dxa"/>
            <w:vAlign w:val="bottom"/>
            <w:gridSpan w:val="13"/>
          </w:tcPr>
          <w:p>
            <w:pPr>
              <w:spacing w:after="0"/>
              <w:rPr>
                <w:sz w:val="20"/>
                <w:szCs w:val="20"/>
                <w:color w:val="auto"/>
              </w:rPr>
            </w:pPr>
            <w:r>
              <w:rPr>
                <w:rFonts w:ascii="Arial" w:cs="Arial" w:eastAsia="Arial" w:hAnsi="Arial"/>
                <w:sz w:val="18"/>
                <w:szCs w:val="18"/>
                <w:color w:val="auto"/>
              </w:rPr>
              <w:t>Inline XBRL Taxonomy Calculation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20" w:type="dxa"/>
            <w:vAlign w:val="bottom"/>
          </w:tcPr>
          <w:p>
            <w:pPr>
              <w:spacing w:after="0"/>
              <w:rPr>
                <w:sz w:val="24"/>
                <w:szCs w:val="24"/>
                <w:color w:val="auto"/>
              </w:rPr>
            </w:pPr>
          </w:p>
        </w:tc>
        <w:tc>
          <w:tcPr>
            <w:tcW w:w="5120" w:type="dxa"/>
            <w:vAlign w:val="bottom"/>
            <w:gridSpan w:val="13"/>
          </w:tcPr>
          <w:p>
            <w:pPr>
              <w:spacing w:after="0"/>
              <w:rPr>
                <w:sz w:val="20"/>
                <w:szCs w:val="20"/>
                <w:color w:val="auto"/>
              </w:rPr>
            </w:pPr>
            <w:r>
              <w:rPr>
                <w:rFonts w:ascii="Arial" w:cs="Arial" w:eastAsia="Arial" w:hAnsi="Arial"/>
                <w:sz w:val="18"/>
                <w:szCs w:val="18"/>
                <w:color w:val="auto"/>
              </w:rPr>
              <w:t>Inline XBRL Definition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20" w:type="dxa"/>
            <w:vAlign w:val="bottom"/>
          </w:tcPr>
          <w:p>
            <w:pPr>
              <w:spacing w:after="0"/>
              <w:rPr>
                <w:sz w:val="24"/>
                <w:szCs w:val="24"/>
                <w:color w:val="auto"/>
              </w:rPr>
            </w:pPr>
          </w:p>
        </w:tc>
        <w:tc>
          <w:tcPr>
            <w:tcW w:w="5120" w:type="dxa"/>
            <w:vAlign w:val="bottom"/>
            <w:gridSpan w:val="13"/>
          </w:tcPr>
          <w:p>
            <w:pPr>
              <w:spacing w:after="0"/>
              <w:rPr>
                <w:sz w:val="20"/>
                <w:szCs w:val="20"/>
                <w:color w:val="auto"/>
              </w:rPr>
            </w:pPr>
            <w:r>
              <w:rPr>
                <w:rFonts w:ascii="Arial" w:cs="Arial" w:eastAsia="Arial" w:hAnsi="Arial"/>
                <w:sz w:val="18"/>
                <w:szCs w:val="18"/>
                <w:color w:val="auto"/>
              </w:rPr>
              <w:t>Inline XBRL Taxonomy Label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20" w:type="dxa"/>
            <w:vAlign w:val="bottom"/>
          </w:tcPr>
          <w:p>
            <w:pPr>
              <w:spacing w:after="0"/>
              <w:rPr>
                <w:sz w:val="24"/>
                <w:szCs w:val="24"/>
                <w:color w:val="auto"/>
              </w:rPr>
            </w:pPr>
          </w:p>
        </w:tc>
        <w:tc>
          <w:tcPr>
            <w:tcW w:w="5120" w:type="dxa"/>
            <w:vAlign w:val="bottom"/>
            <w:gridSpan w:val="13"/>
          </w:tcPr>
          <w:p>
            <w:pPr>
              <w:spacing w:after="0"/>
              <w:rPr>
                <w:sz w:val="20"/>
                <w:szCs w:val="20"/>
                <w:color w:val="auto"/>
              </w:rPr>
            </w:pPr>
            <w:r>
              <w:rPr>
                <w:rFonts w:ascii="Arial" w:cs="Arial" w:eastAsia="Arial" w:hAnsi="Arial"/>
                <w:sz w:val="18"/>
                <w:szCs w:val="18"/>
                <w:color w:val="auto"/>
              </w:rPr>
              <w:t>Inline XBRL Taxonomy Presentation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tcPr>
          <w:p>
            <w:pPr>
              <w:ind w:left="68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5120" w:type="dxa"/>
            <w:vAlign w:val="bottom"/>
            <w:gridSpan w:val="13"/>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0"/>
        <w:spacing w:after="0"/>
        <w:rPr>
          <w:sz w:val="20"/>
          <w:szCs w:val="20"/>
          <w:color w:val="auto"/>
        </w:rPr>
      </w:pPr>
      <w:r>
        <w:rPr>
          <w:rFonts w:ascii="Arial" w:cs="Arial" w:eastAsia="Arial" w:hAnsi="Arial"/>
          <w:sz w:val="18"/>
          <w:szCs w:val="18"/>
          <w:color w:val="auto"/>
        </w:rPr>
        <w:t>contained in Exhibit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11"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right="500"/>
        <w:spacing w:after="0" w:line="287" w:lineRule="auto"/>
        <w:rPr>
          <w:sz w:val="20"/>
          <w:szCs w:val="20"/>
          <w:color w:val="auto"/>
        </w:rPr>
      </w:pPr>
      <w:r>
        <w:rPr>
          <w:rFonts w:ascii="Arial" w:cs="Arial" w:eastAsia="Arial" w:hAnsi="Arial"/>
          <w:sz w:val="16"/>
          <w:szCs w:val="16"/>
          <w:color w:val="auto"/>
        </w:rPr>
        <w:t>Attached as Exhibits 101 to this report are the following formatted in XBRL (Extensible Business Reporting Language): (i) Condensed Consolidated Balance Sheet as of September 30, 2021 and March 31, 2021 (ii) Condensed Statements of Operations and Income for the three and six months ended September 30, 2021 and 2020, (iii) Condensed Consolidated Statements of Comprehensive (Loss) Income for the three and six months</w:t>
      </w:r>
    </w:p>
    <w:p>
      <w:pPr>
        <w:spacing w:after="0" w:line="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ended September 30, 2021 and 2020, (iv) Condensed Consolidated Statements of Cash Flows for the six months ended September 30, 2021 and 2020, and (v)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AMERICAN SUPERCONDUCTOR CORPORATION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5740" w:type="dxa"/>
            <w:vAlign w:val="bottom"/>
          </w:tcPr>
          <w:p>
            <w:pPr>
              <w:ind w:left="5300"/>
              <w:spacing w:after="0"/>
              <w:rPr>
                <w:sz w:val="20"/>
                <w:szCs w:val="20"/>
                <w:color w:val="auto"/>
              </w:rPr>
            </w:pPr>
            <w:r>
              <w:rPr>
                <w:rFonts w:ascii="Arial" w:cs="Arial" w:eastAsia="Arial" w:hAnsi="Arial"/>
                <w:sz w:val="18"/>
                <w:szCs w:val="18"/>
                <w:b w:val="1"/>
                <w:bCs w:val="1"/>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John W. Kosiba, Jr.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rPr>
              <w:t>Date:</w:t>
            </w:r>
          </w:p>
        </w:tc>
        <w:tc>
          <w:tcPr>
            <w:tcW w:w="5740" w:type="dxa"/>
            <w:vAlign w:val="bottom"/>
          </w:tcPr>
          <w:p>
            <w:pPr>
              <w:ind w:left="140"/>
              <w:spacing w:after="0" w:line="195" w:lineRule="exact"/>
              <w:rPr>
                <w:sz w:val="20"/>
                <w:szCs w:val="20"/>
                <w:color w:val="auto"/>
              </w:rPr>
            </w:pPr>
            <w:r>
              <w:rPr>
                <w:rFonts w:ascii="Arial" w:cs="Arial" w:eastAsia="Arial" w:hAnsi="Arial"/>
                <w:sz w:val="18"/>
                <w:szCs w:val="18"/>
                <w:color w:val="auto"/>
              </w:rPr>
              <w:t>November 8, 2021</w:t>
            </w:r>
          </w:p>
        </w:tc>
        <w:tc>
          <w:tcPr>
            <w:tcW w:w="4960" w:type="dxa"/>
            <w:vAlign w:val="bottom"/>
          </w:tcPr>
          <w:p>
            <w:pPr>
              <w:jc w:val="center"/>
              <w:spacing w:after="0" w:line="195" w:lineRule="exact"/>
              <w:rPr>
                <w:sz w:val="20"/>
                <w:szCs w:val="20"/>
                <w:color w:val="auto"/>
              </w:rPr>
            </w:pPr>
            <w:r>
              <w:rPr>
                <w:rFonts w:ascii="Arial" w:cs="Arial" w:eastAsia="Arial" w:hAnsi="Arial"/>
                <w:sz w:val="18"/>
                <w:szCs w:val="18"/>
                <w:color w:val="auto"/>
                <w:w w:val="89"/>
              </w:rPr>
              <w:t>John W. Kosiba, Jr.</w:t>
            </w:r>
          </w:p>
        </w:tc>
      </w:tr>
      <w:tr>
        <w:trPr>
          <w:trHeight w:val="216"/>
        </w:trPr>
        <w:tc>
          <w:tcPr>
            <w:tcW w:w="5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Senior Vice President, Chief Financial Officer and Treasurer</w:t>
            </w:r>
          </w:p>
        </w:tc>
      </w:tr>
      <w:tr>
        <w:trPr>
          <w:trHeight w:val="230"/>
        </w:trPr>
        <w:tc>
          <w:tcPr>
            <w:tcW w:w="5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8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STOCK INCENTIVE PLAN,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STOCK AWARD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NOTICE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defined herein, the terms defined in the 2007 Stock Incentive Plan of American Superconductor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shall have the same defined meanings in this Executive Stock Award Agreement, which includes the terms in this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attached hereto (collectively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of the Company has determined to pay your cash payout under the terms of the Company’s executive incentive plan for the fiscal year ended March 31, 202[_] (“</w:t>
      </w:r>
      <w:r>
        <w:rPr>
          <w:rFonts w:ascii="Arial" w:cs="Arial" w:eastAsia="Arial" w:hAnsi="Arial"/>
          <w:sz w:val="18"/>
          <w:szCs w:val="18"/>
          <w:u w:val="single" w:color="auto"/>
          <w:color w:val="auto"/>
        </w:rPr>
        <w:t>Fiscal Year 202[_]</w:t>
      </w:r>
      <w:r>
        <w:rPr>
          <w:rFonts w:ascii="Arial" w:cs="Arial" w:eastAsia="Arial" w:hAnsi="Arial"/>
          <w:sz w:val="18"/>
          <w:szCs w:val="18"/>
          <w:color w:val="auto"/>
        </w:rPr>
        <w:t>”), net of applicable withholdings (the “</w:t>
      </w:r>
      <w:r>
        <w:rPr>
          <w:rFonts w:ascii="Arial" w:cs="Arial" w:eastAsia="Arial" w:hAnsi="Arial"/>
          <w:sz w:val="18"/>
          <w:szCs w:val="18"/>
          <w:u w:val="single" w:color="auto"/>
          <w:color w:val="auto"/>
        </w:rPr>
        <w:t>Withholdings Obligations Payment</w:t>
      </w:r>
      <w:r>
        <w:rPr>
          <w:rFonts w:ascii="Arial" w:cs="Arial" w:eastAsia="Arial" w:hAnsi="Arial"/>
          <w:sz w:val="18"/>
          <w:szCs w:val="18"/>
          <w:color w:val="auto"/>
        </w:rPr>
        <w:t xml:space="preserve">”), in shares of Common Stock to you. As a result, you have been granted shares of Common Stock, subject to the terms and conditions of the Plan and this Agreement, that together with the </w:t>
      </w:r>
      <w:r>
        <w:rPr>
          <w:rFonts w:ascii="Arial" w:cs="Arial" w:eastAsia="Arial" w:hAnsi="Arial"/>
          <w:sz w:val="18"/>
          <w:szCs w:val="18"/>
          <w:u w:val="single" w:color="auto"/>
          <w:color w:val="auto"/>
        </w:rPr>
        <w:t>Withholdings</w:t>
      </w:r>
      <w:r>
        <w:rPr>
          <w:rFonts w:ascii="Arial" w:cs="Arial" w:eastAsia="Arial" w:hAnsi="Arial"/>
          <w:sz w:val="18"/>
          <w:szCs w:val="18"/>
          <w:color w:val="auto"/>
        </w:rPr>
        <w:t xml:space="preserve"> Obligations Payment, represent the full payment of your bonus for performance under the terms of the Company’s executive incentive plan for Fiscal Year 202[_].</w:t>
      </w:r>
    </w:p>
    <w:p>
      <w:pPr>
        <w:sectPr>
          <w:pgSz w:w="11900" w:h="16838" w:orient="portrait"/>
          <w:cols w:equalWidth="0" w:num="1">
            <w:col w:w="11240"/>
          </w:cols>
          <w:pgMar w:left="320" w:top="121" w:right="339" w:bottom="0" w:gutter="0" w:footer="0" w:header="0"/>
        </w:sectPr>
      </w:pP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ectPr>
          <w:pgSz w:w="11900" w:h="16838" w:orient="portrait"/>
          <w:cols w:equalWidth="0" w:num="2">
            <w:col w:w="2660" w:space="720"/>
            <w:col w:w="7860"/>
          </w:cols>
          <w:pgMar w:left="320" w:top="121" w:right="339" w:bottom="0" w:gutter="0" w:footer="0" w:header="0"/>
          <w:type w:val="continuous"/>
        </w:sectPr>
      </w:pPr>
    </w:p>
    <w:p>
      <w:pPr>
        <w:ind w:left="60"/>
        <w:spacing w:after="0"/>
        <w:rPr>
          <w:sz w:val="20"/>
          <w:szCs w:val="20"/>
          <w:color w:val="auto"/>
        </w:rPr>
      </w:pPr>
      <w:r>
        <w:rPr>
          <w:rFonts w:ascii="Arial" w:cs="Arial" w:eastAsia="Arial" w:hAnsi="Arial"/>
          <w:sz w:val="16"/>
          <w:szCs w:val="16"/>
          <w:b w:val="1"/>
          <w:bCs w:val="1"/>
          <w:color w:val="auto"/>
        </w:rPr>
        <w:t>Total Number of Shares of Common</w:t>
      </w:r>
    </w:p>
    <w:p>
      <w:pPr>
        <w:sectPr>
          <w:pgSz w:w="11900" w:h="16838" w:orient="portrait"/>
          <w:cols w:equalWidth="0" w:num="1">
            <w:col w:w="11240"/>
          </w:cols>
          <w:pgMar w:left="320" w:top="121" w:right="339" w:bottom="0" w:gutter="0" w:footer="0" w:header="0"/>
          <w:type w:val="continuous"/>
        </w:sectPr>
      </w:pP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Type of 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All of the shares of Common Stock subject to this grant are fully vested as of the Grant Date.</w:t>
      </w:r>
    </w:p>
    <w:p>
      <w:pPr>
        <w:spacing w:after="0" w:line="200" w:lineRule="exact"/>
        <w:rPr>
          <w:sz w:val="20"/>
          <w:szCs w:val="20"/>
          <w:color w:val="auto"/>
        </w:rPr>
      </w:pPr>
    </w:p>
    <w:p>
      <w:pPr>
        <w:sectPr>
          <w:pgSz w:w="11900" w:h="16838" w:orient="portrait"/>
          <w:cols w:equalWidth="0" w:num="2">
            <w:col w:w="2660" w:space="720"/>
            <w:col w:w="7860"/>
          </w:cols>
          <w:pgMar w:left="320" w:top="121" w:right="339" w:bottom="0" w:gutter="0" w:footer="0" w:header="0"/>
          <w:type w:val="continuous"/>
        </w:sectPr>
      </w:pPr>
    </w:p>
    <w:p>
      <w:pPr>
        <w:spacing w:after="0" w:line="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Your signature below indicates your agreement and understanding that the Common Stock is subject to all of the terms and conditions contained in this Agreement, including this Grant Notice and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and the Plan. </w:t>
      </w:r>
      <w:r>
        <w:rPr>
          <w:rFonts w:ascii="Arial" w:cs="Arial" w:eastAsia="Arial" w:hAnsi="Arial"/>
          <w:sz w:val="17"/>
          <w:szCs w:val="17"/>
          <w:b w:val="1"/>
          <w:bCs w:val="1"/>
          <w:color w:val="auto"/>
        </w:rPr>
        <w:t>ACCORDINGLY, PLEASE BE SURE TO READ ALL OF</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APPENDIX A</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WHICH CONTAINS THE SPECIFIC TERMS AND CONDITIONS OF THE COMMON STOCK. </w:t>
      </w:r>
      <w:r>
        <w:rPr>
          <w:rFonts w:ascii="Arial" w:cs="Arial" w:eastAsia="Arial" w:hAnsi="Arial"/>
          <w:sz w:val="17"/>
          <w:szCs w:val="17"/>
          <w:color w:val="auto"/>
        </w:rPr>
        <w:t>In addition, your signature below indicates your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that this stock grant, the receipt of which is hereby acknowledged, together with the </w:t>
      </w:r>
      <w:r>
        <w:rPr>
          <w:rFonts w:ascii="Arial" w:cs="Arial" w:eastAsia="Arial" w:hAnsi="Arial"/>
          <w:sz w:val="17"/>
          <w:szCs w:val="17"/>
          <w:u w:val="single" w:color="auto"/>
          <w:color w:val="auto"/>
        </w:rPr>
        <w:t>Withholdings</w:t>
      </w:r>
      <w:r>
        <w:rPr>
          <w:rFonts w:ascii="Arial" w:cs="Arial" w:eastAsia="Arial" w:hAnsi="Arial"/>
          <w:sz w:val="17"/>
          <w:szCs w:val="17"/>
          <w:color w:val="auto"/>
        </w:rPr>
        <w:t xml:space="preserve"> Obligations Payment, satisfy all obligations of the Company and its subsidiaries with respect to your bonus for performance under the terms of the Company’s executive incentive plan for Fiscal Year 202[_], and (ii) all applicable withholdings with respect to your bonus for performance under the terms of the Company’s executive incentive plan for Fiscal Year 202[_] have been satisfied by the Withholdings Obligations Payment.</w:t>
      </w:r>
    </w:p>
    <w:p>
      <w:pPr>
        <w:sectPr>
          <w:pgSz w:w="11900" w:h="16838" w:orient="portrait"/>
          <w:cols w:equalWidth="0" w:num="1">
            <w:col w:w="11240"/>
          </w:cols>
          <w:pgMar w:left="320" w:top="121" w:right="339" w:bottom="0" w:gutter="0" w:footer="0" w:header="0"/>
          <w:type w:val="continuous"/>
        </w:sect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SUPERCONDUCTOR</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7" w:lineRule="exact"/>
        <w:rPr>
          <w:sz w:val="20"/>
          <w:szCs w:val="20"/>
          <w:color w:val="auto"/>
        </w:rPr>
      </w:pPr>
    </w:p>
    <w:p>
      <w:pPr>
        <w:sectPr>
          <w:pgSz w:w="11900" w:h="16838" w:orient="portrait"/>
          <w:cols w:equalWidth="0" w:num="2">
            <w:col w:w="3680" w:space="720"/>
            <w:col w:w="6840"/>
          </w:cols>
          <w:pgMar w:left="320" w:top="121"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CORPORATION:</w:t>
      </w:r>
    </w:p>
    <w:p>
      <w:pPr>
        <w:sectPr>
          <w:pgSz w:w="11900" w:h="16838" w:orient="portrait"/>
          <w:cols w:equalWidth="0" w:num="1">
            <w:col w:w="11240"/>
          </w:cols>
          <w:pgMar w:left="320" w:top="121" w:right="339"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Print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Print</w:t>
      </w:r>
    </w:p>
    <w:p>
      <w:pPr>
        <w:spacing w:after="0" w:line="32" w:lineRule="exact"/>
        <w:rPr>
          <w:sz w:val="20"/>
          <w:szCs w:val="20"/>
          <w:color w:val="auto"/>
        </w:rPr>
      </w:pPr>
    </w:p>
    <w:p>
      <w:pPr>
        <w:sectPr>
          <w:pgSz w:w="11900" w:h="16838" w:orient="portrait"/>
          <w:cols w:equalWidth="0" w:num="3">
            <w:col w:w="260" w:space="400"/>
            <w:col w:w="3680" w:space="720"/>
            <w:col w:w="6180"/>
          </w:cols>
          <w:pgMar w:left="320" w:top="121" w:right="339" w:bottom="0" w:gutter="0" w:footer="0" w:header="0"/>
          <w:type w:val="continuous"/>
        </w:sect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sectPr>
          <w:pgSz w:w="11900" w:h="16838" w:orient="portrait"/>
          <w:cols w:equalWidth="0" w:num="2">
            <w:col w:w="3680" w:space="720"/>
            <w:col w:w="6840"/>
          </w:cols>
          <w:pgMar w:left="320" w:top="121" w:right="339" w:bottom="0" w:gutter="0" w:footer="0" w:header="0"/>
          <w:type w:val="continuous"/>
        </w:sectPr>
      </w:pPr>
    </w:p>
    <w:p>
      <w:pPr>
        <w:ind w:left="66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1240"/>
          </w:cols>
          <w:pgMar w:left="320" w:top="121" w:right="339" w:bottom="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THE EXECUTIVE STOCK AWARD AGREEMENT</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this Agreement, the Company has awarded to the Participant the number of shares of Common Stock under the Plan, as set forth in the Grant Notice.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&amp;NBSP;&amp;NBSP;&amp;NBSP;&amp;NBSP;GENERAL</w:t>
      </w:r>
    </w:p>
    <w:p>
      <w:pPr>
        <w:spacing w:after="0" w:line="211"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1.1 Definitions. All capitalized terms used in this Agreement without definition shall have the meanings ascribed in the Plan and the Grant Notice. All references to the “Board” herein shall mean the Board of Directors of the Company, a Committee or the officers referred to in Section 3(c) of the Plan to the extent that the Board of Director’s powers or authority under the Plan have been delegated to such Committee or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-322580</wp:posOffset>
            </wp:positionV>
            <wp:extent cx="6286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14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1.2 Incorporation of Terms. The Common Stock is subject to the terms and conditions of the Plan, which is incorporated herein by reference. In the event of any inconsistency between the Plan and this Agreement, the terms of the Plan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-182245</wp:posOffset>
            </wp:positionV>
            <wp:extent cx="1172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7221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&amp;NBSP;&amp;NBSP;&amp;NBSP;&amp;NBSP;AWARD OF COMMON STOCK</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Award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-10160</wp:posOffset>
            </wp:positionV>
            <wp:extent cx="12744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4445" cy="8890"/>
                    </a:xfrm>
                    <a:prstGeom prst="rect">
                      <a:avLst/>
                    </a:prstGeom>
                    <a:noFill/>
                  </pic:spPr>
                </pic:pic>
              </a:graphicData>
            </a:graphic>
          </wp:anchor>
        </w:drawing>
      </w:r>
    </w:p>
    <w:p>
      <w:pPr>
        <w:spacing w:after="0" w:line="205" w:lineRule="exact"/>
        <w:rPr>
          <w:sz w:val="20"/>
          <w:szCs w:val="20"/>
          <w:color w:val="auto"/>
        </w:rPr>
      </w:pPr>
    </w:p>
    <w:p>
      <w:pPr>
        <w:ind w:right="240" w:firstLine="1304"/>
        <w:spacing w:after="0" w:line="277" w:lineRule="auto"/>
        <w:tabs>
          <w:tab w:leader="none" w:pos="1666" w:val="left"/>
        </w:tabs>
        <w:numPr>
          <w:ilvl w:val="0"/>
          <w:numId w:val="7"/>
        </w:numPr>
        <w:rPr>
          <w:rFonts w:ascii="Arial" w:cs="Arial" w:eastAsia="Arial" w:hAnsi="Arial"/>
          <w:sz w:val="18"/>
          <w:szCs w:val="18"/>
          <w:color w:val="auto"/>
        </w:rPr>
      </w:pPr>
      <w:r>
        <w:rPr>
          <w:rFonts w:ascii="Arial" w:cs="Arial" w:eastAsia="Arial" w:hAnsi="Arial"/>
          <w:sz w:val="18"/>
          <w:szCs w:val="18"/>
          <w:color w:val="auto"/>
        </w:rPr>
        <w:t>Award. As of the Grant Date, the Company issues to the Participant the number of shares of Common Stock set forth in the Grant Notice (the “</w:t>
      </w:r>
      <w:r>
        <w:rPr>
          <w:rFonts w:ascii="Arial" w:cs="Arial" w:eastAsia="Arial" w:hAnsi="Arial"/>
          <w:sz w:val="18"/>
          <w:szCs w:val="18"/>
          <w:u w:val="single" w:color="auto"/>
          <w:color w:val="auto"/>
        </w:rPr>
        <w:t>Award</w:t>
      </w:r>
      <w:r>
        <w:rPr>
          <w:rFonts w:ascii="Arial" w:cs="Arial" w:eastAsia="Arial" w:hAnsi="Arial"/>
          <w:sz w:val="18"/>
          <w:szCs w:val="18"/>
          <w:color w:val="auto"/>
        </w:rPr>
        <w:t>”). Such shares of Common Stock shall sometimes be referred to herein as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20" w:firstLine="1304"/>
        <w:spacing w:after="0" w:line="308" w:lineRule="auto"/>
        <w:tabs>
          <w:tab w:leader="none" w:pos="1686" w:val="left"/>
        </w:tabs>
        <w:numPr>
          <w:ilvl w:val="0"/>
          <w:numId w:val="7"/>
        </w:numPr>
        <w:rPr>
          <w:rFonts w:ascii="Arial" w:cs="Arial" w:eastAsia="Arial" w:hAnsi="Arial"/>
          <w:sz w:val="17"/>
          <w:szCs w:val="17"/>
          <w:color w:val="auto"/>
        </w:rPr>
      </w:pPr>
      <w:r>
        <w:rPr>
          <w:rFonts w:ascii="Arial" w:cs="Arial" w:eastAsia="Arial" w:hAnsi="Arial"/>
          <w:sz w:val="17"/>
          <w:szCs w:val="17"/>
          <w:color w:val="auto"/>
        </w:rPr>
        <w:t>Book Entry Form; Certificates. At the sole discretion of the Board, the Shares will be issued in either (i) uncertificated form, with the Shares recorded in the name of the Participant in the books and records of the Company’s transfer agent; or (ii) certificate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-608965</wp:posOffset>
            </wp:positionV>
            <wp:extent cx="4083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8305" cy="8890"/>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-197485</wp:posOffset>
            </wp:positionV>
            <wp:extent cx="15074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spacing w:after="0" w:line="12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-10160</wp:posOffset>
            </wp:positionV>
            <wp:extent cx="3771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5" w:lineRule="exact"/>
        <w:rPr>
          <w:sz w:val="20"/>
          <w:szCs w:val="20"/>
          <w:color w:val="auto"/>
        </w:rPr>
      </w:pPr>
    </w:p>
    <w:p>
      <w:pPr>
        <w:ind w:left="1680" w:hanging="376"/>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Taxes; Conditions to Issuance of Certificates. Notwithstanding any other provision of this Agreement:</w:t>
      </w:r>
    </w:p>
    <w:p>
      <w:pPr>
        <w:spacing w:after="0" w:line="225" w:lineRule="exact"/>
        <w:rPr>
          <w:rFonts w:ascii="Arial" w:cs="Arial" w:eastAsia="Arial" w:hAnsi="Arial"/>
          <w:sz w:val="18"/>
          <w:szCs w:val="18"/>
          <w:color w:val="auto"/>
        </w:rPr>
      </w:pPr>
    </w:p>
    <w:p>
      <w:pPr>
        <w:jc w:val="both"/>
        <w:ind w:right="140" w:firstLine="1952"/>
        <w:spacing w:after="0" w:line="259" w:lineRule="auto"/>
        <w:tabs>
          <w:tab w:leader="none" w:pos="2291"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Participant is ultimately liable and responsible for all taxes owed in connection with the Shares. Neither the Company nor any of its subsidiaries makes any representation or undertaking regarding the tax treatment of the awarding of the Shares or the subsequent sale of the Shares. The Company and its subsidiaries do not commit and are under no obligation to structure the Award or the Shares to reduce or eliminate the Participant’s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-720725</wp:posOffset>
            </wp:positionV>
            <wp:extent cx="21570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7095" cy="889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40" w:name="page41"/>
    <w:bookmarkEnd w:id="40"/>
    <w:p>
      <w:pPr>
        <w:ind w:firstLine="1952"/>
        <w:spacing w:after="0" w:line="277" w:lineRule="auto"/>
        <w:tabs>
          <w:tab w:leader="none" w:pos="2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shall not be required to issue or deliver any Shares prior to the fulfillment of all of the conditions set forth in Sections 10(e) and 10(g) of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&amp;NBSP;&amp;NBSP;&amp;NBSP;&amp;NBSP;OTHER PROVISIONS</w:t>
      </w:r>
    </w:p>
    <w:p>
      <w:pPr>
        <w:spacing w:after="0" w:line="21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3.1 No Right to Employment or Other Status. Nothing in this Agreement or in the Plan shall confer upon the Participant any right to continued employment or any other relationship with the Company or any of its subsidiaries. The Company and its subsidiaries reserve the right at any time to dismiss or otherwise terminate their relationship with the Participant free from any liability or claim under this Agreement 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-322580</wp:posOffset>
            </wp:positionV>
            <wp:extent cx="19932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93265" cy="8255"/>
                    </a:xfrm>
                    <a:prstGeom prst="rect">
                      <a:avLst/>
                    </a:prstGeom>
                    <a:noFill/>
                  </pic:spPr>
                </pic:pic>
              </a:graphicData>
            </a:graphic>
          </wp:anchor>
        </w:drawing>
      </w:r>
    </w:p>
    <w:p>
      <w:pPr>
        <w:spacing w:after="0" w:line="14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3.2 Governing Law. This Agreement shall be governed by and interpreted in accordance with the laws of the State of Delaware, without regard to any applicable conflicts of law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-182245</wp:posOffset>
            </wp:positionV>
            <wp:extent cx="8343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150"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3.3 Conformity to Securities Laws. The Participant acknowledges that the Plan and this Agreement are intended to conform to the extent necessary with all provisions of the Securities Act of 1933, as amended, and the Exchange Act, and any and all regulations and rules promulgated thereunder by the Securities and Exchange Commission. Notwithstanding anything herein to the contrary, the Plan shall be administered, and the Award is granted, only in such a manner as to conform to such laws, rules and regulations. To the extent permitted by applicable law, the Plan and this Agreement shall be deemed amended to the extent necessary to conform to such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-589915</wp:posOffset>
            </wp:positionV>
            <wp:extent cx="15201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20190" cy="8890"/>
                    </a:xfrm>
                    <a:prstGeom prst="rect">
                      <a:avLst/>
                    </a:prstGeom>
                    <a:noFill/>
                  </pic:spPr>
                </pic:pic>
              </a:graphicData>
            </a:graphic>
          </wp:anchor>
        </w:drawing>
      </w:r>
    </w:p>
    <w:p>
      <w:pPr>
        <w:spacing w:after="0" w:line="1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3.4 Amendment, Suspension and Termination. To the extent permitted by the Plan, this Agreement may be wholly or partially amended or otherwise modified, suspended or terminated at any time or from time to time by the Board</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the Participant’s consent to such action shall be required unless (a) the Board determines that the action, taking into account any related action, would not materially and adversely affect the Participant’s rights under this Agreement or (b) such action is otherwise permitted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-446405</wp:posOffset>
            </wp:positionV>
            <wp:extent cx="20294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29460" cy="8255"/>
                    </a:xfrm>
                    <a:prstGeom prst="rect">
                      <a:avLst/>
                    </a:prstGeom>
                    <a:noFill/>
                  </pic:spPr>
                </pic:pic>
              </a:graphicData>
            </a:graphic>
          </wp:anchor>
        </w:drawing>
      </w:r>
    </w:p>
    <w:p>
      <w:pPr>
        <w:spacing w:after="0" w:line="167"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3.5 Notices. All notices required or permitted hereunder shall be given in writing and shall be deemed effectively given upon personal delivery or five days after deposit in the United States Post Office, by registered or certified mail, with postage and fees prepaid, addressed to the Participant to his address shown in the Company records, and to the Company at its principal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-311150</wp:posOffset>
            </wp:positionV>
            <wp:extent cx="4629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w:t>
      </w:r>
    </w:p>
    <w:p>
      <w:pPr>
        <w:sectPr>
          <w:pgSz w:w="11900" w:h="16838" w:orient="portrait"/>
          <w:cols w:equalWidth="0" w:num="1">
            <w:col w:w="11200"/>
          </w:cols>
          <w:pgMar w:left="320" w:top="341" w:right="3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Daniel P. McGahn, certify that:</w:t>
      </w:r>
    </w:p>
    <w:p>
      <w:pPr>
        <w:spacing w:after="0" w:line="211"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November 8, 2021</w:t>
            </w:r>
          </w:p>
        </w:tc>
        <w:tc>
          <w:tcPr>
            <w:tcW w:w="3300" w:type="dxa"/>
            <w:vAlign w:val="bottom"/>
            <w:tcBorders>
              <w:bottom w:val="single" w:sz="8" w:color="auto"/>
            </w:tcBorders>
          </w:tcPr>
          <w:p>
            <w:pPr>
              <w:ind w:left="2360"/>
              <w:spacing w:after="0"/>
              <w:rPr>
                <w:sz w:val="20"/>
                <w:szCs w:val="20"/>
                <w:color w:val="auto"/>
              </w:rPr>
            </w:pPr>
            <w:r>
              <w:rPr>
                <w:rFonts w:ascii="Arial" w:cs="Arial" w:eastAsia="Arial" w:hAnsi="Arial"/>
                <w:sz w:val="18"/>
                <w:szCs w:val="18"/>
                <w:b w:val="1"/>
                <w:bCs w:val="1"/>
                <w:color w:val="auto"/>
              </w:rPr>
              <w:t>By:</w:t>
            </w:r>
          </w:p>
        </w:tc>
        <w:tc>
          <w:tcPr>
            <w:tcW w:w="354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92"/>
              </w:rPr>
              <w:t>/s/</w:t>
            </w:r>
            <w:r>
              <w:rPr>
                <w:rFonts w:ascii="Arial" w:cs="Arial" w:eastAsia="Arial" w:hAnsi="Arial"/>
                <w:sz w:val="18"/>
                <w:szCs w:val="18"/>
                <w:b w:val="1"/>
                <w:bCs w:val="1"/>
                <w:color w:val="auto"/>
                <w:w w:val="92"/>
              </w:rPr>
              <w:t>Daniel P. McGahn</w:t>
            </w:r>
          </w:p>
        </w:tc>
      </w:tr>
      <w:tr>
        <w:trPr>
          <w:trHeight w:val="195"/>
        </w:trPr>
        <w:tc>
          <w:tcPr>
            <w:tcW w:w="44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540" w:type="dxa"/>
            <w:vAlign w:val="bottom"/>
          </w:tcPr>
          <w:p>
            <w:pPr>
              <w:jc w:val="center"/>
              <w:ind w:right="410"/>
              <w:spacing w:after="0" w:line="195" w:lineRule="exact"/>
              <w:rPr>
                <w:sz w:val="20"/>
                <w:szCs w:val="20"/>
                <w:color w:val="auto"/>
              </w:rPr>
            </w:pPr>
            <w:r>
              <w:rPr>
                <w:rFonts w:ascii="Arial" w:cs="Arial" w:eastAsia="Arial" w:hAnsi="Arial"/>
                <w:sz w:val="18"/>
                <w:szCs w:val="18"/>
                <w:color w:val="auto"/>
                <w:w w:val="90"/>
              </w:rPr>
              <w:t>Daniel P. McGahn</w:t>
            </w:r>
          </w:p>
        </w:tc>
      </w:tr>
      <w:tr>
        <w:trPr>
          <w:trHeight w:val="230"/>
        </w:trPr>
        <w:tc>
          <w:tcPr>
            <w:tcW w:w="44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540" w:type="dxa"/>
            <w:vAlign w:val="bottom"/>
          </w:tcPr>
          <w:p>
            <w:pPr>
              <w:jc w:val="center"/>
              <w:ind w:right="410"/>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W. Kosiba, Jr., certify that:</w:t>
      </w:r>
    </w:p>
    <w:p>
      <w:pPr>
        <w:spacing w:after="0" w:line="225"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tabs>
          <w:tab w:leader="none" w:pos="700" w:val="left"/>
          <w:tab w:leader="none" w:pos="6720" w:val="left"/>
          <w:tab w:leader="none" w:pos="8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September 30, 2021,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187"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6"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900" w:val="left"/>
          <w:tab w:leader="none" w:pos="6740" w:val="left"/>
          <w:tab w:leader="none" w:pos="8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September 30, 2021,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spacing w:after="0" w:line="187"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6"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780" w:val="left"/>
          <w:tab w:leader="none" w:pos="6740" w:val="left"/>
          <w:tab w:leader="none" w:pos="8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lvl w:ilvl="1">
      <w:lvlJc w:val="left"/>
      <w:lvlText w:val="(%2)"/>
      <w:numFmt w:val="lowerLetter"/>
      <w:start w:val="9"/>
    </w:lvl>
  </w:abstractNum>
  <w:abstractNum w:abstractNumId="8">
    <w:nsid w:val="1F16E9E8"/>
    <w:multiLevelType w:val="hybridMultilevel"/>
    <w:lvl w:ilvl="0">
      <w:lvlJc w:val="left"/>
      <w:lvlText w:val="(%1)"/>
      <w:numFmt w:val="lowerRoman"/>
      <w:start w:val="2"/>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2021-11-08T15:23:00Z</dcterms:created>
  <dcterms:modified xsi:type="dcterms:W3CDTF">2021-11-08T15:23:00Z</dcterms:modified>
</cp:coreProperties>
</file>