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201295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186055</wp:posOffset>
            </wp:positionV>
            <wp:extent cx="12858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41" w:lineRule="exact"/>
        <w:rPr>
          <w:sz w:val="24"/>
          <w:szCs w:val="24"/>
          <w:color w:val="auto"/>
        </w:rPr>
      </w:pPr>
    </w:p>
    <w:p>
      <w:pPr>
        <w:jc w:val="right"/>
        <w:ind w:left="3840" w:right="3800" w:hanging="3832"/>
        <w:spacing w:after="0" w:line="422" w:lineRule="auto"/>
        <w:tabs>
          <w:tab w:leader="none" w:pos="649"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For the transition period from </w:t>
      </w:r>
      <w:r>
        <w:rPr>
          <w:rFonts w:ascii="Arial" w:cs="Arial" w:eastAsia="Arial" w:hAnsi="Arial"/>
          <w:sz w:val="16"/>
          <w:szCs w:val="16"/>
          <w:color w:val="auto"/>
        </w:rPr>
        <w:t>_____</w:t>
      </w:r>
      <w:r>
        <w:rPr>
          <w:rFonts w:ascii="Arial" w:cs="Arial" w:eastAsia="Arial" w:hAnsi="Arial"/>
          <w:sz w:val="16"/>
          <w:szCs w:val="16"/>
          <w:b w:val="1"/>
          <w:bCs w:val="1"/>
          <w:color w:val="auto"/>
        </w:rPr>
        <w:t xml:space="preserve"> to </w:t>
      </w:r>
      <w:r>
        <w:rPr>
          <w:rFonts w:ascii="Arial" w:cs="Arial" w:eastAsia="Arial" w:hAnsi="Arial"/>
          <w:sz w:val="16"/>
          <w:szCs w:val="16"/>
          <w:color w:val="auto"/>
        </w:rPr>
        <w:t>_____</w:t>
      </w:r>
      <w:r>
        <w:rPr>
          <w:rFonts w:ascii="Arial" w:cs="Arial" w:eastAsia="Arial" w:hAnsi="Arial"/>
          <w:sz w:val="16"/>
          <w:szCs w:val="16"/>
          <w:b w:val="1"/>
          <w:bCs w:val="1"/>
          <w:color w:val="auto"/>
        </w:rPr>
        <w:t>.</w:t>
      </w:r>
    </w:p>
    <w:p>
      <w:pPr>
        <w:ind w:left="42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Commission File Number: 0-19672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231775</wp:posOffset>
            </wp:positionV>
            <wp:extent cx="1285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American Superconductor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150495</wp:posOffset>
            </wp:positionV>
            <wp:extent cx="12858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340" w:type="dxa"/>
        <w:tblCellMar>
          <w:top w:w="0" w:type="dxa"/>
          <w:left w:w="0" w:type="dxa"/>
          <w:bottom w:w="0" w:type="dxa"/>
          <w:right w:w="0" w:type="dxa"/>
        </w:tblCellMar>
      </w:tblPr>
      <w:tr>
        <w:trPr>
          <w:trHeight w:val="212"/>
        </w:trPr>
        <w:tc>
          <w:tcPr>
            <w:tcW w:w="6220" w:type="dxa"/>
            <w:vAlign w:val="bottom"/>
          </w:tcPr>
          <w:p>
            <w:pPr>
              <w:jc w:val="center"/>
              <w:ind w:right="318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61"/>
              <w:spacing w:after="0"/>
              <w:rPr>
                <w:sz w:val="20"/>
                <w:szCs w:val="20"/>
                <w:color w:val="auto"/>
              </w:rPr>
            </w:pPr>
            <w:r>
              <w:rPr>
                <w:rFonts w:ascii="Arial" w:cs="Arial" w:eastAsia="Arial" w:hAnsi="Arial"/>
                <w:sz w:val="18"/>
                <w:szCs w:val="18"/>
                <w:b w:val="1"/>
                <w:bCs w:val="1"/>
                <w:color w:val="auto"/>
              </w:rPr>
              <w:t>04-2959321</w:t>
            </w:r>
          </w:p>
        </w:tc>
      </w:tr>
      <w:tr>
        <w:trPr>
          <w:trHeight w:val="148"/>
        </w:trPr>
        <w:tc>
          <w:tcPr>
            <w:tcW w:w="6220" w:type="dxa"/>
            <w:vAlign w:val="bottom"/>
          </w:tcPr>
          <w:p>
            <w:pPr>
              <w:jc w:val="center"/>
              <w:ind w:right="31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180"/>
              <w:spacing w:after="0"/>
              <w:rPr>
                <w:sz w:val="20"/>
                <w:szCs w:val="20"/>
                <w:color w:val="auto"/>
              </w:rPr>
            </w:pPr>
            <w:r>
              <w:rPr>
                <w:rFonts w:ascii="Arial" w:cs="Arial" w:eastAsia="Arial" w:hAnsi="Arial"/>
                <w:sz w:val="14"/>
                <w:szCs w:val="14"/>
                <w:b w:val="1"/>
                <w:bCs w:val="1"/>
                <w:color w:val="auto"/>
                <w:w w:val="94"/>
              </w:rPr>
              <w:t>incorporation or organization)</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6"/>
              </w:rPr>
              <w:t>Identification No.)</w:t>
            </w:r>
          </w:p>
        </w:tc>
      </w:tr>
      <w:tr>
        <w:trPr>
          <w:trHeight w:val="327"/>
        </w:trPr>
        <w:tc>
          <w:tcPr>
            <w:tcW w:w="6220" w:type="dxa"/>
            <w:vAlign w:val="bottom"/>
          </w:tcPr>
          <w:p>
            <w:pPr>
              <w:jc w:val="center"/>
              <w:ind w:right="3200"/>
              <w:spacing w:after="0"/>
              <w:rPr>
                <w:sz w:val="20"/>
                <w:szCs w:val="20"/>
                <w:color w:val="auto"/>
              </w:rPr>
            </w:pPr>
            <w:r>
              <w:rPr>
                <w:rFonts w:ascii="Arial" w:cs="Arial" w:eastAsia="Arial" w:hAnsi="Arial"/>
                <w:sz w:val="18"/>
                <w:szCs w:val="18"/>
                <w:b w:val="1"/>
                <w:bCs w:val="1"/>
                <w:color w:val="auto"/>
                <w:w w:val="88"/>
              </w:rPr>
              <w:t>114 East Main St. Ayer, Massachusetts</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01432</w:t>
            </w:r>
          </w:p>
        </w:tc>
      </w:tr>
      <w:tr>
        <w:trPr>
          <w:trHeight w:val="186"/>
        </w:trPr>
        <w:tc>
          <w:tcPr>
            <w:tcW w:w="6220" w:type="dxa"/>
            <w:vAlign w:val="bottom"/>
          </w:tcPr>
          <w:p>
            <w:pPr>
              <w:jc w:val="center"/>
              <w:ind w:right="32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40" w:type="dxa"/>
            <w:vAlign w:val="bottom"/>
          </w:tcPr>
          <w:p>
            <w:pPr>
              <w:jc w:val="center"/>
              <w:ind w:left="22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220" w:type="dxa"/>
            <w:vAlign w:val="bottom"/>
          </w:tcPr>
          <w:p>
            <w:pPr>
              <w:jc w:val="right"/>
              <w:ind w:right="1300"/>
              <w:spacing w:after="0"/>
              <w:rPr>
                <w:sz w:val="20"/>
                <w:szCs w:val="20"/>
                <w:color w:val="auto"/>
              </w:rPr>
            </w:pPr>
            <w:r>
              <w:rPr>
                <w:rFonts w:ascii="Arial" w:cs="Arial" w:eastAsia="Arial" w:hAnsi="Arial"/>
                <w:sz w:val="18"/>
                <w:szCs w:val="18"/>
                <w:b w:val="1"/>
                <w:bCs w:val="1"/>
                <w:color w:val="auto"/>
              </w:rPr>
              <w:t>(978) 842-3000</w:t>
            </w:r>
          </w:p>
        </w:tc>
        <w:tc>
          <w:tcPr>
            <w:tcW w:w="1440" w:type="dxa"/>
            <w:vAlign w:val="bottom"/>
          </w:tcPr>
          <w:p>
            <w:pPr>
              <w:spacing w:after="0"/>
              <w:rPr>
                <w:sz w:val="24"/>
                <w:szCs w:val="24"/>
                <w:color w:val="auto"/>
              </w:rPr>
            </w:pPr>
          </w:p>
        </w:tc>
      </w:tr>
      <w:tr>
        <w:trPr>
          <w:trHeight w:val="186"/>
        </w:trPr>
        <w:tc>
          <w:tcPr>
            <w:tcW w:w="6220" w:type="dxa"/>
            <w:vAlign w:val="bottom"/>
          </w:tcPr>
          <w:p>
            <w:pPr>
              <w:jc w:val="center"/>
              <w:ind w:left="22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40" w:type="dxa"/>
            <w:vAlign w:val="bottom"/>
          </w:tcPr>
          <w:p>
            <w:pPr>
              <w:spacing w:after="0"/>
              <w:rPr>
                <w:sz w:val="16"/>
                <w:szCs w:val="16"/>
                <w:color w:val="auto"/>
              </w:rPr>
            </w:pP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112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2"/>
              </w:rPr>
              <w:t>Trading Symbol(s)</w:t>
            </w:r>
          </w:p>
        </w:tc>
        <w:tc>
          <w:tcPr>
            <w:tcW w:w="35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89"/>
              </w:rPr>
              <w:t>Name of each exchange on which registered</w:t>
            </w:r>
          </w:p>
        </w:tc>
      </w:tr>
      <w:tr>
        <w:trPr>
          <w:trHeight w:val="195"/>
        </w:trPr>
        <w:tc>
          <w:tcPr>
            <w:tcW w:w="3200" w:type="dxa"/>
            <w:vAlign w:val="bottom"/>
          </w:tcPr>
          <w:p>
            <w:pPr>
              <w:jc w:val="center"/>
              <w:ind w:left="110"/>
              <w:spacing w:after="0" w:line="195" w:lineRule="exact"/>
              <w:rPr>
                <w:sz w:val="20"/>
                <w:szCs w:val="20"/>
                <w:color w:val="auto"/>
              </w:rPr>
            </w:pPr>
            <w:r>
              <w:rPr>
                <w:rFonts w:ascii="Arial" w:cs="Arial" w:eastAsia="Arial" w:hAnsi="Arial"/>
                <w:sz w:val="18"/>
                <w:szCs w:val="18"/>
                <w:color w:val="auto"/>
                <w:w w:val="90"/>
              </w:rPr>
              <w:t>Common Stock,</w:t>
            </w:r>
          </w:p>
        </w:tc>
        <w:tc>
          <w:tcPr>
            <w:tcW w:w="224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230"/>
        </w:trPr>
        <w:tc>
          <w:tcPr>
            <w:tcW w:w="320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7"/>
              </w:rPr>
              <w:t>$0.01 par value per share</w:t>
            </w:r>
          </w:p>
        </w:tc>
        <w:tc>
          <w:tcPr>
            <w:tcW w:w="22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6"/>
              </w:rPr>
              <w:t>AMSC</w:t>
            </w:r>
          </w:p>
        </w:tc>
        <w:tc>
          <w:tcPr>
            <w:tcW w:w="3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color w:val="auto"/>
                <w:w w:val="90"/>
              </w:rPr>
              <w:t>Nasdaq Global Select Market</w:t>
            </w:r>
          </w:p>
        </w:tc>
      </w:tr>
    </w:tbl>
    <w:p>
      <w:pPr>
        <w:spacing w:after="0" w:line="310"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36" w:right="339" w:bottom="109" w:gutter="0" w:footer="0" w:header="0"/>
        </w:sectPr>
      </w:pPr>
    </w:p>
    <w:p>
      <w:pPr>
        <w:spacing w:after="0" w:line="83"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09"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13" w:lineRule="exact"/>
        <w:rPr>
          <w:sz w:val="24"/>
          <w:szCs w:val="24"/>
          <w:color w:val="auto"/>
        </w:rPr>
      </w:pPr>
    </w:p>
    <w:p>
      <w:pPr>
        <w:sectPr>
          <w:pgSz w:w="11900" w:h="16838" w:orient="portrait"/>
          <w:cols w:equalWidth="0" w:num="2">
            <w:col w:w="5520" w:space="720"/>
            <w:col w:w="5000"/>
          </w:cols>
          <w:pgMar w:left="320" w:top="836" w:right="339" w:bottom="109" w:gutter="0" w:footer="0" w:header="0"/>
          <w:type w:val="continuous"/>
        </w:sectPr>
      </w:pPr>
    </w:p>
    <w:p>
      <w:pPr>
        <w:ind w:left="6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36" w:right="339" w:bottom="109" w:gutter="0" w:footer="0" w:header="0"/>
          <w:type w:val="continuous"/>
        </w:sectPr>
      </w:pPr>
    </w:p>
    <w:p>
      <w:pPr>
        <w:spacing w:after="0" w:line="213"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Shares outstanding of the Registrant’s common stock:</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5840" w:type="dxa"/>
            <w:vAlign w:val="bottom"/>
            <w:gridSpan w:val="2"/>
          </w:tcPr>
          <w:p>
            <w:pPr>
              <w:jc w:val="right"/>
              <w:ind w:right="2210"/>
              <w:spacing w:after="0"/>
              <w:rPr>
                <w:sz w:val="20"/>
                <w:szCs w:val="20"/>
                <w:color w:val="auto"/>
              </w:rPr>
            </w:pPr>
            <w:r>
              <w:rPr>
                <w:rFonts w:ascii="Arial" w:cs="Arial" w:eastAsia="Arial" w:hAnsi="Arial"/>
                <w:sz w:val="18"/>
                <w:szCs w:val="18"/>
                <w:b w:val="1"/>
                <w:bCs w:val="1"/>
                <w:color w:val="auto"/>
              </w:rPr>
              <w:t>28,457,749</w:t>
            </w:r>
          </w:p>
        </w:tc>
      </w:tr>
      <w:tr>
        <w:trPr>
          <w:trHeight w:val="228"/>
        </w:trPr>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Class</w:t>
            </w:r>
          </w:p>
        </w:tc>
        <w:tc>
          <w:tcPr>
            <w:tcW w:w="440" w:type="dxa"/>
            <w:vAlign w:val="bottom"/>
          </w:tcPr>
          <w:p>
            <w:pPr>
              <w:spacing w:after="0"/>
              <w:rPr>
                <w:sz w:val="19"/>
                <w:szCs w:val="19"/>
                <w:color w:val="auto"/>
              </w:rPr>
            </w:pPr>
          </w:p>
        </w:tc>
        <w:tc>
          <w:tcPr>
            <w:tcW w:w="54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Outstanding as of January 28, 2022</w:t>
            </w:r>
          </w:p>
        </w:tc>
      </w:tr>
      <w:tr>
        <w:trPr>
          <w:trHeight w:val="252"/>
        </w:trPr>
        <w:tc>
          <w:tcPr>
            <w:tcW w:w="54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400" w:type="dxa"/>
            <w:vAlign w:val="bottom"/>
            <w:tcBorders>
              <w:bottom w:val="single" w:sz="8" w:color="auto"/>
            </w:tcBorders>
          </w:tcPr>
          <w:p>
            <w:pPr>
              <w:spacing w:after="0"/>
              <w:rPr>
                <w:sz w:val="21"/>
                <w:szCs w:val="21"/>
                <w:color w:val="auto"/>
              </w:rPr>
            </w:pPr>
          </w:p>
        </w:tc>
      </w:tr>
      <w:tr>
        <w:trPr>
          <w:trHeight w:val="68"/>
        </w:trPr>
        <w:tc>
          <w:tcPr>
            <w:tcW w:w="540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5400" w:type="dxa"/>
            <w:vAlign w:val="bottom"/>
            <w:tcBorders>
              <w:bottom w:val="single" w:sz="8" w:color="auto"/>
            </w:tcBorders>
          </w:tcPr>
          <w:p>
            <w:pPr>
              <w:spacing w:after="0"/>
              <w:rPr>
                <w:sz w:val="5"/>
                <w:szCs w:val="5"/>
                <w:color w:val="auto"/>
              </w:rPr>
            </w:pPr>
          </w:p>
        </w:tc>
      </w:tr>
      <w:tr>
        <w:trPr>
          <w:trHeight w:val="628"/>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36" w:right="339" w:bottom="10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gridSpan w:val="10"/>
            <w:vMerge w:val="restart"/>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I—FINANCIAL INFORMATION</w:t>
              </w:r>
            </w:hyperlink>
          </w:p>
        </w:tc>
        <w:tc>
          <w:tcPr>
            <w:tcW w:w="7360" w:type="dxa"/>
            <w:vAlign w:val="bottom"/>
            <w:gridSpan w:val="5"/>
            <w:vMerge w:val="restart"/>
          </w:tcPr>
          <w:p>
            <w:pPr>
              <w:spacing w:after="0"/>
              <w:rPr>
                <w:sz w:val="20"/>
                <w:szCs w:val="20"/>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0000EE"/>
            </w:tcBorders>
            <w:gridSpan w:val="10"/>
            <w:vMerge w:val="continue"/>
          </w:tcPr>
          <w:p>
            <w:pPr>
              <w:spacing w:after="0"/>
              <w:rPr>
                <w:sz w:val="14"/>
                <w:szCs w:val="14"/>
                <w:color w:val="auto"/>
              </w:rPr>
            </w:pPr>
          </w:p>
        </w:tc>
        <w:tc>
          <w:tcPr>
            <w:tcW w:w="7360" w:type="dxa"/>
            <w:vAlign w:val="bottom"/>
            <w:gridSpan w:val="5"/>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920" w:type="dxa"/>
            <w:vAlign w:val="bottom"/>
            <w:gridSpan w:val="8"/>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 Operations</w:t>
              </w:r>
            </w:hyperlink>
          </w:p>
        </w:tc>
        <w:tc>
          <w:tcPr>
            <w:tcW w:w="90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900" w:type="dxa"/>
            <w:vAlign w:val="bottom"/>
            <w:gridSpan w:val="3"/>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30</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340" w:type="dxa"/>
            <w:vAlign w:val="bottom"/>
            <w:gridSpan w:val="15"/>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PART II—OTHER INFORMATION</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660" w:type="dxa"/>
            <w:vAlign w:val="bottom"/>
            <w:gridSpan w:val="6"/>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9"/>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Unregistered Sales of Equity Securities and Use of Proceeds</w:t>
              </w:r>
            </w:hyperlink>
          </w:p>
        </w:tc>
        <w:tc>
          <w:tcPr>
            <w:tcW w:w="5080" w:type="dxa"/>
            <w:vAlign w:val="bottom"/>
            <w:gridSpan w:val="3"/>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9">
              <w:r>
                <w:rPr>
                  <w:rFonts w:ascii="Arial" w:cs="Arial" w:eastAsia="Arial" w:hAnsi="Arial"/>
                  <w:sz w:val="18"/>
                  <w:szCs w:val="18"/>
                  <w:color w:val="0000EE"/>
                  <w:w w:val="90"/>
                </w:rPr>
                <w:t>Defaults Upon Senior Securities</w:t>
              </w:r>
            </w:hyperlink>
          </w:p>
        </w:tc>
        <w:tc>
          <w:tcPr>
            <w:tcW w:w="7100" w:type="dxa"/>
            <w:vAlign w:val="bottom"/>
            <w:gridSpan w:val="4"/>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Mine Safety Disclosure</w:t>
              </w:r>
            </w:hyperlink>
          </w:p>
        </w:tc>
        <w:tc>
          <w:tcPr>
            <w:tcW w:w="77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42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Other Information</w:t>
              </w:r>
            </w:hyperlink>
          </w:p>
        </w:tc>
        <w:tc>
          <w:tcPr>
            <w:tcW w:w="90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40">
              <w:r>
                <w:rPr>
                  <w:rFonts w:ascii="Arial" w:cs="Arial" w:eastAsia="Arial" w:hAnsi="Arial"/>
                  <w:sz w:val="18"/>
                  <w:szCs w:val="18"/>
                  <w:color w:val="0000EE"/>
                  <w:w w:val="91"/>
                </w:rPr>
                <w:t>Exhibits</w:t>
              </w:r>
            </w:hyperlink>
          </w:p>
        </w:tc>
        <w:tc>
          <w:tcPr>
            <w:tcW w:w="700" w:type="dxa"/>
            <w:vAlign w:val="bottom"/>
            <w:tcBorders>
              <w:top w:val="single" w:sz="8" w:color="0000EE"/>
            </w:tcBorders>
            <w:gridSpan w:val="2"/>
          </w:tcPr>
          <w:p>
            <w:pPr>
              <w:spacing w:after="0"/>
              <w:rPr>
                <w:sz w:val="24"/>
                <w:szCs w:val="24"/>
                <w:color w:val="auto"/>
              </w:rPr>
            </w:pPr>
          </w:p>
        </w:tc>
        <w:tc>
          <w:tcPr>
            <w:tcW w:w="812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412"/>
        </w:trPr>
        <w:tc>
          <w:tcPr>
            <w:tcW w:w="92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0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453"/>
        </w:trPr>
        <w:tc>
          <w:tcPr>
            <w:tcW w:w="7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6440" w:type="dxa"/>
            <w:vAlign w:val="bottom"/>
            <w:gridSpan w:val="12"/>
          </w:tcPr>
          <w:p>
            <w:pPr>
              <w:ind w:left="4660"/>
              <w:spacing w:after="0"/>
              <w:rPr>
                <w:sz w:val="20"/>
                <w:szCs w:val="20"/>
                <w:color w:val="auto"/>
              </w:rPr>
            </w:pPr>
            <w:r>
              <w:rPr>
                <w:rFonts w:ascii="Arial" w:cs="Arial" w:eastAsia="Arial" w:hAnsi="Arial"/>
                <w:sz w:val="18"/>
                <w:szCs w:val="18"/>
                <w:color w:val="auto"/>
              </w:rPr>
              <w:t>2</w:t>
            </w:r>
          </w:p>
        </w:tc>
        <w:tc>
          <w:tcPr>
            <w:tcW w:w="2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6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7"/>
              </w:rPr>
              <w:t>December 31, 2021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March 31, 2021</w:t>
            </w:r>
          </w:p>
        </w:tc>
      </w:tr>
      <w:tr>
        <w:trPr>
          <w:trHeight w:val="210"/>
        </w:trPr>
        <w:tc>
          <w:tcPr>
            <w:tcW w:w="80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Inventory, net</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13,306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105,230</w:t>
            </w:r>
          </w:p>
        </w:tc>
      </w:tr>
      <w:tr>
        <w:trPr>
          <w:trHeight w:val="216"/>
        </w:trPr>
        <w:tc>
          <w:tcPr>
            <w:tcW w:w="8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8,997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Intangibles, net</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9,153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Right-of-use assets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34,634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5,568</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1,223</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175,296</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ind w:left="200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24,332</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Lease liability, current portion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current portion</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revenue, current portion</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40,738</w:t>
            </w:r>
          </w:p>
        </w:tc>
      </w:tr>
      <w:tr>
        <w:trPr>
          <w:trHeight w:val="216"/>
        </w:trPr>
        <w:tc>
          <w:tcPr>
            <w:tcW w:w="8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revenue, long-term portion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7,991</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liability, long-term portion</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long-term portion</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52,274</w:t>
            </w:r>
          </w:p>
        </w:tc>
      </w:tr>
      <w:tr>
        <w:trPr>
          <w:trHeight w:val="210"/>
        </w:trPr>
        <w:tc>
          <w:tcPr>
            <w:tcW w:w="800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16)</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1,121,495</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Treasury stock</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(3,639)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(3,593)</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(1,015,474)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(1,001,313)</w:t>
            </w:r>
          </w:p>
        </w:tc>
      </w:tr>
      <w:tr>
        <w:trPr>
          <w:trHeight w:val="210"/>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175,296</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65,961</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19,676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51,444</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14,517</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8,368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8,248</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18,609</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601</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13,214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26,383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(4,380)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(9,258)</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(16,182)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(15,681)</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Loss before 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(9,479)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(16,107)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(16,228)</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(1,546)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(1,166)</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(4,324)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(15,062)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(0.65)</w:t>
            </w:r>
          </w:p>
        </w:tc>
      </w:tr>
      <w:tr>
        <w:trPr>
          <w:trHeight w:val="216"/>
        </w:trPr>
        <w:tc>
          <w:tcPr>
            <w:tcW w:w="5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27,145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27,352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25,470</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27,145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23,011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comprehensive (loss) gain, net of tax:</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 gain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other comprehensive (loss) gain, net of tax</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(15,251)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5" w:name="page6"/>
    <w:bookmarkEnd w:id="5"/>
    <w:p>
      <w:pPr>
        <w:spacing w:after="0" w:line="80"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AMERICAN SUPERCONDUCTOR CORPORATION UNAUDITED CONSOLIDATED STATEMENTS OF STOCKHOLDERS’ EQUITY FOR THE THREE AND NINE MONTHS ENDED DECEMBER 31, 2021 AND 2020</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27,988</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$ 1,121,495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(1,001,313)</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116,592</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1,681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2"/>
              </w:rPr>
              <w:t>Issuance of common stock - Neeltran</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acquisition</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880" w:type="dxa"/>
            <w:vAlign w:val="bottom"/>
          </w:tcPr>
          <w:p>
            <w:pPr>
              <w:jc w:val="right"/>
              <w:spacing w:after="0"/>
              <w:rPr>
                <w:sz w:val="20"/>
                <w:szCs w:val="20"/>
                <w:color w:val="auto"/>
              </w:rPr>
            </w:pPr>
            <w:r>
              <w:rPr>
                <w:rFonts w:ascii="Arial" w:cs="Arial" w:eastAsia="Arial" w:hAnsi="Arial"/>
                <w:sz w:val="18"/>
                <w:szCs w:val="18"/>
                <w:color w:val="auto"/>
              </w:rPr>
              <w:t>28,726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287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$ 1,128,961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(1,006,716)</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118,553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10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w w:val="99"/>
              </w:rPr>
              <w:t>Issuance of common stock - bonus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payout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$ 1,130,921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(1,011,150)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116,104</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28,855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289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$ 1,132,155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(1,015,474)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113,035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120" w:type="dxa"/>
            <w:vAlign w:val="bottom"/>
          </w:tcPr>
          <w:p>
            <w:pPr>
              <w:spacing w:after="0"/>
              <w:rPr>
                <w:sz w:val="24"/>
                <w:szCs w:val="24"/>
                <w:color w:val="auto"/>
              </w:rPr>
            </w:pPr>
          </w:p>
        </w:tc>
        <w:tc>
          <w:tcPr>
            <w:tcW w:w="16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1600" w:type="dxa"/>
            <w:vAlign w:val="bottom"/>
            <w:tcBorders>
              <w:bottom w:val="single" w:sz="8" w:color="auto"/>
            </w:tcBorders>
            <w:gridSpan w:val="4"/>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16"/>
                <w:szCs w:val="16"/>
                <w:color w:val="auto"/>
              </w:rPr>
            </w:pPr>
          </w:p>
        </w:tc>
        <w:tc>
          <w:tcPr>
            <w:tcW w:w="100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93"/>
              </w:rPr>
              <w:t>Number of</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40"/>
              <w:spacing w:after="0" w:line="191" w:lineRule="exact"/>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Treasury</w:t>
            </w:r>
          </w:p>
        </w:tc>
        <w:tc>
          <w:tcPr>
            <w:tcW w:w="14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Comprehensive</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Par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22,902</w:t>
            </w:r>
          </w:p>
        </w:tc>
        <w:tc>
          <w:tcPr>
            <w:tcW w:w="60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229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$ 1,053,507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(978,635)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72,219</w:t>
            </w:r>
          </w:p>
        </w:tc>
        <w:tc>
          <w:tcPr>
            <w:tcW w:w="0" w:type="dxa"/>
            <w:vAlign w:val="bottom"/>
          </w:tcPr>
          <w:p>
            <w:pPr>
              <w:spacing w:after="0"/>
              <w:rPr>
                <w:sz w:val="1"/>
                <w:szCs w:val="1"/>
                <w:color w:val="auto"/>
              </w:rPr>
            </w:pPr>
          </w:p>
        </w:tc>
      </w:tr>
      <w:tr>
        <w:trPr>
          <w:trHeight w:val="182"/>
        </w:trPr>
        <w:tc>
          <w:tcPr>
            <w:tcW w:w="3120" w:type="dxa"/>
            <w:vAlign w:val="bottom"/>
            <w:tcBorders>
              <w:top w:val="single" w:sz="8" w:color="CCEEFF"/>
            </w:tcBorders>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493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880" w:type="dxa"/>
            <w:vAlign w:val="bottom"/>
          </w:tcPr>
          <w:p>
            <w:pPr>
              <w:jc w:val="right"/>
              <w:spacing w:after="0"/>
              <w:rPr>
                <w:sz w:val="20"/>
                <w:szCs w:val="20"/>
                <w:color w:val="auto"/>
              </w:rPr>
            </w:pPr>
            <w:r>
              <w:rPr>
                <w:rFonts w:ascii="Arial" w:cs="Arial" w:eastAsia="Arial" w:hAnsi="Arial"/>
                <w:sz w:val="18"/>
                <w:szCs w:val="18"/>
                <w:color w:val="auto"/>
              </w:rPr>
              <w:t>23,408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234</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$ 1,054,499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(982,052)</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69,419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w w:val="99"/>
              </w:rPr>
              <w:t>Issuance of common stock - ESPP</w:t>
            </w:r>
          </w:p>
        </w:tc>
        <w:tc>
          <w:tcPr>
            <w:tcW w:w="10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restricted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(3,712)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tcPr>
          <w:p>
            <w:pPr>
              <w:spacing w:after="0" w:line="196" w:lineRule="exact"/>
              <w:rPr>
                <w:sz w:val="20"/>
                <w:szCs w:val="20"/>
                <w:color w:val="auto"/>
              </w:rPr>
            </w:pPr>
            <w:r>
              <w:rPr>
                <w:rFonts w:ascii="Arial" w:cs="Arial" w:eastAsia="Arial" w:hAnsi="Arial"/>
                <w:sz w:val="18"/>
                <w:szCs w:val="18"/>
                <w:color w:val="auto"/>
              </w:rPr>
              <w:t>Balance at September 30, 2020</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23,458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234</w:t>
            </w:r>
          </w:p>
        </w:tc>
        <w:tc>
          <w:tcPr>
            <w:tcW w:w="1120" w:type="dxa"/>
            <w:vAlign w:val="bottom"/>
            <w:gridSpan w:val="3"/>
          </w:tcPr>
          <w:p>
            <w:pPr>
              <w:jc w:val="right"/>
              <w:ind w:right="120"/>
              <w:spacing w:after="0" w:line="196" w:lineRule="exact"/>
              <w:rPr>
                <w:sz w:val="20"/>
                <w:szCs w:val="20"/>
                <w:color w:val="auto"/>
              </w:rPr>
            </w:pPr>
            <w:r>
              <w:rPr>
                <w:rFonts w:ascii="Arial" w:cs="Arial" w:eastAsia="Arial" w:hAnsi="Arial"/>
                <w:sz w:val="18"/>
                <w:szCs w:val="18"/>
                <w:color w:val="auto"/>
              </w:rPr>
              <w:t>$ 1,055,548</w:t>
            </w:r>
          </w:p>
        </w:tc>
        <w:tc>
          <w:tcPr>
            <w:tcW w:w="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(3,336)</w:t>
            </w:r>
          </w:p>
        </w:tc>
        <w:tc>
          <w:tcPr>
            <w:tcW w:w="2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(262)</w:t>
            </w:r>
          </w:p>
        </w:tc>
        <w:tc>
          <w:tcPr>
            <w:tcW w:w="1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(985,764)</w:t>
            </w:r>
          </w:p>
        </w:tc>
        <w:tc>
          <w:tcPr>
            <w:tcW w:w="240" w:type="dxa"/>
            <w:vAlign w:val="bottom"/>
            <w:gridSpan w:val="2"/>
          </w:tcPr>
          <w:p>
            <w:pPr>
              <w:ind w:left="8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66,420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20" w:type="dxa"/>
            <w:vAlign w:val="bottom"/>
            <w:shd w:val="clear" w:color="auto" w:fill="CCEEFF"/>
          </w:tcPr>
          <w:p>
            <w:pPr>
              <w:ind w:left="340"/>
              <w:spacing w:after="0" w:line="182" w:lineRule="exact"/>
              <w:rPr>
                <w:sz w:val="20"/>
                <w:szCs w:val="20"/>
                <w:color w:val="auto"/>
              </w:rPr>
            </w:pPr>
            <w:r>
              <w:rPr>
                <w:rFonts w:ascii="Arial" w:cs="Arial" w:eastAsia="Arial" w:hAnsi="Arial"/>
                <w:sz w:val="18"/>
                <w:szCs w:val="18"/>
                <w:color w:val="auto"/>
              </w:rPr>
              <w:t>Issuance of common stock -</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shares, net of forfeitures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w w:val="95"/>
              </w:rPr>
              <w:t>Stock-based compensation expense</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stock for 401(k) match</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3120" w:type="dxa"/>
            <w:vAlign w:val="bottom"/>
          </w:tcPr>
          <w:p>
            <w:pPr>
              <w:ind w:left="340"/>
              <w:spacing w:after="0" w:line="201" w:lineRule="exact"/>
              <w:rPr>
                <w:sz w:val="20"/>
                <w:szCs w:val="20"/>
                <w:color w:val="auto"/>
              </w:rPr>
            </w:pPr>
            <w:r>
              <w:rPr>
                <w:rFonts w:ascii="Arial" w:cs="Arial" w:eastAsia="Arial" w:hAnsi="Arial"/>
                <w:sz w:val="18"/>
                <w:szCs w:val="18"/>
                <w:color w:val="auto"/>
              </w:rPr>
              <w:t>Issuance of common stock - stock</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offering</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3,670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51,440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Issuance of common stock - NEPSI</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r>
        <w:trPr>
          <w:trHeight w:val="216"/>
        </w:trPr>
        <w:tc>
          <w:tcPr>
            <w:tcW w:w="3120" w:type="dxa"/>
            <w:vAlign w:val="bottom"/>
          </w:tcPr>
          <w:p>
            <w:pPr>
              <w:ind w:left="340"/>
              <w:spacing w:after="0"/>
              <w:rPr>
                <w:sz w:val="20"/>
                <w:szCs w:val="20"/>
                <w:color w:val="auto"/>
              </w:rPr>
            </w:pPr>
            <w:r>
              <w:rPr>
                <w:rFonts w:ascii="Arial" w:cs="Arial" w:eastAsia="Arial" w:hAnsi="Arial"/>
                <w:sz w:val="18"/>
                <w:szCs w:val="18"/>
                <w:color w:val="auto"/>
              </w:rPr>
              <w:t>Repurchase of treasury stock</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adjustment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31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(7,933)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(7,933)</w:t>
            </w:r>
          </w:p>
        </w:tc>
        <w:tc>
          <w:tcPr>
            <w:tcW w:w="0" w:type="dxa"/>
            <w:vAlign w:val="bottom"/>
          </w:tcPr>
          <w:p>
            <w:pPr>
              <w:spacing w:after="0"/>
              <w:rPr>
                <w:sz w:val="1"/>
                <w:szCs w:val="1"/>
                <w:color w:val="auto"/>
              </w:rPr>
            </w:pPr>
          </w:p>
        </w:tc>
      </w:tr>
    </w:tbl>
    <w:p>
      <w:pPr>
        <w:sectPr>
          <w:pgSz w:w="11900" w:h="16919" w:orient="portrait"/>
          <w:cols w:equalWidth="0" w:num="1">
            <w:col w:w="11240"/>
          </w:cols>
          <w:pgMar w:left="320" w:top="823" w:right="339" w:bottom="0" w:gutter="0" w:footer="0" w:header="0"/>
        </w:sectPr>
      </w:pPr>
    </w:p>
    <w:bookmarkStart w:id="6" w:name="page7"/>
    <w:bookmarkEnd w:id="6"/>
    <w:p>
      <w:pPr>
        <w:spacing w:after="0"/>
        <w:tabs>
          <w:tab w:leader="none" w:pos="3480" w:val="left"/>
          <w:tab w:leader="none" w:pos="4180" w:val="left"/>
          <w:tab w:leader="none" w:pos="4760" w:val="left"/>
          <w:tab w:leader="none" w:pos="5240" w:val="left"/>
          <w:tab w:leader="none" w:pos="6340" w:val="left"/>
          <w:tab w:leader="none" w:pos="6760" w:val="left"/>
          <w:tab w:leader="none" w:pos="7440" w:val="left"/>
          <w:tab w:leader="none" w:pos="8300" w:val="left"/>
          <w:tab w:leader="none" w:pos="8840" w:val="left"/>
          <w:tab w:leader="none" w:pos="9220" w:val="left"/>
          <w:tab w:leader="none" w:pos="10080" w:val="left"/>
          <w:tab w:leader="none" w:pos="10520" w:val="left"/>
        </w:tabs>
        <w:rPr>
          <w:sz w:val="20"/>
          <w:szCs w:val="20"/>
          <w:color w:val="auto"/>
        </w:rPr>
      </w:pPr>
      <w:r>
        <w:rPr>
          <w:rFonts w:ascii="Arial" w:cs="Arial" w:eastAsia="Arial" w:hAnsi="Arial"/>
          <w:sz w:val="35"/>
          <w:szCs w:val="35"/>
          <w:color w:val="auto"/>
          <w:vertAlign w:val="subscript"/>
        </w:rPr>
        <w:t>Balance at December 31, 2020</w:t>
      </w:r>
      <w:r>
        <w:rPr>
          <w:sz w:val="20"/>
          <w:szCs w:val="20"/>
          <w:color w:val="auto"/>
        </w:rPr>
        <w:tab/>
      </w:r>
      <w:r>
        <w:rPr>
          <w:rFonts w:ascii="Arial" w:cs="Arial" w:eastAsia="Arial" w:hAnsi="Arial"/>
          <w:sz w:val="18"/>
          <w:szCs w:val="18"/>
          <w:color w:val="auto"/>
        </w:rPr>
        <w:t>27,975</w:t>
        <w:tab/>
        <w:t>$</w:t>
      </w:r>
      <w:r>
        <w:rPr>
          <w:sz w:val="20"/>
          <w:szCs w:val="20"/>
          <w:color w:val="auto"/>
        </w:rPr>
        <w:tab/>
      </w:r>
      <w:r>
        <w:rPr>
          <w:rFonts w:ascii="Arial" w:cs="Arial" w:eastAsia="Arial" w:hAnsi="Arial"/>
          <w:sz w:val="18"/>
          <w:szCs w:val="18"/>
          <w:color w:val="auto"/>
        </w:rPr>
        <w:t>280</w:t>
      </w:r>
      <w:r>
        <w:rPr>
          <w:sz w:val="20"/>
          <w:szCs w:val="20"/>
          <w:color w:val="auto"/>
        </w:rPr>
        <w:tab/>
      </w:r>
      <w:r>
        <w:rPr>
          <w:rFonts w:ascii="Arial" w:cs="Arial" w:eastAsia="Arial" w:hAnsi="Arial"/>
          <w:sz w:val="18"/>
          <w:szCs w:val="18"/>
          <w:u w:val="single" w:color="auto"/>
          <w:color w:val="auto"/>
        </w:rPr>
        <w:t>$ 1,120,333</w:t>
        <w:tab/>
        <w:t>$</w:t>
      </w:r>
      <w:r>
        <w:rPr>
          <w:sz w:val="20"/>
          <w:szCs w:val="20"/>
          <w:color w:val="auto"/>
        </w:rPr>
        <w:tab/>
      </w:r>
      <w:r>
        <w:rPr>
          <w:rFonts w:ascii="Arial" w:cs="Arial" w:eastAsia="Arial" w:hAnsi="Arial"/>
          <w:sz w:val="18"/>
          <w:szCs w:val="18"/>
          <w:u w:val="single" w:color="auto"/>
          <w:color w:val="auto"/>
        </w:rPr>
        <w:t>(3,593</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(405)</w:t>
      </w:r>
      <w:r>
        <w:rPr>
          <w:sz w:val="20"/>
          <w:szCs w:val="20"/>
          <w:color w:val="auto"/>
        </w:rPr>
        <w:tab/>
      </w:r>
      <w:r>
        <w:rPr>
          <w:rFonts w:ascii="Arial" w:cs="Arial" w:eastAsia="Arial" w:hAnsi="Arial"/>
          <w:sz w:val="18"/>
          <w:szCs w:val="18"/>
          <w:u w:val="single" w:color="auto"/>
          <w:color w:val="auto"/>
        </w:rPr>
        <w:t>$</w:t>
        <w:tab/>
        <w:t>(993,697</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122,918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140"/>
          </w:cols>
          <w:pgMar w:left="320" w:top="0" w:right="439" w:bottom="1440" w:gutter="0" w:footer="0" w:header="0"/>
        </w:sect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accompanying notes are an integral part of the unaudited condensed consolidated financial statements.</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0" w:right="4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4"/>
              </w:rPr>
              <w:t>Nine Months Ended December 31,</w:t>
            </w:r>
          </w:p>
        </w:tc>
      </w:tr>
      <w:tr>
        <w:trPr>
          <w:trHeight w:val="209"/>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(14,161)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3,513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Provision for excess and obsolete inventory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(1,828)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Non-cash interest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non-cash items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Unrealized foreign exchange loss on cash and cash equivalents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 and liability accounts: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(4,528)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6,376</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7,419</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(7,894)</w:t>
            </w:r>
          </w:p>
        </w:tc>
      </w:tr>
      <w:tr>
        <w:trPr>
          <w:trHeight w:val="216"/>
        </w:trPr>
        <w:tc>
          <w:tcPr>
            <w:tcW w:w="8000" w:type="dxa"/>
            <w:vAlign w:val="bottom"/>
          </w:tcPr>
          <w:p>
            <w:pPr>
              <w:ind w:left="9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(5,255)</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w:t>
            </w:r>
          </w:p>
        </w:tc>
      </w:tr>
      <w:tr>
        <w:trPr>
          <w:trHeight w:val="209"/>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Purchase of property, plant and equipment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(1,574)</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Sale of marketable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Cash paid for acquisition, net of cash acquired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(26,000)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the maturity of marketable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Change in other assets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0"/>
        </w:trPr>
        <w:tc>
          <w:tcPr>
            <w:tcW w:w="8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(2,573)</w:t>
            </w:r>
          </w:p>
        </w:tc>
      </w:tr>
      <w:tr>
        <w:trPr>
          <w:trHeight w:val="210"/>
        </w:trPr>
        <w:tc>
          <w:tcPr>
            <w:tcW w:w="80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Repurchase of treasury stock</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(927)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Repayment of debt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Proceeds from public equity offering, net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exercise of employee stock options and ESPP</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50,649</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09"/>
        </w:trPr>
        <w:tc>
          <w:tcPr>
            <w:tcW w:w="80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increase/(decrease) in cash, cash equivalents and restricted cash</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(22,983)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43,278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75,539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52,556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74,142</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schedule of cash flow information: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paid for income taxes,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8"/>
              </w:rPr>
              <w:t>Issuance of common stock in connection with the purchase of Northeast Power Systems, Inc.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12,433</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Issuance of common stock in connection with the purchase of Neeltran,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4,387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common stock to settle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Operations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the Business and Operations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American Superconductor Corporation (together with its subsidiaries, “AMSC®” or the “Company”) was founded on April 9, 1987. The Company is a leading system provider of megawatt-scale power resiliency solutions that Orchestrate the Rhythm and Harmony of Power on the Grid™ and that protect and expand the capability of the Navy’s fleet. The Company’s system level products leverage its proprietary “smart materials” and “smart software and controls” to provide enhanced resiliency and improved performance of megawatt-scale power flow.</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These unaudited condensed consolidated financial statements of the Company have been prepared on a going concern basis in accordance with United States generally accepted accounting principles (“GAAP”) and the Securities and Exchange Commission’s (“SEC”) instructions to Form 10-Q. The going concern basis of presentation assumes that the Company will continue operations and will be able to realize its assets and discharge its liabilities and commitments in the normal course of business. Certain information and footnote disclosures normally included in the financial statements prepared in accordance with GAAP have been condensed or omitted pursuant to those instructions. The year-end condensed balance sheet data was derived from audited financial statements but does not include all disclosures required by GAAP. The unaudited condensed consolidated financial statements, in the opinion of management, reflect all adjustments (consisting of normal recurring adjustments) necessary for a fair statement of the results for the interim periods ended December 31, 2021 and 2020 and the financial position at December 31, 2021; however, these results are not necessarily indicative of results which may be expected for the full year. The interim condensed consolidated financial statements, and notes thereto, should be read in conjunction with the audited consolidated financial statements for the year ended March 31, 2021, and notes thereto, included in the Company’s Annual Report on Form 10-K for the year ended March 31, 2021 filed with the SEC on June 2,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historically experienced recurring operating losses and as of December 31, 2021, the Company had an accumulated deficit of $1,015 million. In addition, the Company has historically experienced recurring negative operating cash flows. At December 31, 2021, the Company had cash and cash equivalents of $43.9 million. Cash used in operations for the nine months ended December 31, 2021 was $15.9 million.</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2021, the Company filed a shelf registration statement on Form S-3 that will expire in February 2024 (the “Form S-3”). The Form S-3 allows the Company to offer and sell from time-to-time up to $250 million of common stock, debt securities, warrants or units comprised of any combination of these securities. The Form S-3 is intended to provide the Company flexibility to conduct registered sales of the Company's securities, subject to market conditions, in order to fund the Company's future capital needs. The terms of any future offering under the Form S-3 will be established at the time of such offering and will be described in a prospectus supplement filed with the SEC prior to the completion of any such offering.</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May 6, 2021 (the "Neeltran Acquisition Date"), the Company entered into a Purchase and Sale Agreement (the "Real Property Purchase Agreement") and a Stock Purchase Agreement (the "Neeltran Stock Purchase Agreement") with the selling equity holders named therein. Also on May 6, 2021, pursuant to the Real Property Purchase Agreement, the Company's wholly-owned Connecticut limited liability company, AMSC Husky LLC ("AMSC Husky"),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Pursuant to the terms of the Neeltran Stock Purchase Agreement and concurrently with entering into such agreement, the Company purchased all of the issued and outstanding shares of capital stock of (i) Neeltran, Inc., a Connecticut corporation ("Neeltran") that supplies rectifiers and transformers to industrial customers, and (ii) Neeltran International, Inc., a Connecticut corporation ("International"), for: (a) $1.0 million in cash, and (b) 301,556 shares of the Company's common stock, $.01 par value per share (the "AMSC Shares"), that were paid and issued to the Neeltran selling stockholders, respectively at closing (the "Neeltran Acquisition"). The Company also paid $1.1 million to International selling stockholders at closing to pay off previous loans made by them to Neeltran. Additionally, the Company paid approximately $7.6 million on behalf of the selling equity holders, including $1.9 million of indebtedness secured by the mortgage on the real property as described above, directly to Neeltran lenders at closing to extinguish outstanding Neeltran indebtedness to third parties on behalf of the sellers.</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the World Health Organization declared the disease caused by the novel coronavirus, COVID-19, to be a pandemic. COVID-19 has spread throughout the globe, including in the Commonwealth of Massachusetts where the Company’s headquarters are located, and in other areas where the Company has business operations. In response to the outbreak, the Company has followed the guidelines of the U.S. Centers for Disease Control and Prevention and applicable state government authorities to protect the health and safety of the Company’s employees, families, suppliers, customers and communities. While these existing measures and, COVID-19 generally, have not materially disrupted the Company’s business to date, any future actions necessitated by the COVID-19 pandemic may result in disruption to the Company’s business.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While the COVID-19 pandemic continues to rapidly evolve, the Company is experiencing some inflation pressure in its supply chains, some delays in sourcing materials needed for its products, and some production disruption resulting from higher than typical employee absenteeism due to the highly contagious omicron variant. The Company continues to assess the impact of the COVID-19 pandemic to best mitigate risk and continue the operations of the Company’s business. The extent to which the outbreak impacts the Company’s business, liquidity, results of operations and financial condition will depend on future developments, which are highly uncertain and cannot be predicted with confidence, including new information that may emerge concerning the severity of the COVID-19 pandemic, the spread of new variations of the virus, the actions to contain it or treat its impact and the effectiveness and adoption of vaccines and treatments, among others. If the Company, its customers or suppliers experience prolonged shutdowns or other business disruptions, including global supply chain disruptions, the Company’s business, liquidity, results of operations and financial condition are likely to be materially adversely affected, and the Company’s ability to access the capital markets may be limited.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believes that based on the information presented above and its quarterly management assessment, it has sufficient liquidity to fund its operations and capital expenditures for the next twelve months following the issuance of the financial statements for the nine months ended December 31, 2021. The Company’s liquidity is highly dependent on its ability to increase revenues and gross margin, its ability to control its operating costs, and its ability to raise additional capital, if necessary. The impact of the COVID-19 pandemic on the global financing markets may reduce the Company's ability to raise additional capital, if necessary, which could negatively impact the Company's liquidity. There can be no assurance that the Company will be able to continue to raise additional capital, on favorable terms or at all, from other sources or execute on any other means of improving liquidity described above.</w:t>
      </w:r>
    </w:p>
    <w:p>
      <w:pPr>
        <w:sectPr>
          <w:pgSz w:w="11900" w:h="16874" w:orient="portrait"/>
          <w:cols w:equalWidth="0" w:num="1">
            <w:col w:w="11240"/>
          </w:cols>
          <w:pgMar w:left="320" w:top="580"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Acquisition of Neeltran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described in Note 1, "Nature of the Business and Operations and Liquidity", on the Neeltran Acquisition Date, pursuant to the terms of the Neeltran Stock Purchase Agreement, the Company purchased all of the issued and outstanding shares of capital stock of Neeltran and International for $1.0 million in cash and the AMSC Shares, that were paid and issued, respectively, to the Neeltran selling stockholders. The Company also paid $1.1 million to International selling stockholders to pay off previous loans made by them to Neeltran.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the Company paid approximately $7.6 million, including $1.9 million of indebtedness secured by the mortgage on the real property as described below, directly to Neeltran lenders at closing to extinguish outstanding Neeltran indebtedness to third parties. Pursuant to the terms of the Real Property Purchase Agreement, AMSC Husky purchased the real property that serves as Neeltran's headquarters for $4.3 million, of which (a) $2.4 million was paid from immediately available funds by AMSC Husky to the selling parties, and (b) $1.9 million was paid directly to TD Bank as full payment for the outstanding indebtedness secured by the mortgage on such real property. The total purchase price of $16.4 million includes cash paid, the fair value of the AMSC Shares issued at closing and the debt payoff on behalf of the sellers as follows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Issuance of 301,556 shares of Company's common stock</w:t>
            </w:r>
          </w:p>
        </w:tc>
        <w:tc>
          <w:tcPr>
            <w:tcW w:w="2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payment to third party lenders on behalf of sellers</w:t>
            </w:r>
          </w:p>
        </w:tc>
        <w:tc>
          <w:tcPr>
            <w:tcW w:w="28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880" w:type="dxa"/>
            <w:vAlign w:val="bottom"/>
          </w:tcPr>
          <w:p>
            <w:pPr>
              <w:spacing w:after="0"/>
              <w:rPr>
                <w:sz w:val="20"/>
                <w:szCs w:val="20"/>
                <w:color w:val="auto"/>
              </w:rPr>
            </w:pPr>
            <w:r>
              <w:rPr>
                <w:rFonts w:ascii="Arial" w:cs="Arial" w:eastAsia="Arial" w:hAnsi="Arial"/>
                <w:sz w:val="18"/>
                <w:szCs w:val="18"/>
                <w:color w:val="auto"/>
              </w:rPr>
              <w:t>Total consideration</w:t>
            </w:r>
          </w:p>
        </w:tc>
        <w:tc>
          <w:tcPr>
            <w:tcW w:w="34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Neeltran Acquisition completed by the Company during the nine months ended December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The Company allocated the purchase price to the assets acquired and liabilities assumed at their estimated fair values as of the date of Neeltran Acquisition. The excess of the purchase price paid by the Company over the estimated fair value of net assets acquired has been recorded as goodwill. As Neeltran was previously a private company, the adoption of Accounting Standards Codification 842 ("ASC 842") was completed as part of the Neeltran Acquisition. See Note 15 "Leases" for further details. Neeltran had previously adopted Accounting Standards Codification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as part of prior year audited financial statements.</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 of the assets acquired and liabilities assumed in connection with the Neeltran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140" w:type="dxa"/>
            <w:vAlign w:val="bottom"/>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0"/>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3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bl>
    <w:p>
      <w:pPr>
        <w:spacing w:after="0" w:line="187" w:lineRule="exact"/>
        <w:rPr>
          <w:sz w:val="20"/>
          <w:szCs w:val="20"/>
          <w:color w:val="auto"/>
        </w:rPr>
      </w:pPr>
    </w:p>
    <w:p>
      <w:pPr>
        <w:ind w:right="120" w:firstLine="675"/>
        <w:spacing w:after="0" w:line="257" w:lineRule="auto"/>
        <w:rPr>
          <w:sz w:val="20"/>
          <w:szCs w:val="20"/>
          <w:color w:val="auto"/>
        </w:rPr>
      </w:pPr>
      <w:r>
        <w:rPr>
          <w:rFonts w:ascii="Arial" w:cs="Arial" w:eastAsia="Arial" w:hAnsi="Arial"/>
          <w:sz w:val="18"/>
          <w:szCs w:val="18"/>
          <w:color w:val="auto"/>
        </w:rPr>
        <w:t>Inventory include s a $0.6 million adjustment to step up the inventory balance to fair value consistent with the purchase price allocation. The fair value was based on the estimated selling price of the inventory, less the remaining manufacturing and selling cost and a normal profit margin on those manufacturing and selling efforts. The inventory step up adjustment increased cost of revenue $0.6 million in the nine month period ended December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$0.1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98"/>
        <w:spacing w:after="0" w:line="263" w:lineRule="auto"/>
        <w:rPr>
          <w:sz w:val="20"/>
          <w:szCs w:val="20"/>
          <w:color w:val="auto"/>
        </w:rPr>
      </w:pPr>
      <w:r>
        <w:rPr>
          <w:rFonts w:ascii="Arial" w:cs="Arial" w:eastAsia="Arial" w:hAnsi="Arial"/>
          <w:sz w:val="18"/>
          <w:szCs w:val="18"/>
          <w:color w:val="auto"/>
        </w:rPr>
        <w:t>Customer relationships of $3.5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98"/>
        <w:spacing w:after="0" w:line="308" w:lineRule="auto"/>
        <w:rPr>
          <w:sz w:val="20"/>
          <w:szCs w:val="20"/>
          <w:color w:val="auto"/>
        </w:rPr>
      </w:pPr>
      <w:r>
        <w:rPr>
          <w:rFonts w:ascii="Arial" w:cs="Arial" w:eastAsia="Arial" w:hAnsi="Arial"/>
          <w:sz w:val="17"/>
          <w:szCs w:val="17"/>
          <w:color w:val="auto"/>
        </w:rPr>
        <w:t>Trade names and trademarks of $1.2 million were reviewed using the assumption that the Company would continue to utilize the Neeltran trade name indefinitely. The relief from royalty method was utilized using a 1% royalty rate on revenues with a 24.5% discount rate over 15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902" w:gutter="0" w:footer="0" w:header="0"/>
        </w:sectPr>
      </w:pPr>
    </w:p>
    <w:bookmarkStart w:id="11" w:name="page12"/>
    <w:bookmarkEnd w:id="11"/>
    <w:p>
      <w:pPr>
        <w:jc w:val="both"/>
        <w:ind w:firstLine="486"/>
        <w:spacing w:after="0" w:line="254" w:lineRule="auto"/>
        <w:rPr>
          <w:sz w:val="20"/>
          <w:szCs w:val="20"/>
          <w:color w:val="auto"/>
        </w:rPr>
      </w:pPr>
      <w:r>
        <w:rPr>
          <w:rFonts w:ascii="Arial" w:cs="Arial" w:eastAsia="Arial" w:hAnsi="Arial"/>
          <w:sz w:val="18"/>
          <w:szCs w:val="18"/>
          <w:color w:val="auto"/>
        </w:rPr>
        <w:t>The goodwill represents the value associated with the acquired workforce and expected synergies related to the business combinations of the two companies. Goodwill resulting from the Neeltran Acquisition was assigned to the Company's Grid business segment. Goodwill recognized in the Neeltran Acquisition is not deductible for tax purposes. This purchase price allocation is preliminary and has not been finalized as the analysis on the assets and liabilities acquired, primarily the tax liability may require further adjustments to our purchase accounting that could result in a measurement period adjustment that would impact our recorded net assets and goodwill as of May 6, 2021. Material changes, if any, to the preliminary allocation summarized above will be reported once the related uncertainties are resolved but no later than May 6, 2022. The $2.3 million of deferred tax liability is primarily related to inventory step up and intangibles.</w:t>
      </w:r>
    </w:p>
    <w:p>
      <w:pPr>
        <w:spacing w:after="0" w:line="195" w:lineRule="exact"/>
        <w:rPr>
          <w:sz w:val="20"/>
          <w:szCs w:val="20"/>
          <w:color w:val="auto"/>
        </w:rPr>
      </w:pPr>
    </w:p>
    <w:p>
      <w:pPr>
        <w:jc w:val="both"/>
        <w:ind w:firstLine="418"/>
        <w:spacing w:after="0" w:line="263" w:lineRule="auto"/>
        <w:rPr>
          <w:sz w:val="20"/>
          <w:szCs w:val="20"/>
          <w:color w:val="auto"/>
        </w:rPr>
      </w:pPr>
      <w:r>
        <w:rPr>
          <w:rFonts w:ascii="Arial" w:cs="Arial" w:eastAsia="Arial" w:hAnsi="Arial"/>
          <w:sz w:val="18"/>
          <w:szCs w:val="18"/>
          <w:color w:val="auto"/>
        </w:rPr>
        <w:t>The results of Neeltran's operations, are included in the Company's consolidated results from the date of the Neeltran Acquisition of May 6, 2021, for the nine months ended December 31, 2021. In the unaudited consolidated results for the nine months ended December 31, 2021, Neeltran contributed $ 17.1 million of revenue and $1.2 million in net loss for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 of NEPSI</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October 1, 2020 (the "NEPSI Acquisition Date"), the Company entered into a Stock Purchase Agreement (the "NEPSI Stock Purchase Agreement") with the selling stockholders named therein. Pursuant to the terms of the NEPSI Stock Purchase Agreement and concurrently with entering into such agreement, the Company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Prior to the NEPSI Acquisition, the Company had purchased $0.4 million of products from NEPSI in fiscal year 2019 for which NEPSI was paid and had recorded revenue.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the NEPSI Stock Purchase Agreement, the Company acquired all of the issued and outstanding shares of NEPSI, and membership interest in the realty entity, for which the Company paid $26.0 million in cash and issued 873,657 restricted shares of the Company’s common stock. Additionally, the Company may issue to the selling stockholders up to an additional 1,000,000 shares of common stock upon NEPSI’s achievement of specified revenue objectives during varying periods of up to four years following closing of the NEPSI Acquisition. This contingent consideration is recorded as a derivative liability based on a Monte Carlo simulation to determine fair value at the time of issuance. NEPSI is now a wholly-owned subsidiary of the Company and is operated and reported as a component of its Grid business unit.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NEPSI Acquisition completed by the Company during the fiscal year ended March 31, 2021 has been accounted for under the purchase method of accounting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allocated the purchase price to the assets acquired and liabilities assumed at their estimated fair values as of the date of NEPSI Acquisition. The excess of the purchase price paid by the Company over the estimated fair value of net assets acquired has been recorded as goodwill. As NEPSI was previously a private company, the adoption of ASC 606 was completed as part of the NEPSI Acquisition. See Note 3 "Revenue Recognition" for further details. There were no leases acquired and the NEPSI Acquisition had no impact to the Company's reporting under ASC 842.</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purchase price of approximately $42.4 million includes the fair value of shares of the Company’s common stock issued at closing, cash paid, and contingent consideration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3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Issuance of 873,657 shares of Company’s common stock</w:t>
            </w:r>
          </w:p>
        </w:tc>
        <w:tc>
          <w:tcPr>
            <w:tcW w:w="2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16"/>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7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6900" w:type="dxa"/>
            <w:vAlign w:val="bottom"/>
          </w:tcPr>
          <w:p>
            <w:pPr>
              <w:spacing w:after="0"/>
              <w:rPr>
                <w:sz w:val="20"/>
                <w:szCs w:val="20"/>
                <w:color w:val="auto"/>
              </w:rPr>
            </w:pPr>
            <w:r>
              <w:rPr>
                <w:rFonts w:ascii="Arial" w:cs="Arial" w:eastAsia="Arial" w:hAnsi="Arial"/>
                <w:sz w:val="18"/>
                <w:szCs w:val="18"/>
                <w:color w:val="auto"/>
              </w:rPr>
              <w:t>Total consideration</w:t>
            </w:r>
          </w:p>
        </w:tc>
        <w:tc>
          <w:tcPr>
            <w:tcW w:w="34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consideration consists of (a) cash of $26.0 million, (b) issuance of the Company's common stock, using $14.23 per share, which was the closing price on the day that the Company acquired NEPSI, and (c) $4.0 million of contingent consideration for the earnout liability valued as of the NEPSI Acquisition Date. NEPSI Acquisition costs of $0.3 million were recorded in selling, general and administrative ("SG&amp;A") costs for the fiscal year ended March 31, 2021.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the contingent consideration was determined using a Monte Carlo model and is accounted for as a derivative liability which is revalued at the fair value determined at each subsequent balance sheet date until the contingencies are resolved and the shares to be issued are determined, with the change in fair value recorded in the current period operating loss or (income). See Note 13, "Contingent Consideration" for further details and a summary of key assumptions used to determine fair value in each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allocation of the purchase price based on the estimated fair values of the assets acquired and liabilities assumed and related deferred income taxes in connection with the NEPSI Acquisition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 (excluding inventory and deferred revenue)</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Inventory</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revenue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09"/>
        </w:trPr>
        <w:tc>
          <w:tcPr>
            <w:tcW w:w="7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tangible assets/(liabilities)</w:t>
            </w: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Backlog</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09"/>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Net identifiable intangible assets/(liabilities)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7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r>
      <w:tr>
        <w:trPr>
          <w:trHeight w:val="209"/>
        </w:trPr>
        <w:tc>
          <w:tcPr>
            <w:tcW w:w="7140" w:type="dxa"/>
            <w:vAlign w:val="bottom"/>
            <w:tcBorders>
              <w:top w:val="single" w:sz="8" w:color="CCEEFF"/>
            </w:tcBorders>
          </w:tcPr>
          <w:p>
            <w:pPr>
              <w:spacing w:after="0"/>
              <w:rPr>
                <w:sz w:val="18"/>
                <w:szCs w:val="18"/>
                <w:color w:val="auto"/>
              </w:rPr>
            </w:pPr>
          </w:p>
        </w:tc>
        <w:tc>
          <w:tcPr>
            <w:tcW w:w="254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w:t>
            </w:r>
          </w:p>
        </w:tc>
        <w:tc>
          <w:tcPr>
            <w:tcW w:w="3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Inventory includes a $1.0 million adjustment to step up the inventory balance to fair value consistent with the purchase price allocation. The fair value was determined based on the estimated selling price of the inventory, less the remaining manufacturing and selling cost and a normal profit margin on those manufacturing and selling efforts. The $1.0 million step up adjustment increased cost of revenue in the fiscal year ended March 31, 2021 as the inventory was sold. This increase is not reflected in the pro forma condensed combined statements of operations because it does not have a continuing impact beyond the first year.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Backlog of $0.6 million was evaluated using the multi period excess earnings method under the income approach. The contracts with customers do not provide for any guarantees to source all future requirements from the Company. The amortization method being utilized is economic consumption estimated over a two year period with the expense being allocated to cost of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Customer relationships of $6.1 million relates to customers currently under contract and was determined based on a multi period excess earnings method under the income approach. The method of amortization being utilized is the economic consumption over 7 years with the expense being allocated to SG&amp;A.</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Trade names and trademarks of $0.6 million were reviewed, using the assumption that the Company would continue to utilize the NEPSI trade name indefinitely. The relief from royalty method was utilized using an 8% royalty rate on revenues with a 13% discount rate over 8 years.</w:t>
      </w:r>
    </w:p>
    <w:p>
      <w:pPr>
        <w:spacing w:after="0" w:line="14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value associated with the acquired workforce and expected synergies related to the business combination of the two companies. Goodwill resulting from the NEPSI Acquisition was assigned to the Company’s Grid business segment. Goodwill recognized in the NEPSI Acquisition is not deductible for tax purposes. The $1.7 million of deferred tax liability is primarily related to inventory step up and intangibles.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Operating Results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unaudited pro forma condensed consolidated statement of operations for the three and nine months ended December 31, 2021 and 2020 is presented as if the NEPSI Acquisition and Neeltran Acquisition had occurred on April 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Three Months Ended December</w:t>
            </w: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79"/>
              </w:rPr>
              <w:t>31,</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31,</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$ 26,799</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$ 26,528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$ 82,957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$ 91,387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loss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(4,390)</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(12,509)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(15,521)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(21,100)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(4,333)</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(13,137)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(16,142)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(16,883)</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 (0.16)</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 (0.51)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 (0.59)</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 (0.71)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(0.16)</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(0.51)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(0.59)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(0.71)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Shares - basic</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27,351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25,772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27,185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23,898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 diluted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27,351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25,772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23,898</w:t>
            </w: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pro forma amounts include the historical operating results of the Company, NEPSI and Neeltran, with appropriate adjustments that give effect to acquisition related costs, income taxes, intangible amortization resulting from the NEPSI Acquisition and Neeltran Acquisition and certain conforming accounting policies of the Company. The pro forma amounts are not necessarily indicative of the operating results that would have occurred if the NEPSI Acquisition and Neeltran Acquisition and related transactions had been completed at the beginning of the applicable periods presented. In addition, the pro forma amounts are not necessarily indicative of operating results in future periods.</w:t>
      </w:r>
    </w:p>
    <w:p>
      <w:pPr>
        <w:spacing w:after="0" w:line="17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revenues in its Grid business segment are derived primarily through enabling the transmission and distribution of power, providing planning services that allow it to identify power grid needs and risks, and developing ship protection systems for the U.S. Navy. The Company’s revenues in its Wind business segment are derived primarily through supplying advanced power electronics and control systems, licensing its highly engineered wind turbine designs, and providing extensive customer support services to wind turbine manufacturers. The Company records revenue based on a five-step model in accordance with ASC 606. For its customer contracts, the Company identifies the performance obligations, determines the transaction price, allocates the contract transaction price to the performance obligations, and recognizes the revenue when (or as) control of goods or services is transferred to the customer. In the three and nine months ended December 31, 2021, 79% and 76% of revenue, respectively, was recognized at the point in time when control transferred to the customer, with the remainder being recognized over time. In the three and nine months ended December 31, 2020, 78% and 79% of revenue, respectively, was recognized at the point in time when control transferred to the customer, with the remainder being recognized over time.</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Company's equipment and system product line, each contract with a customer summarizes each product sold to a customer, which typically represents distinct performance obligations. A contract's transaction price is allocated to each distinct performance obligation using the respective standalone selling price which is determined primarily using the cost-plus expected margin approach and recognized as revenue when, or as, the performance obligation is satisfied. The majority of the Company’s product sales transfer control to the customer in line with the contracted delivery terms and revenue is recorded at the point in time when title and risk transfer to the customer, which is primarily upon delivery, as the Company has determined that this is the point in time that control transfers to the customer.</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equipment and system product line includes certain contracts which do not meet the requirements of an exchange transaction and therefore do not fall within the scope of ASC 606. As these non-exchange transaction contracts are considered grant revenue and do not fall within any specific accounting literature, the Company follows guidance within ASC 606 by analogy to recognize grant revenue over time. In the three and nine months ended December 31, 2021, the Company recorded $0.1 million and $0.9 million in grant revenue, respectively, which is included in the Company’s Grid business segment revenue. In the three and nine months ended December 31, 2020, the Company recorded $1.1 million and $1.8 million in grant revenue, respectively, which is included in the Company's Grid segment revenue.</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the Company's service and technology development product line, there are several different types of transactions and each begins with a contract with a customer that summarizes each product sold to a customer, which typically represent distinct performance obligations. The technology development transactions are primarily for activities that have no alternative use and for which a profit can be expected throughout the life of the contract. In these cases, the revenue is recognized over time, but in the instances where a reasonable profit margin cannot be assured throughout the entire contract, the revenue is recognized at a point in time. Each contract's transaction price is allocated to each distinct performance obligation using the respective standalone selling price which is determined primarily using the cost-plus expected margin approach. The ongoing service transactions are for service contracts that provide benefit to the customer simultaneously as the Company performs its obligations, and therefore this revenue is recognized ratably over time throughout the effective period of these contracts. The transaction prices on these contracts are allocated based on an adjusted market approach which is re-assessed annually for reasonableness. The field service transactions include contracts for delivery of goods and completion of services made at the customer's requests, which are not deemed satisfied until the work has been completed and/or the requested goods have been delivered, so all of this revenue is recognized at the point in time when the control changes, and at allocated prices based on the adjusted market approach driven by standard price lists. The royalty transactions are related to certain contract terms on transactions in the Company's equipment and systems product line based on activity as specified in the contracts. The transaction prices of these agreements are calculated based on an adjusted market approach as specified in the contract. The Company reports royalty revenue for usage-based royalties when the sales have occurred. In circumstances when collectability is not assured and a contract does not exist under ASC 606, revenue is deferred until a non-refundable payment has been received for substantially all the amount that is due and there are no further remaining performance obligations.</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Company's service contracts can include a purchase order from a customer for specific goods in which each item is a distinct performance obligation satisfied at a point in time at which control of the goods is transferred to the customer. This transfer occurs based on the contracted delivery terms or when the requested service work has been completed. The transaction price for these goods is allocated based on the adjusted market approach considering similar transactions under similar circumstances. Service contracts are also derived from ongoing maintenance contracts and extended service-type warranty contracts. In these transactions, the Company is contracted to provide an ongoing service over a specified period of time. As the customer is consuming the benefits as the service is being provided, the revenue is recognized over time ratably.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policy is not to accept volume discounts, product returns, or rebates and allowances within its contracts. In the event a contract was approved with any of these terms, it would be evaluated for variable consideration, estimated and recorded as a reduction of revenue in the same period the related product revenue was recorded.</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provides assurance-type warranties on all product sales for a term of typically one to three years, and extended service-type warranties at the customer's option for an additional term ranging up to four additional years. The Company accrues for the estimated warranty costs for assurance warranties at the time of sale based on historical warranty experience plus any known or expected changes in warranty exposure. For all extended service-type warranties, the Company recognizes the revenue ratably over time during the effective period of the services.</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records revenue net of sales tax, value added tax, excise tax and other taxes collected concurrent with revenue-producing activities. The Company has elected to recognize the cost for freight and shipping when control over the products sold passes to customers and revenue is recognized. The Company has elected to recognize incremental costs of obtaining a contract as expense when incurred except in contracts where the amortization period would exceed twelve months; in such cases the long-term amount will be assessed for materiality. The Company has elected not to adjust the promised amount of consideration for the effects of a significant financing component if the period of financing is twelve months or less.</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contracts with customers do not typically include extended payment terms and may include milestone billing over the life of the contract. Payment terms vary by contract type and type of customer and generally range from 30 to 60 days from delivery.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362"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following tables disaggregate the Company’s revenue by product line and by shipment destination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31, 2021</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1"/>
              </w:rPr>
              <w:t>31, 2021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5,564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2,789</w:t>
            </w: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6"/>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16,739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57,498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73,169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4"/>
        </w:trPr>
        <w:tc>
          <w:tcPr>
            <w:tcW w:w="5980" w:type="dxa"/>
            <w:vAlign w:val="bottom"/>
          </w:tcPr>
          <w:p>
            <w:pPr>
              <w:spacing w:after="0"/>
              <w:rPr>
                <w:sz w:val="24"/>
                <w:szCs w:val="24"/>
                <w:color w:val="auto"/>
              </w:rPr>
            </w:pPr>
          </w:p>
        </w:tc>
        <w:tc>
          <w:tcPr>
            <w:tcW w:w="2720" w:type="dxa"/>
            <w:vAlign w:val="bottom"/>
            <w:gridSpan w:val="7"/>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Nine Months Ended December</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31, 2020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b w:val="1"/>
                <w:bCs w:val="1"/>
                <w:color w:val="auto"/>
                <w:w w:val="91"/>
              </w:rPr>
              <w:t>31, 2020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Product Line: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Grid</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Grid</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Wind</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Equipment and systems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15,930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12,828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Services and technology development</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1,984</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w:t>
            </w:r>
          </w:p>
        </w:tc>
      </w:tr>
      <w:tr>
        <w:trPr>
          <w:trHeight w:val="197"/>
        </w:trPr>
        <w:tc>
          <w:tcPr>
            <w:tcW w:w="59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Region: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13,394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39,626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EMEA</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51,149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2021, and 2020, 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 related balances. Changes in the Company’s contract assets, which are included in “Unbilled accounts receivable” and “Deferred program costs” (see Note 8, “Accounts Receivable” and Note 9, “Inventory” for a reconciliation to the condensed consolidated balance sheets) and "Contract liabilities", which are included in the current portion and long-term portion of "Deferred revenue" in the Company’s condensed consolidated balance sheets,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6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21,257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balances acquired</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(11,214)</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55,354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2"/>
              </w:rPr>
              <w:t>Increase (decrease) due to recognition of revenue based on transfer of control of performance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12,186</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(55,318)</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0"/>
        </w:trPr>
        <w:tc>
          <w:tcPr>
            <w:tcW w:w="6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Ending balance as of December 31, 2021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6,737</w:t>
            </w:r>
          </w:p>
        </w:tc>
        <w:tc>
          <w:tcPr>
            <w:tcW w:w="22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615</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31,478</w:t>
            </w:r>
          </w:p>
        </w:tc>
      </w:tr>
      <w:tr>
        <w:trPr>
          <w:trHeight w:val="20"/>
        </w:trPr>
        <w:tc>
          <w:tcPr>
            <w:tcW w:w="6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Unbilled</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Accounts</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w:t>
            </w: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Receivable</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Program Costs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March 31, 2020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26,142</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Increases for costs incurred to fulfill performance obligations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Increase for balance acquired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Increase (decrease) due to customer billings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(8,255)</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42,785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cost recognition on completed performance obligations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1"/>
              </w:rPr>
              <w:t>Increase (decrease) due to recognition of revenue based on transfer of control of performance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obligations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6,644</w:t>
            </w: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(48,274)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 changes and FX impact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0"/>
        </w:trPr>
        <w:tc>
          <w:tcPr>
            <w:tcW w:w="6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Ending balance as of December 31, 2020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4,201</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24,378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11" w:right="339" w:bottom="1440" w:gutter="0" w:footer="0" w:header="0"/>
        </w:sectPr>
      </w:pPr>
    </w:p>
    <w:bookmarkStart w:id="15" w:name="page16"/>
    <w:bookmarkEnd w:id="15"/>
    <w:p>
      <w:pPr>
        <w:spacing w:after="0" w:line="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Company’s remaining performance obligations represent the unrecognized revenue value of the Company’s contractual commitments. The Company’s performance obligations may vary significantly each reporting period based on the timing of major new contractual commitments. As of December 31, 2021, the Company had outstanding performance obligations on existing contracts under ASC 606 to be recognized in the next twelve months of approximately $80.6 million. There are also approximately $8.0 million of outstanding performance obligations to be recognized over a period of thirteen to sixty months. The remaining performance obligations are subject to customer actions and therefore the timing of revenue recognition cannot be reasonably estimated. The twelve-month performance obligations include anticipated shipments to Inox based on the twelve-month rolling forecast provided by Inox on the multi-year supply contract. The quantities specified in any forecast provided by Inox related to the multi-year supply contract are firm and irrevocable for the first three months of a twelve-month rolling forecast. The timing of the performance obligations beyond the twelve-month forecast provided by Inox are not determinable and therefore are not included in the total remaining performance obligations.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customers who represented 10% or more of the Company’s total revenues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Three Months Ended</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64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Reportable</w:t>
            </w:r>
          </w:p>
        </w:tc>
        <w:tc>
          <w:tcPr>
            <w:tcW w:w="252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December 31,</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364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Segment</w:t>
            </w:r>
          </w:p>
        </w:tc>
        <w:tc>
          <w:tcPr>
            <w:tcW w:w="12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2020</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r>
      <w:tr>
        <w:trPr>
          <w:trHeight w:val="209"/>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Inox Wind Limited</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Wind</w:t>
            </w: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&lt;10%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Fuji Bridex PTE Ltd</w:t>
            </w: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Grid</w:t>
            </w:r>
          </w:p>
        </w:tc>
        <w:tc>
          <w:tcPr>
            <w:tcW w:w="220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&lt;10%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&lt;10%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EPC Services</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Grid</w:t>
            </w:r>
          </w:p>
        </w:tc>
        <w:tc>
          <w:tcPr>
            <w:tcW w:w="2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&lt;10%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&lt;10%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accounts for its stock-based compensation at fair value. The following table summarizes stock-based compensation expense by financial statement line item for the three and nine months ended December 31, 2021 and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1,120</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issued 370,700 shares of restricted stock awards and 166,648 shares of immediately vested common stock, of which 158,356 shares were issued in-lieu of cash bonuses during the nine months ended December 31, 2021. The Company issued 27,341 shares of immediately vested common stock and 697,167 shares of restricted stock awards during the nine months ended December 31, 2020. These restricted stock awards generally vest over 2-3 years. Awards for restricted stock include both time-based and performance-based awards. For options and restricted stock awards that vest upon the passage of time, expense is being recorded over the vesting period. Performance-based awards are expensed over the requisite service period based on probability of achievement.</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estimated fair value of the Company’s stock-based awards, less expected annual forfeitures, is amortized over the awards’ service period. The Company has no unrecognized compensation cost for unvested outstanding stock options at December 31, 2021. The total unrecognized compensation cost for unvested outstanding restricted stock was $6.5 million at December 31, 2021. This expense will be recognized over a weighted-average expense period of approximately 1.6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grant any stock options during the three and nine months ended December 31, 2021 or December 31, 2020.</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Computation of Net Loss per Common Share</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Basic net loss per share (“EPS”) is computed by dividing net loss by the weighted-average number of common shares outstanding for the period. Where applicable, diluted EPS is computed by dividing the net loss by the weighted-average number of common shares and dilutive common equivalent shares outstanding during the period, calculated using the treasury stock method. Common equivalent shares include the effect of restricted stock, exercise of stock options and warrants and contingently issuable shares. Stock options and warrants that are out-of-the-money with exercise prices greater than the average market price of the underlying common shares and shares of performance-based restricted stock where the contingency was not met are excluded from the computation of diluted EPS as the effect of their inclusion would be anti-dilutive. For each of the three and nine months ended December 31, 2021, and 2020, 1.1 million shares were not included in the calculation of diluted EPS. Of these, 1.0 million relate to shares tied to the derivative liability for which the contingency has not yet been met, and 0.1 million relate to outstanding stock options as they were considered anti-dilutive.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reconciles the numerators and denominators of the earnings per share calculation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and 2020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(4,324)</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(7,933)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(14,161)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(15,062)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Weighted-average shares of common stock outstanding</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28,418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26,532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28,234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24,143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subject to repurchase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Shares used in per-share calculation ― basic</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27,352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25,470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27,145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23,011</w:t>
            </w: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per-share calculation ― diluted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27,352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25,470</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27,145</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Net loss per share ― basic</w:t>
            </w:r>
          </w:p>
        </w:tc>
        <w:tc>
          <w:tcPr>
            <w:tcW w:w="2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(0.16)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(0.31)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(0.52)</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(0.65)</w:t>
            </w:r>
          </w:p>
        </w:tc>
      </w:tr>
      <w:tr>
        <w:trPr>
          <w:trHeight w:val="63"/>
        </w:trPr>
        <w:tc>
          <w:tcPr>
            <w:tcW w:w="59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ectPr>
          <w:pgSz w:w="11900" w:h="16900" w:orient="portrait"/>
          <w:cols w:equalWidth="0" w:num="1">
            <w:col w:w="11240"/>
          </w:cols>
          <w:pgMar w:left="320" w:top="611" w:right="339" w:bottom="0" w:gutter="0" w:footer="0" w:header="0"/>
        </w:sectPr>
      </w:pPr>
    </w:p>
    <w:bookmarkStart w:id="16" w:name="page17"/>
    <w:bookmarkEnd w:id="16"/>
    <w:p>
      <w:pPr>
        <w:spacing w:after="0"/>
        <w:tabs>
          <w:tab w:leader="none" w:pos="5960" w:val="left"/>
          <w:tab w:leader="none" w:pos="6720" w:val="left"/>
          <w:tab w:leader="none" w:pos="7340" w:val="left"/>
          <w:tab w:leader="none" w:pos="8100" w:val="left"/>
          <w:tab w:leader="none" w:pos="8680" w:val="left"/>
          <w:tab w:leader="none" w:pos="9420" w:val="left"/>
          <w:tab w:leader="none" w:pos="10000" w:val="left"/>
          <w:tab w:leader="none" w:pos="10740" w:val="left"/>
        </w:tabs>
        <w:rPr>
          <w:sz w:val="20"/>
          <w:szCs w:val="20"/>
          <w:color w:val="auto"/>
        </w:rPr>
      </w:pPr>
      <w:r>
        <w:rPr>
          <w:rFonts w:ascii="Arial" w:cs="Arial" w:eastAsia="Arial" w:hAnsi="Arial"/>
          <w:sz w:val="18"/>
          <w:szCs w:val="18"/>
          <w:color w:val="auto"/>
        </w:rPr>
        <w:t>Net loss per share ― diluted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(0.16)</w:t>
        <w:tab/>
        <w:t>$</w:t>
      </w:r>
      <w:r>
        <w:rPr>
          <w:sz w:val="20"/>
          <w:szCs w:val="20"/>
          <w:color w:val="auto"/>
        </w:rPr>
        <w:tab/>
      </w:r>
      <w:r>
        <w:rPr>
          <w:rFonts w:ascii="Arial" w:cs="Arial" w:eastAsia="Arial" w:hAnsi="Arial"/>
          <w:sz w:val="18"/>
          <w:szCs w:val="18"/>
          <w:color w:val="auto"/>
        </w:rPr>
        <w:t>(0.31)</w:t>
        <w:tab/>
        <w:t>$</w:t>
      </w:r>
      <w:r>
        <w:rPr>
          <w:sz w:val="20"/>
          <w:szCs w:val="20"/>
          <w:color w:val="auto"/>
        </w:rPr>
        <w:tab/>
      </w:r>
      <w:r>
        <w:rPr>
          <w:rFonts w:ascii="Arial" w:cs="Arial" w:eastAsia="Arial" w:hAnsi="Arial"/>
          <w:sz w:val="18"/>
          <w:szCs w:val="18"/>
          <w:color w:val="auto"/>
        </w:rPr>
        <w:t>(0.52)</w:t>
        <w:tab/>
        <w:t>$</w:t>
      </w:r>
      <w:r>
        <w:rPr>
          <w:sz w:val="20"/>
          <w:szCs w:val="20"/>
          <w:color w:val="auto"/>
        </w:rPr>
        <w:tab/>
      </w:r>
      <w:r>
        <w:rPr>
          <w:rFonts w:ascii="Arial" w:cs="Arial" w:eastAsia="Arial" w:hAnsi="Arial"/>
          <w:sz w:val="16"/>
          <w:szCs w:val="16"/>
          <w:color w:val="auto"/>
        </w:rPr>
        <w:t>(0.65)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7" w:name="page18"/>
    <w:bookmarkEnd w:id="17"/>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left="140" w:right="220" w:firstLine="486"/>
        <w:spacing w:after="0" w:line="257" w:lineRule="auto"/>
        <w:rPr>
          <w:sz w:val="20"/>
          <w:szCs w:val="20"/>
          <w:color w:val="auto"/>
        </w:rPr>
      </w:pPr>
      <w:r>
        <w:rPr>
          <w:rFonts w:ascii="Arial" w:cs="Arial" w:eastAsia="Arial" w:hAnsi="Arial"/>
          <w:sz w:val="18"/>
          <w:szCs w:val="18"/>
          <w:color w:val="auto"/>
        </w:rPr>
        <w:t>Goodwill represents the difference between the purchase price and the fair value of the identifiable tangible and intangible net assets when accounted for using the purchase method of accounting. The Company's goodwill balance relates to the Neeltran Acquisition in the current fiscal year, the NEPSI Acquisition in fiscal 2020, and the acquisition of Infinia Technology Corporation in fiscal 2017 and is reported in the Grid business segment. Goodwill is not amortized but reviewed for impairment. Goodwill is reviewed annually and whenever events or changes in circumstances indicate that the carrying value of the goodwill might not be recoverable.</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provides a roll forward of the changes in the Company's Grid business segment goodwill balance: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Goodwill</w:t>
            </w:r>
          </w:p>
        </w:tc>
        <w:tc>
          <w:tcPr>
            <w:tcW w:w="100" w:type="dxa"/>
            <w:vAlign w:val="bottom"/>
            <w:gridSpan w:val="2"/>
          </w:tcPr>
          <w:p>
            <w:pPr>
              <w:spacing w:after="0"/>
              <w:rPr>
                <w:sz w:val="20"/>
                <w:szCs w:val="20"/>
                <w:color w:val="auto"/>
              </w:rPr>
            </w:pPr>
          </w:p>
        </w:tc>
      </w:tr>
      <w:tr>
        <w:trPr>
          <w:trHeight w:val="209"/>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23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34,634</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Neeltran Acquisition</w:t>
            </w:r>
          </w:p>
        </w:tc>
        <w:tc>
          <w:tcPr>
            <w:tcW w:w="2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8,837</w:t>
            </w:r>
          </w:p>
        </w:tc>
        <w:tc>
          <w:tcPr>
            <w:tcW w:w="80" w:type="dxa"/>
            <w:vAlign w:val="bottom"/>
          </w:tcPr>
          <w:p>
            <w:pPr>
              <w:spacing w:after="0"/>
              <w:rPr>
                <w:sz w:val="18"/>
                <w:szCs w:val="18"/>
                <w:color w:val="auto"/>
              </w:rPr>
            </w:pPr>
          </w:p>
        </w:tc>
      </w:tr>
      <w:tr>
        <w:trPr>
          <w:trHeight w:val="216"/>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impairment loss</w:t>
            </w:r>
          </w:p>
        </w:tc>
        <w:tc>
          <w:tcPr>
            <w:tcW w:w="2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December 31, 2021</w:t>
            </w:r>
          </w:p>
        </w:tc>
        <w:tc>
          <w:tcPr>
            <w:tcW w:w="21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43,471</w:t>
            </w:r>
          </w:p>
        </w:tc>
        <w:tc>
          <w:tcPr>
            <w:tcW w:w="8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98"/>
        </w:trPr>
        <w:tc>
          <w:tcPr>
            <w:tcW w:w="7560" w:type="dxa"/>
            <w:vAlign w:val="bottom"/>
          </w:tcPr>
          <w:p>
            <w:pPr>
              <w:ind w:left="660"/>
              <w:spacing w:after="0"/>
              <w:rPr>
                <w:sz w:val="20"/>
                <w:szCs w:val="20"/>
                <w:color w:val="auto"/>
              </w:rPr>
            </w:pPr>
            <w:r>
              <w:rPr>
                <w:rFonts w:ascii="Arial" w:cs="Arial" w:eastAsia="Arial" w:hAnsi="Arial"/>
                <w:sz w:val="18"/>
                <w:szCs w:val="18"/>
                <w:color w:val="auto"/>
                <w:w w:val="99"/>
              </w:rPr>
              <w:t>The Company did not identify any triggering events in the three and nine months ended</w:t>
            </w:r>
          </w:p>
        </w:tc>
        <w:tc>
          <w:tcPr>
            <w:tcW w:w="3680" w:type="dxa"/>
            <w:vAlign w:val="bottom"/>
            <w:gridSpan w:val="6"/>
          </w:tcPr>
          <w:p>
            <w:pPr>
              <w:ind w:left="80"/>
              <w:spacing w:after="0"/>
              <w:rPr>
                <w:sz w:val="20"/>
                <w:szCs w:val="20"/>
                <w:color w:val="auto"/>
              </w:rPr>
            </w:pPr>
            <w:r>
              <w:rPr>
                <w:rFonts w:ascii="Arial" w:cs="Arial" w:eastAsia="Arial" w:hAnsi="Arial"/>
                <w:sz w:val="18"/>
                <w:szCs w:val="18"/>
                <w:color w:val="auto"/>
                <w:w w:val="98"/>
              </w:rPr>
              <w:t>December 31, 2021 that would require interim</w:t>
            </w:r>
          </w:p>
        </w:tc>
      </w:t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impairment testing of goodwill.</w:t>
            </w: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at December 31, 2021 and March 31, 2021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 2021</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 2021</w:t>
            </w: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rPr>
              <w:t>Gross</w:t>
            </w:r>
          </w:p>
        </w:tc>
        <w:tc>
          <w:tcPr>
            <w:tcW w:w="22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w w:val="88"/>
              </w:rPr>
              <w:t>Net Book</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8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Trade name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w:t>
            </w:r>
          </w:p>
        </w:tc>
        <w:tc>
          <w:tcPr>
            <w:tcW w:w="1000" w:type="dxa"/>
            <w:vAlign w:val="bottom"/>
            <w:gridSpan w:val="2"/>
          </w:tcPr>
          <w:p>
            <w:pPr>
              <w:ind w:left="200"/>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2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Core technology and know-how</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2,705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5,970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(2,903)</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3,067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18,051</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540" w:type="dxa"/>
            <w:vAlign w:val="bottom"/>
            <w:tcBorders>
              <w:lef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9,153</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Company recorded intangible amortization expense related to customer relationship and core technology and know-how of $0.6 million and $1.8 million, in the three and nine months ended December 31, 2021, respectively, and $0.4 million and $0.6 million in the three and nine months ended December 31, 2020, respectively. Additionally, the Company recorded intangible amortization related to backlog that is reported in cost of revenues of $0.1 million in each of the three and nine months ended December 31, 2021, respectively, and $0.3 million in each of the three and nine months ended December 31,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40" w:type="dxa"/>
            <w:vAlign w:val="bottom"/>
          </w:tcPr>
          <w:p>
            <w:pPr>
              <w:ind w:left="660"/>
              <w:spacing w:after="0"/>
              <w:rPr>
                <w:sz w:val="20"/>
                <w:szCs w:val="20"/>
                <w:color w:val="auto"/>
              </w:rPr>
            </w:pPr>
            <w:r>
              <w:rPr>
                <w:rFonts w:ascii="Arial" w:cs="Arial" w:eastAsia="Arial" w:hAnsi="Arial"/>
                <w:sz w:val="18"/>
                <w:szCs w:val="18"/>
                <w:color w:val="auto"/>
              </w:rPr>
              <w:t>Expected future amortization expense related to intangible assets is as follows (in thousands):</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8"/>
                <w:szCs w:val="18"/>
                <w:b w:val="1"/>
                <w:bCs w:val="1"/>
                <w:color w:val="auto"/>
              </w:rPr>
              <w:t>Years ended March 31,</w:t>
            </w:r>
          </w:p>
        </w:tc>
        <w:tc>
          <w:tcPr>
            <w:tcW w:w="1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4"/>
                <w:szCs w:val="24"/>
                <w:color w:val="auto"/>
              </w:rPr>
            </w:pPr>
          </w:p>
        </w:tc>
      </w:tr>
      <w:tr>
        <w:trPr>
          <w:trHeight w:val="209"/>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2023</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2,772</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2,152</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2025</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Thereafter</w:t>
            </w:r>
          </w:p>
        </w:tc>
        <w:tc>
          <w:tcPr>
            <w:tcW w:w="1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r>
      <w:tr>
        <w:trPr>
          <w:trHeight w:val="250"/>
        </w:trPr>
        <w:tc>
          <w:tcPr>
            <w:tcW w:w="8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relate entirely to the Grid business segment operations in the United States.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A valuation hierarchy for disclosure of the inputs to valuation used to measure fair value has been established. This hierarchy prioritizes the inputs into three broad levels as follows:</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Inputs are unadjusted quoted prices in active markets for identical assets or liabilities that the Company has the ability to access 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the measurement date.</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7"/>
              </w:rPr>
              <w:t>Inputs include quoted prices for similar assets and liabilities in active markets, quoted prices for identical or similar assets or</w:t>
            </w:r>
          </w:p>
        </w:tc>
      </w:tr>
      <w:tr>
        <w:trPr>
          <w:trHeight w:val="216"/>
        </w:trPr>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liabilities in markets that are not active, inputs other than quoted prices that are observable for the asset or liability, and inputs that</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are derived principally from or corroborated by observable market data by correlation or other means (market corroborated inputs).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720" w:type="dxa"/>
            <w:vAlign w:val="bottom"/>
          </w:tcPr>
          <w:p>
            <w:pPr>
              <w:ind w:left="120"/>
              <w:spacing w:after="0"/>
              <w:rPr>
                <w:sz w:val="20"/>
                <w:szCs w:val="20"/>
                <w:color w:val="auto"/>
              </w:rPr>
            </w:pPr>
            <w:r>
              <w:rPr>
                <w:rFonts w:ascii="Arial" w:cs="Arial" w:eastAsia="Arial" w:hAnsi="Arial"/>
                <w:sz w:val="18"/>
                <w:szCs w:val="18"/>
                <w:color w:val="auto"/>
                <w:w w:val="92"/>
              </w:rPr>
              <w:t>Unobservable inputs that reflect the Company’s assumptions that market participants would use in pricing the asset or liability. The</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720" w:type="dxa"/>
            <w:vAlign w:val="bottom"/>
          </w:tcPr>
          <w:p>
            <w:pPr>
              <w:ind w:left="120"/>
              <w:spacing w:after="0"/>
              <w:rPr>
                <w:sz w:val="20"/>
                <w:szCs w:val="20"/>
                <w:color w:val="auto"/>
              </w:rPr>
            </w:pPr>
            <w:r>
              <w:rPr>
                <w:rFonts w:ascii="Arial" w:cs="Arial" w:eastAsia="Arial" w:hAnsi="Arial"/>
                <w:sz w:val="18"/>
                <w:szCs w:val="18"/>
                <w:color w:val="auto"/>
              </w:rPr>
              <w:t>Company develops these inputs based on the best information available, including its own data.</w:t>
            </w:r>
          </w:p>
        </w:tc>
      </w:tr>
    </w:tbl>
    <w:p>
      <w:pPr>
        <w:spacing w:after="0" w:line="202" w:lineRule="exact"/>
        <w:rPr>
          <w:sz w:val="20"/>
          <w:szCs w:val="20"/>
          <w:color w:val="auto"/>
        </w:rPr>
      </w:pPr>
    </w:p>
    <w:p>
      <w:pPr>
        <w:jc w:val="both"/>
        <w:ind w:right="80" w:firstLine="648"/>
        <w:spacing w:after="0" w:line="311" w:lineRule="auto"/>
        <w:rPr>
          <w:sz w:val="20"/>
          <w:szCs w:val="20"/>
          <w:color w:val="auto"/>
        </w:rPr>
      </w:pPr>
      <w:r>
        <w:rPr>
          <w:rFonts w:ascii="Arial" w:cs="Arial" w:eastAsia="Arial" w:hAnsi="Arial"/>
          <w:sz w:val="16"/>
          <w:szCs w:val="16"/>
          <w:color w:val="auto"/>
        </w:rPr>
        <w:t>The Company provides a gross presentation of activity within Level 3 measurement roll-forward and details of transfers in and out of Level 1 and 2 measurements. A change in the hierarchy of an investment from its current level is reflected in the period during which the pricing methodology of such investment changes. Disclosure of the transfer of securities from Level 1 to Level 2 or Level 3 is made in the event that the related security is significant to</w:t>
      </w:r>
    </w:p>
    <w:p>
      <w:pPr>
        <w:sectPr>
          <w:pgSz w:w="11900" w:h="16917" w:orient="portrait"/>
          <w:cols w:equalWidth="0" w:num="1">
            <w:col w:w="11320"/>
          </w:cols>
          <w:pgMar w:left="320" w:top="850" w:right="259" w:bottom="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total cash and investments. The Company did not have any transfers of assets and liabilities from Level 1, Level 2 or Level 3 of the fair value measurement hierarchy during the nine months ended December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jc w:val="both"/>
        <w:ind w:right="20" w:firstLine="648"/>
        <w:spacing w:after="0" w:line="277" w:lineRule="auto"/>
        <w:rPr>
          <w:sz w:val="20"/>
          <w:szCs w:val="20"/>
          <w:color w:val="auto"/>
        </w:rPr>
      </w:pPr>
      <w:r>
        <w:rPr>
          <w:rFonts w:ascii="Arial" w:cs="Arial" w:eastAsia="Arial" w:hAnsi="Arial"/>
          <w:sz w:val="18"/>
          <w:szCs w:val="18"/>
          <w:color w:val="auto"/>
        </w:rPr>
        <w:t>A financial asset’s or liability’s classification within the hierarchy is determined based on the lowest level input that is significant to the fair value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equivalents consist of highly liquid instruments with maturities of three months or less that are regarded as high quality, low risk investments, are measured using such inputs as quoted prices and are classified within Level 1 of the valuation hierarchy. Cash equivalents consist principally of certificates of deposits and money market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Marketable securities consist of certificates of deposit that are measured using such inputs as quoted prices and are classified within Level 1 of the valuation hierarchy. The Company determines the appropriate classification of its marketable securities at the time of purchase and re-evaluates such classification as of each balance sheet date. All marketable securities are considered available for sale and are carried at fair value. Changes in fair value are recorded to other income (expense), net. The Company had no outstanding marketable securities as of December 31, 2021 and the Company recognized no change in the three and nine months ended December 31, 2021. The Company recognized no change in the three months ended December 31, 2020 and $0.2 million in unrealized losses on marketable securities, which is recorded in other income (expense), net, for the nine months ended December 30, 2020 and less than a $0.1 million gain which was recognized during the nine months ended December 31, 2020 upon the sale of one of the certificates of deposit. The Company periodically reviews the realizability of each short and long term marketable security when impairment indicators exist with respect to the security. If other than temporary impairment of value of the security exists, the carrying value of the security is written down to its estimated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Contingent consideration relates to the earnout payment set forth in the NEPSI Stock Purchase Agreement that provides that the selling stockholders may receive up to an additional 1,000,000 shares of common stock of the Company upon the achievement of certain specified revenue objectives over varying periods of up to four years following the NEPSI Acquisition Date. See Note 13, "Contingent Consideration" and Note 2, “Acquisitions” for further discussion. The Company relied on a Monte Carlo method to determine the fair value of the contingent consideration on the NEPSI Acquisition Date and will continue to revalue the fair value of the contingent consideration using the same method at each subsequent balance sheet date until the contingencies are resolved and the shares to be issued are determined, with the change in fair value recorded in the current period operating loss.</w:t>
      </w:r>
    </w:p>
    <w:p>
      <w:pPr>
        <w:spacing w:after="0" w:line="19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the assets and liabilities carried at fair value on a recurring basis, measured as of December 31, 2021 and March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20,110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2,610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2,610</w:t>
            </w:r>
          </w:p>
        </w:tc>
      </w:tr>
      <w:tr>
        <w:trPr>
          <w:trHeight w:val="399"/>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Quoted Prices</w:t>
            </w: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in Active</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38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Total Carrying</w:t>
            </w: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Markets (Level</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38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2)</w:t>
            </w:r>
          </w:p>
        </w:tc>
        <w:tc>
          <w:tcPr>
            <w:tcW w:w="10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Inputs (Level 3)</w:t>
            </w:r>
          </w:p>
        </w:tc>
      </w:tr>
      <w:tr>
        <w:trPr>
          <w:trHeight w:val="20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March 31, 2021:</w:t>
            </w:r>
          </w:p>
        </w:tc>
        <w:tc>
          <w:tcPr>
            <w:tcW w:w="16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Assets:</w:t>
            </w:r>
          </w:p>
        </w:tc>
        <w:tc>
          <w:tcPr>
            <w:tcW w:w="1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9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54,104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5,140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5,140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Contingent consideration</w:t>
            </w:r>
          </w:p>
        </w:tc>
        <w:tc>
          <w:tcPr>
            <w:tcW w:w="1980" w:type="dxa"/>
            <w:vAlign w:val="bottom"/>
            <w:gridSpan w:val="2"/>
          </w:tcPr>
          <w:p>
            <w:pPr>
              <w:ind w:left="1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7,050</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7,050</w:t>
            </w:r>
          </w:p>
        </w:tc>
      </w:tr>
      <w:tr>
        <w:trPr>
          <w:trHeight w:val="418"/>
        </w:trPr>
        <w:tc>
          <w:tcPr>
            <w:tcW w:w="3840" w:type="dxa"/>
            <w:vAlign w:val="bottom"/>
          </w:tcPr>
          <w:p>
            <w:pPr>
              <w:spacing w:after="0"/>
              <w:rPr>
                <w:sz w:val="24"/>
                <w:szCs w:val="24"/>
                <w:color w:val="auto"/>
              </w:rPr>
            </w:pPr>
          </w:p>
        </w:tc>
        <w:tc>
          <w:tcPr>
            <w:tcW w:w="1980" w:type="dxa"/>
            <w:vAlign w:val="bottom"/>
            <w:gridSpan w:val="2"/>
          </w:tcPr>
          <w:p>
            <w:pPr>
              <w:ind w:left="1700"/>
              <w:spacing w:after="0"/>
              <w:rPr>
                <w:sz w:val="20"/>
                <w:szCs w:val="20"/>
                <w:color w:val="auto"/>
              </w:rPr>
            </w:pPr>
            <w:r>
              <w:rPr>
                <w:rFonts w:ascii="Arial" w:cs="Arial" w:eastAsia="Arial" w:hAnsi="Arial"/>
                <w:sz w:val="18"/>
                <w:szCs w:val="18"/>
                <w:color w:val="auto"/>
              </w:rPr>
              <w:t>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1" w:right="339" w:bottom="1440" w:gutter="0" w:footer="0" w:header="0"/>
        </w:sectPr>
      </w:pPr>
    </w:p>
    <w:bookmarkStart w:id="20" w:name="page21"/>
    <w:bookmarkEnd w:id="20"/>
    <w:p>
      <w:pPr>
        <w:ind w:left="640"/>
        <w:spacing w:after="0"/>
        <w:rPr>
          <w:sz w:val="20"/>
          <w:szCs w:val="20"/>
          <w:color w:val="auto"/>
        </w:rPr>
      </w:pPr>
      <w:r>
        <w:rPr>
          <w:rFonts w:ascii="Arial" w:cs="Arial" w:eastAsia="Arial" w:hAnsi="Arial"/>
          <w:sz w:val="18"/>
          <w:szCs w:val="18"/>
          <w:color w:val="auto"/>
        </w:rPr>
        <w:t>The table below reflects the activity for the Company’s derivative liability measured at fair value on a recurring basis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Acquisition</w:t>
            </w:r>
          </w:p>
        </w:tc>
      </w:tr>
      <w:tr>
        <w:trPr>
          <w:trHeight w:val="216"/>
        </w:trPr>
        <w:tc>
          <w:tcPr>
            <w:tcW w:w="23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Contingent</w:t>
            </w:r>
          </w:p>
        </w:tc>
      </w:tr>
      <w:tr>
        <w:trPr>
          <w:trHeight w:val="234"/>
        </w:trPr>
        <w:tc>
          <w:tcPr>
            <w:tcW w:w="2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Consideration</w:t>
            </w:r>
          </w:p>
        </w:tc>
        <w:tc>
          <w:tcPr>
            <w:tcW w:w="100" w:type="dxa"/>
            <w:vAlign w:val="bottom"/>
          </w:tcPr>
          <w:p>
            <w:pPr>
              <w:spacing w:after="0"/>
              <w:rPr>
                <w:sz w:val="20"/>
                <w:szCs w:val="20"/>
                <w:color w:val="auto"/>
              </w:rPr>
            </w:pPr>
          </w:p>
        </w:tc>
      </w:tr>
      <w:tr>
        <w:trPr>
          <w:trHeight w:val="209"/>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5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Change in fair value</w:t>
            </w: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(4,440)</w:t>
            </w:r>
          </w:p>
        </w:tc>
      </w:tr>
      <w:tr>
        <w:trPr>
          <w:trHeight w:val="250"/>
        </w:trPr>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at December 31, 2021</w:t>
            </w:r>
          </w:p>
        </w:tc>
        <w:tc>
          <w:tcPr>
            <w:tcW w:w="5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655"/>
        </w:trPr>
        <w:tc>
          <w:tcPr>
            <w:tcW w:w="2340" w:type="dxa"/>
            <w:vAlign w:val="bottom"/>
          </w:tcPr>
          <w:p>
            <w:pPr>
              <w:spacing w:after="0"/>
              <w:rPr>
                <w:sz w:val="20"/>
                <w:szCs w:val="20"/>
                <w:color w:val="auto"/>
              </w:rPr>
            </w:pPr>
            <w:r>
              <w:rPr>
                <w:rFonts w:ascii="Arial" w:cs="Arial" w:eastAsia="Arial" w:hAnsi="Arial"/>
                <w:sz w:val="18"/>
                <w:szCs w:val="18"/>
                <w:b w:val="1"/>
                <w:bCs w:val="1"/>
                <w:color w:val="auto"/>
              </w:rPr>
              <w:t>8. Accounts Receivable</w:t>
            </w: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340" w:type="dxa"/>
            <w:vAlign w:val="bottom"/>
          </w:tcPr>
          <w:p>
            <w:pPr>
              <w:ind w:left="660"/>
              <w:spacing w:after="0"/>
              <w:rPr>
                <w:sz w:val="20"/>
                <w:szCs w:val="20"/>
                <w:color w:val="auto"/>
              </w:rPr>
            </w:pPr>
            <w:r>
              <w:rPr>
                <w:rFonts w:ascii="Arial" w:cs="Arial" w:eastAsia="Arial" w:hAnsi="Arial"/>
                <w:sz w:val="18"/>
                <w:szCs w:val="18"/>
                <w:color w:val="auto"/>
                <w:w w:val="91"/>
              </w:rPr>
              <w:t>Accounts receivable at</w:t>
            </w:r>
          </w:p>
        </w:tc>
        <w:tc>
          <w:tcPr>
            <w:tcW w:w="7240" w:type="dxa"/>
            <w:vAlign w:val="bottom"/>
            <w:gridSpan w:val="4"/>
          </w:tcPr>
          <w:p>
            <w:pPr>
              <w:ind w:left="40"/>
              <w:spacing w:after="0"/>
              <w:rPr>
                <w:sz w:val="20"/>
                <w:szCs w:val="20"/>
                <w:color w:val="auto"/>
              </w:rPr>
            </w:pPr>
            <w:r>
              <w:rPr>
                <w:rFonts w:ascii="Arial" w:cs="Arial" w:eastAsia="Arial" w:hAnsi="Arial"/>
                <w:sz w:val="18"/>
                <w:szCs w:val="18"/>
                <w:color w:val="auto"/>
              </w:rPr>
              <w:t>December 31, 2021 and March 31, 2021 consisted of the following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3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3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(billed)</w:t>
            </w:r>
          </w:p>
        </w:tc>
        <w:tc>
          <w:tcPr>
            <w:tcW w:w="5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w w:val="96"/>
              </w:rPr>
              <w:t>Accounts receivable (unbilled)</w:t>
            </w:r>
          </w:p>
        </w:tc>
        <w:tc>
          <w:tcPr>
            <w:tcW w:w="5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5,765</w:t>
            </w:r>
          </w:p>
        </w:tc>
        <w:tc>
          <w:tcPr>
            <w:tcW w:w="100" w:type="dxa"/>
            <w:vAlign w:val="bottom"/>
          </w:tcPr>
          <w:p>
            <w:pPr>
              <w:spacing w:after="0"/>
              <w:rPr>
                <w:sz w:val="18"/>
                <w:szCs w:val="18"/>
                <w:color w:val="auto"/>
              </w:rPr>
            </w:pPr>
          </w:p>
        </w:tc>
      </w:tr>
      <w:tr>
        <w:trPr>
          <w:trHeight w:val="249"/>
        </w:trPr>
        <w:tc>
          <w:tcPr>
            <w:tcW w:w="2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56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net of reserves, at December 31, 2021 and March 31, 2021 consisted of the following (in thousands):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Work-in-process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Deferred program costs</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inventory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2021</w:t>
            </w:r>
          </w:p>
        </w:tc>
      </w:tr>
      <w:tr>
        <w:trPr>
          <w:trHeight w:val="195"/>
        </w:trPr>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11,409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8,255</w:t>
            </w:r>
          </w:p>
        </w:tc>
        <w:tc>
          <w:tcPr>
            <w:tcW w:w="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3,297</w:t>
            </w:r>
          </w:p>
        </w:tc>
      </w:tr>
      <w:tr>
        <w:trPr>
          <w:trHeight w:val="216"/>
        </w:trPr>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r>
      <w:tr>
        <w:trPr>
          <w:trHeight w:val="230"/>
        </w:trPr>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977</w:t>
            </w:r>
          </w:p>
        </w:tc>
      </w:tr>
      <w:tr>
        <w:trPr>
          <w:trHeight w:val="210"/>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20,942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20" w:type="dxa"/>
            <w:vAlign w:val="bottom"/>
          </w:tcPr>
          <w:p>
            <w:pPr>
              <w:spacing w:after="0"/>
              <w:rPr>
                <w:sz w:val="18"/>
                <w:szCs w:val="18"/>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-5086985</wp:posOffset>
            </wp:positionH>
            <wp:positionV relativeFrom="paragraph">
              <wp:posOffset>-719455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-445135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-162560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220"/>
          </w:cols>
          <w:pgMar w:left="320" w:top="611" w:right="339" w:bottom="1440" w:gutter="0" w:footer="0" w:header="0"/>
          <w:type w:val="continuous"/>
        </w:sectPr>
      </w:pPr>
    </w:p>
    <w:p>
      <w:pPr>
        <w:spacing w:after="0" w:line="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recorded inventory write-downs of $0.4 million in each of the three months ended December 31, 2021 and 2020, respectively. The Company recorded inventory write-downs of $1.6 million in each of the nine months ended December 31, 2021 and 2020, respectively. These write-downs were based on the Company's evaluation of its inventory on hand for excess quantities and obsolescence.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Deferred program costs as of December 31, 2021, and March 31, 2021, primarily represent costs incurred on programs where the Company needs to complete performance obligations before the related revenue and costs will be recognized.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21" w:name="page22"/>
    <w:bookmarkEnd w:id="21"/>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Plant and Equipment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 and accumulated depreciation of property, plant and equipment at December 31, 2021 and March 31, 2021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Land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43,721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41,652</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 right of use asset</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1,381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58,461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51,413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(42,416)</w:t>
            </w:r>
          </w:p>
        </w:tc>
      </w:tr>
      <w:tr>
        <w:trPr>
          <w:trHeight w:val="209"/>
        </w:trPr>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8,997</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Depreciation expense was $0.7 million and $1.2 million for the three months ended December 31, 2021 and 2020, respectively. Depreciation expense was $2.0 million and $2.9 million for the nine months ended December 31, 2021 and 2020, respectively. The increase in land and building relates to the property added as part of the Neeltran Acquisition.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Accounts Payable and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at December 31, 2021 and March 31, 2021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Accrued inventories in-transit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1,460</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other miscellaneous expenses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Advanced deposits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product warranty</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24,332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19,810</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generally provides a one to three year warranty on its products, commencing upon delivery or installation where applicable. A provision is recorded upon revenue recognition to cost of revenues for estimated warranty expense based on historical experience.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660"/>
              <w:spacing w:after="0"/>
              <w:rPr>
                <w:sz w:val="20"/>
                <w:szCs w:val="20"/>
                <w:color w:val="auto"/>
              </w:rPr>
            </w:pPr>
            <w:r>
              <w:rPr>
                <w:rFonts w:ascii="Arial" w:cs="Arial" w:eastAsia="Arial" w:hAnsi="Arial"/>
                <w:sz w:val="18"/>
                <w:szCs w:val="18"/>
                <w:color w:val="auto"/>
              </w:rPr>
              <w:t>Product warranty activity was as follows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Acquired warranty obligations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accruals for warranties during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recorded an income tax expense of $1.0 thousand and income tax benefit of $1.9 million in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respectively. The Company recorded an income tax benefit of $1.5 million and $1.2 million in the three and nine months period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respectively.</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a difference in book and tax basis related to the intangible assets acquired in the Neeltran Acquisition (see Note 2, "Acquisitions"), the Company recorded a deferred tax liability of $2.3 million. As a result, the Company was able to benefit from additional deferred tax assets and therefore released a corresponding valuation allowance of $2.3 million during the nine months ended December 31, 2021. The purchase price allocation is preliminary and has not been finalized as the analysis on the assets and liabilities acquired, primarily the tax related liability, may require further adjustments to the Company's purchase accounting that could result in measurement period adjustments that would impact the Company's reported net assets and goodwill as of May 6, 2021. Material changes, if any, to the preliminary allocation summarized in Note 2, "Acquisitions" will be reported once the related uncertainties are resolved, but no later than May 6, 2022. As a result of a difference in book and tax basis related to the intangible assets acquired in the NEPSI Acquisition, the Company recorded a deferred tax liability of $1.7 million. As a result, the Company was able to benefit from additional deferred tax assets and therefore released a corresponding valuation allowance of $1.7 million during the three and nine months ended December 31, 2020. The purchase price allocation was final as of October 1, 2021. Goodwill recognized in the Neeltran Acquisition and the NEPSI Acquisition is not deductible for tax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81" w:orient="portrait"/>
          <w:cols w:equalWidth="0" w:num="1">
            <w:col w:w="11240"/>
          </w:cols>
          <w:pgMar w:left="320" w:top="850" w:right="339" w:bottom="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Accounting for income taxes requires a two-step approach to recognizing and measuring uncertain tax positions. The first step is to evaluate the tax position for recognition by determining if, based on the technical merits, it is more likely than not the position will be sustained upon audit, including resolution of related appeals or litigation processes, if any. The second step is to measure the tax benefit as the largest amount that is more than 50% likely to be realized upon ultimate settlement. The Company re-evaluates these uncertain tax positions on a quarterly basis. The evaluation is based on factors including, but not limited to, changes in facts or circumstances, changes in tax law, effectively settled issues under audit and new audit activity. Any changes in these factors could result in the recognition of a tax benefit or an additional charge to the tax provision. The Company did not identify any uncertain tax positions in the nine months ended December 31, 2021 and did not have any gross unrecognized tax benefits as of December 31,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Contingent Consideration</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evaluated the NEPSI Acquisition earnout payment set forth in the NEPSI Stock Purchase Agreement (see Note 2, "Acquisitions" for further details), which may require settlement in the Company's common stock, and determined the contingent consideration qualified for liability classification and derivative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 a result, for each period, the fair value of the contingent consideration will be remeasured and the resulting gain or loss will be recognized in operating expenses until the share amount is fixed.</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Following is a summary of the key assumptions used in a Monte Carlo simulation to calculate the fair value of the contingent consideration related to the NEPSI Acquisition: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66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gridSpan w:val="2"/>
          </w:tcPr>
          <w:p>
            <w:pPr>
              <w:ind w:left="400"/>
              <w:spacing w:after="0"/>
              <w:rPr>
                <w:sz w:val="20"/>
                <w:szCs w:val="20"/>
                <w:color w:val="auto"/>
              </w:rPr>
            </w:pPr>
            <w:r>
              <w:rPr>
                <w:rFonts w:ascii="Arial" w:cs="Arial" w:eastAsia="Arial" w:hAnsi="Arial"/>
                <w:sz w:val="18"/>
                <w:szCs w:val="18"/>
                <w:b w:val="1"/>
                <w:bCs w:val="1"/>
                <w:color w:val="auto"/>
              </w:rPr>
              <w:t>June 30,</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2021</w:t>
            </w: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Revenue risk premium</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6.60%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6.60%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6.60%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Stock Price</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$10.88</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$14.58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Payment delay (days)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Fair value (millions)</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6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166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October 1,</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Fiscal Year 2020</w:t>
            </w: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Revenue risk premium</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6.70%</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6.90%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 volatility</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Stock Price</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$18.96</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$23.42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$14.23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Payment delay (days)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Fair value (millions)</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jc w:val="both"/>
        <w:ind w:left="140" w:right="120" w:firstLine="486"/>
        <w:spacing w:after="0" w:line="286" w:lineRule="auto"/>
        <w:rPr>
          <w:sz w:val="20"/>
          <w:szCs w:val="20"/>
          <w:color w:val="auto"/>
        </w:rPr>
      </w:pPr>
      <w:r>
        <w:rPr>
          <w:rFonts w:ascii="Arial" w:cs="Arial" w:eastAsia="Arial" w:hAnsi="Arial"/>
          <w:sz w:val="17"/>
          <w:szCs w:val="17"/>
          <w:color w:val="auto"/>
        </w:rPr>
        <w:t>The Company recorded a net gain of $2.1 million and $4.4 million resulting from the decrease in the fair value of the contingent consideration in the three and nine months ended December 31, 2021, respectively. The Company recorded a net loss of $2.7 million resulting from the increase in the fair value of the contingent consideration in both the three and nine months period ended December 31, 2020.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9" w:lineRule="exact"/>
        <w:rPr>
          <w:sz w:val="20"/>
          <w:szCs w:val="20"/>
          <w:color w:val="auto"/>
        </w:rPr>
      </w:pPr>
    </w:p>
    <w:p>
      <w:pPr>
        <w:jc w:val="both"/>
        <w:ind w:firstLine="775"/>
        <w:spacing w:after="0" w:line="263" w:lineRule="auto"/>
        <w:rPr>
          <w:sz w:val="20"/>
          <w:szCs w:val="20"/>
          <w:color w:val="auto"/>
        </w:rPr>
      </w:pPr>
      <w:r>
        <w:rPr>
          <w:rFonts w:ascii="Arial" w:cs="Arial" w:eastAsia="Arial" w:hAnsi="Arial"/>
          <w:sz w:val="18"/>
          <w:szCs w:val="18"/>
          <w:color w:val="auto"/>
        </w:rPr>
        <w:t>As part of the Neeltran Acquisition, the Company identified four equipment financing agreements that Neeltran had entered into prior to the acquisition on May 6, 2021. The Company determined to account for these agreements as a debt transaction and recorded current and long-term debt liabilities of $0.1 million each during the nine months ended December 31,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determines whether a contract is or contains a lease at inception of a contract. The Company defines a lease as a contract, or part of a contract, that conveys the right to control the use of identified property or equipment (an identified asset) for a period of time in exchange for consideration. Control over the use of the identified asset means that the Company have both the right to obtain substantially all of the economic benefits from the use of the asset and the right to direct the use of the asset.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discount rate was calculated using an incremental borrowing rate based on an assessment prepared by the Company through the use of Company credit ratings, consideration of its lease populations potential risk to its total capital structure, and a market rate for a collateralized loan for its risk profile, calculated by a third party. The Company elected to apply the discount rate using the remaining lease term at the date of adoption for Neeltran lease contracts.</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Neeltran Acquisition, the Company evaluated all open Neeltran contracts at the date of the acquisition to determine if any applied under ASC 842 as Neeltran, a private company, had deferred adopting ASC 842 prior to the Neeltran Acquisition, as permitted. The Company identified nine lease contracts with terms greater than twelve months and evaluated them under ASC 842 guidance. As part of the implementation, the Company identified one lease contract that classified as a financing lease. The Company does not expect a material impact to the financial statements on an ongoing basis resulting from the adoption of the ASC 842 standard for the Neeltran business and Neeltran will follow the existing policies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significant lease arrangements are recognized at lease commencement. Operating lease right–of-use assets and lease liabilities are recognized at commencement. The operating lease right-of-use asset includes any lease payments related to initial direct cost and prepayments and excludes any lease incentives. Lease expense is recognized on a straight-line basis over the lease term. The Company enters into a variety of operating lease agreements through the normal course of its business, but primarily real estate leases to support its operations. The real estate lease agreements generally provide for</w:t>
      </w:r>
    </w:p>
    <w:p>
      <w:pPr>
        <w:sectPr>
          <w:pgSz w:w="11900" w:h="16963" w:orient="portrait"/>
          <w:cols w:equalWidth="0" w:num="1">
            <w:col w:w="11240"/>
          </w:cols>
          <w:pgMar w:left="320" w:top="611" w:right="339" w:bottom="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fixed minimum rental payments and the payment of real estate taxes and insurance. Many of these real estate leases have one or more renewal options that allow the Company, at its discretion, to renew the lease for varying periods up to five years or to terminate the lease. Only renewal options or termination rights that the Company believed were likely to be exercised were included in the lease calculations.</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also enters into leases for vehicles, IT equipment and service agreements, and other leases related to its manufacturing operations that are also included in the right-of-use assets and lease liability accounts if they are for a term of longer than twelve months. However, many of these leases are either short-term in nature or immaterial. The Company has made the policy election to exclude short-term leases from the balance sheet.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i w:val="1"/>
          <w:iCs w:val="1"/>
          <w:color w:val="auto"/>
        </w:rPr>
        <w:t>Finance Leases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part of the adoption of ASC 842 at Neeltran, the Company identified one lease contract that is classified as a financing lease. In February 2020, Neeltran entered into a contract to lease a copy machine for an initial term of 39 months, or through May 2023. The Company concluded that the lease should be classified and accounted for as a finance lease as the total value of the lease payments are greater than fair value of the asset. Accordingly, on May 6, 2021, the Company recognized a finance lease right-of-use asset and a finance lease liability of $13.2 thousand on the Neeltran opening balance sheet. As of December 31, 2021, the right-of-use asset related to the finance lease was $9.1 thousand, net of accumulated amortization of $4.1 thousand, and is included in the property and equipment, net on the Company's consolidated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Finance lease right-of-use assets and lease liabilities are recognized similar to an operating lease, at the lease commencement date or the date the lessor makes the leased asset available for use. Finance lease right-of-use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right-of-use assets and interest accretion on finance lease liabilities are recorded to depreciation expense and interest expense, respectively in our consolidated statement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at December 31, 2021,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March 31, 2021</w:t>
            </w:r>
          </w:p>
        </w:tc>
      </w:tr>
      <w:tr>
        <w:trPr>
          <w:trHeight w:val="209"/>
        </w:trPr>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Right-of-use assets -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3,747</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right-of-use assets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3,417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3,747</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ST Financing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ST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696</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Lease liabilities - LT Financing</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 LT Operating</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2,838</w:t>
            </w: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3,246</w:t>
            </w:r>
          </w:p>
        </w:tc>
      </w:tr>
      <w:tr>
        <w:trPr>
          <w:trHeight w:val="20"/>
        </w:trPr>
        <w:tc>
          <w:tcPr>
            <w:tcW w:w="79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3,543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3,858</w:t>
            </w:r>
          </w:p>
        </w:tc>
      </w:tr>
      <w:tr>
        <w:trPr>
          <w:trHeight w:val="216"/>
        </w:trPr>
        <w:tc>
          <w:tcPr>
            <w:tcW w:w="7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Weighted-average remaining lease term</w:t>
            </w:r>
          </w:p>
        </w:tc>
        <w:tc>
          <w:tcPr>
            <w:tcW w:w="1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5.09</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costs related to the Company's finance lease are not material. The costs related to the Company's operating leases for the three and nine months ended December 31, 2021 and 2020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630"/>
        </w:trPr>
        <w:tc>
          <w:tcPr>
            <w:tcW w:w="3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3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December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Leases:</w:t>
            </w:r>
          </w:p>
        </w:tc>
        <w:tc>
          <w:tcPr>
            <w:tcW w:w="4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Operating lease costs - fixed</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 - variable</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Short-term lease costs</w:t>
            </w:r>
          </w:p>
        </w:tc>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432"/>
        </w:trPr>
        <w:tc>
          <w:tcPr>
            <w:tcW w:w="9580" w:type="dxa"/>
            <w:vAlign w:val="bottom"/>
            <w:gridSpan w:val="5"/>
          </w:tcPr>
          <w:p>
            <w:pPr>
              <w:ind w:left="660"/>
              <w:spacing w:after="0"/>
              <w:rPr>
                <w:sz w:val="20"/>
                <w:szCs w:val="20"/>
                <w:color w:val="auto"/>
              </w:rPr>
            </w:pPr>
            <w:r>
              <w:rPr>
                <w:rFonts w:ascii="Arial" w:cs="Arial" w:eastAsia="Arial" w:hAnsi="Arial"/>
                <w:sz w:val="18"/>
                <w:szCs w:val="18"/>
                <w:color w:val="auto"/>
                <w:w w:val="93"/>
              </w:rPr>
              <w:t>The Company’s estimated minimum future lease obligations under the Company's leases are as follows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20" w:type="dxa"/>
            <w:vAlign w:val="bottom"/>
            <w:vMerge w:val="restart"/>
          </w:tcPr>
          <w:p>
            <w:pPr>
              <w:spacing w:after="0"/>
              <w:rPr>
                <w:sz w:val="20"/>
                <w:szCs w:val="20"/>
                <w:color w:val="auto"/>
              </w:rPr>
            </w:pPr>
            <w:r>
              <w:rPr>
                <w:rFonts w:ascii="Arial" w:cs="Arial" w:eastAsia="Arial" w:hAnsi="Arial"/>
                <w:sz w:val="18"/>
                <w:szCs w:val="18"/>
                <w:color w:val="auto"/>
              </w:rPr>
              <w:t>Year ended March 31,</w:t>
            </w: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Leases</w:t>
            </w:r>
          </w:p>
        </w:tc>
        <w:tc>
          <w:tcPr>
            <w:tcW w:w="0" w:type="dxa"/>
            <w:vAlign w:val="bottom"/>
          </w:tcPr>
          <w:p>
            <w:pPr>
              <w:spacing w:after="0"/>
              <w:rPr>
                <w:sz w:val="1"/>
                <w:szCs w:val="1"/>
                <w:color w:val="auto"/>
              </w:rPr>
            </w:pPr>
          </w:p>
        </w:tc>
      </w:tr>
      <w:tr>
        <w:trPr>
          <w:trHeight w:val="209"/>
        </w:trPr>
        <w:tc>
          <w:tcPr>
            <w:tcW w:w="3920" w:type="dxa"/>
            <w:vAlign w:val="bottom"/>
            <w:vMerge w:val="continue"/>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2023</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2025</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Thereafter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Less: interest</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4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412"/>
        </w:trPr>
        <w:tc>
          <w:tcPr>
            <w:tcW w:w="3920" w:type="dxa"/>
            <w:vAlign w:val="bottom"/>
            <w:tcBorders>
              <w:top w:val="single" w:sz="8" w:color="CCEEFF"/>
            </w:tcBorders>
          </w:tcPr>
          <w:p>
            <w:pPr>
              <w:spacing w:after="0"/>
              <w:rPr>
                <w:sz w:val="24"/>
                <w:szCs w:val="24"/>
                <w:color w:val="auto"/>
              </w:rPr>
            </w:pPr>
          </w:p>
        </w:tc>
        <w:tc>
          <w:tcPr>
            <w:tcW w:w="4080" w:type="dxa"/>
            <w:vAlign w:val="bottom"/>
            <w:tcBorders>
              <w:top w:val="single" w:sz="8" w:color="CCEEFF"/>
            </w:tcBorders>
          </w:tcPr>
          <w:p>
            <w:pPr>
              <w:jc w:val="right"/>
              <w:ind w:right="2190"/>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611" w:right="339" w:bottom="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enters into long-term construction contracts with customers that require the Company to obtain performance bonds. The Company is required to deposit an amount equivalent to some or all the face amount of the performance bonds into an escrow account until the termination of the bond. When the performance conditions are met, amounts deposited as collateral for the performance bonds are returned to the Company. In addition, the Company has various contractual arrangements in which minimum quantities of goods or services have been committed to be purchased on an annual basis.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2021, the Company had $6.0 million of restricted cash included in long-term assets and $2.7 million of restricted cash included in current assets. As of March 31, 2021, the Company had $5.6 million of restricted cash included in long term assets and $2.2 million of restricted cash included in current assets. These amounts included in restricted cash primarily represent deposits to secure letters of credit for various supply contracts and long-term projects, including the irrevocable letter of credit in the amount of $5.0 million to secure certain of the Company's obligations under a subcontract agreement with ComEd. These deposits are held in interest bearing accounts.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Business Segments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its financial results in two reportable business segments: Grid and Wind.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power grid offerings, the Grid business segment enables electric utilities, industrial facilities, and renewable energy project developers to connect, transmit and distribute power with exceptional efficiency, reliability, security and affordability through its transmission planning services, power electronics, and superconductor-based systems. The sales process is enabled by transmission planning services that allow it to identify power grid congestion, poor power quality and other risks, which helps the Company determine how its solutions can improve network performance. These services often lead to sales of grid interconnection solutions for wind farms and solar power plants, power quality systems, and transmission and distribution cable systems. The Company also sells ship protection products to the U.S. Navy through its Grid business segment.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 the Company’s wind power offerings, the Wind business segment enables manufacturers to field wind turbines with exceptional power output, reliability and affordability. The Company provides advanced power electronics and control system products, engineered designs, and support services. The Company supplies advanced power electronics and control systems, licenses its highly engineered wind turbine designs, and provides extensive customer support services to wind turbine manufacturers. The Company’s design portfolio includes a broad range of drive trains and power ratings of 2 megawatts ("MWs") and higher. The Company provides a broad range of power electronics and software-based control systems that are highly integrated and designed for optimized performance, efficiency, and grid compatibility.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operating results for the two business segments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25,050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73,169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51,149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26,799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23,632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80,126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65,961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1"/>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4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Grid</w:t>
            </w:r>
          </w:p>
        </w:tc>
        <w:tc>
          <w:tcPr>
            <w:tcW w:w="20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(3,691)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(8,388)</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1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(1,956)</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Unallocated corporate gain (expenses)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(5,337)</w:t>
            </w:r>
          </w:p>
        </w:tc>
      </w:tr>
      <w:tr>
        <w:trPr>
          <w:trHeight w:val="20"/>
        </w:trPr>
        <w:tc>
          <w:tcPr>
            <w:tcW w:w="4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(15,681)</w:t>
            </w:r>
          </w:p>
        </w:tc>
      </w:tr>
      <w:tr>
        <w:trPr>
          <w:trHeight w:val="412"/>
        </w:trPr>
        <w:tc>
          <w:tcPr>
            <w:tcW w:w="41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21</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50" w:right="339" w:bottom="1440" w:gutter="0" w:footer="0" w:header="0"/>
        </w:sectPr>
      </w:pPr>
    </w:p>
    <w:bookmarkStart w:id="27" w:name="page28"/>
    <w:bookmarkEnd w:id="27"/>
    <w:p>
      <w:pPr>
        <w:jc w:val="both"/>
        <w:ind w:firstLine="648"/>
        <w:spacing w:after="0" w:line="254" w:lineRule="auto"/>
        <w:rPr>
          <w:sz w:val="20"/>
          <w:szCs w:val="20"/>
          <w:color w:val="auto"/>
        </w:rPr>
      </w:pPr>
      <w:r>
        <w:rPr>
          <w:rFonts w:ascii="Arial" w:cs="Arial" w:eastAsia="Arial" w:hAnsi="Arial"/>
          <w:sz w:val="18"/>
          <w:szCs w:val="18"/>
          <w:color w:val="auto"/>
        </w:rPr>
        <w:t>The accounting policies of the business segments are the same as those for the consolidated Company. The Company’s business segments have been determined in accordance with the Company’s internal management structure, which is organized based on operating activities. The Company evaluates performance based upon several factors, of which the primary financial measures are segment revenues and segment operating loss. The disaggregated financial results of the segments reflect allocation of certain functional expense categories consistent with the basis and manner in which Company management internally disaggregates financial information for the purpose of assisting in making internal operating decisions. In addition, certain corporate expenses which the Company does not believe are specifically attributable or allocable to either of the two business segments have been excluded from the segment operating loss.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Unallocated corporate expenses consist of a gain on contingent consideration of $2.1 million and $4.4 million in the three and nine months ended December 31, 2021, respectively. Unallocated corporate expenses consist of a loss on contingent consideration of $2.7 million in both the three and nine months ended December 31, 2020. Additionally, unallocated corporate expenses consist of stock-based compensation expense of $1.1 million and $0.8 million in the three months ended December 31, 2021, and 2020, respectively, and $3.5 million and $2.6 million in the nine months ended December 31, 2021, and 2020,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assets for the two business segments as of December 31, 2021, and March 31, 2021,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Grid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113,512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81,253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Wind</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6,098</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assets</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53,143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175,296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168,866</w:t>
            </w:r>
          </w:p>
        </w:tc>
      </w:tr>
      <w:tr>
        <w:trPr>
          <w:trHeight w:val="20"/>
        </w:trPr>
        <w:tc>
          <w:tcPr>
            <w:tcW w:w="8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Recent Accounting Pronouncements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amendments in ASU 2016-13 will provide more decision-useful information about the expected credit losses on financial instruments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commitments to extend credit held by a reporting entity at each reporting date. Following the release of ASU 2019-10 in November 2019, the new effective date, as long as the Company remains a smaller reporting company, would be annual reporting periods beginning after December 15, 2022. The Company is currently evaluating the impact, if any, that the adoption of ASU 2016-13 may have on its consolidated financial statements.</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The Company is currently evaluating the impact, if any, that the adoption of ASU 2021-08 may have on its consolidated financial statements.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The Company is currently evaluating the impact, if any, that the adoption of ASU 2021-10 may have on its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performed an evaluation of subsequent events through the time of filing this Quarterly Report on Form 10-Q with the SEC and has determined that there are no such events to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21E of the Securities Exchange Act of 1934, as amended (the “Exchange Act”). For this purpose, any statements contained herein that relate to future events or conditions, including without limitation, the statements in Part II, “Item 1A. Risk Factors” and in Part I under “Item 2. Management’s Discussion and Analysis of Financial Condition and Results of Operations” and located elsewhere herein regarding industry prospects, our prospective results of operations or financial position, the benefits of our acquisition of Northeast Power Systems, Inc. ("NEPSI") and Neeltran, Inc. ("Neeltran"), changes in macroeconomic and market conditions, arising from the COVID-19 pandemic, including inflation, sourcing, production disruption, material delays and global supply chain disruptions and adoption of accounting changes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There are a number of important factors that could materially impact the value of our common stock or cause actual results to differ materially from those indicated by such forward-looking statements. These important factors include, but are not limited to: We have a history of operating losses, which may continue in the future. Our operating results may fluctuate significantly from quarter to quarter and may fall below expectations in any particular fiscal quarter; We have a history of negative operating cash flows, and we may require additional financing in the future, which may not be available to us; We may be required to issue performance bonds or provide letters of credit, which restricts our ability to access any cash used as collateral for the bonds or letters of credit; Changes in exchange rates could adversely affect our results of operations; If we fail to maintain proper and effective internal control over financial reporting, our ability to produce accurate and timely financial statements could be impaired and may lead investors and other users to lose confidence in our financial data; We may not realize all of the sales expected from our backlog of orders and contracts; Our contracts with the U.S. government are subject to audit, modification or termination by the U.S. government and include certain other provisions in favor of the government. The continued funding of such contracts remains subject to annual congressional appropriation, which, if not approved, could reduce our revenue and lower or eliminate our profit; The “COVID-19” pandemic could adversely impact our business, financial condition and results of operations; Changes in U.S. government defense spending could negatively impact our financial position, results of operations, liquidity, and overall business. We rely on third-party suppliers for components and subassemblies of many of our Grid and Wind products, making us vulnerable to supply shortages and price fluctuations, which could harm our business; Uncertainty surrounding our prospects and financial condition may have an adverse effect on our customer and supplier relationships; We may experience difficulties re-establishing our HTS wire production capability in our Ayer, Massachusetts facility; Our success is dependent upon attracting and retaining qualified personnel and our inability to do so could significantly damage our business and prospects; Historically, a significant portion of our revenues have been derived from a single customer and if this customer’s business is negatively affected, it could adversely impact our business; Our success in addressing the wind energy market is dependent on the manufacturers that license our designs; Our business and operations would be adversely impacted in the event of a failure or security breach of our information technology infrastructure; Failure to comply with evolving data privacy and data protection laws and regulations or to otherwise protect personal data, may adversely impact our business and financial results; Many of our revenue opportunities are dependent upon subcontractors and other business collaborators; If we fail to implement our business strategy successfully, our financial performance could be harmed; Problems with product quality or product performance may cause us to incur warranty expenses and may damage our market reputation and prevent us from achieving increased sales and market share; Many of our customers outside of the United States may be either directly or indirectly related to governmental entities, and we could be adversely affected by violations of the United States Foreign Corrupt Practices Act and similar worldwide anti-bribery laws outside the United States; We have had limited success marketing and selling our superconductor products and system-level solutions, and our failure to more broadly market and sell our products and solutions could lower our revenue and cash flow; We may acquire additional complementary businesses or technologies, which may require us to incur substantial costs for which we may never realize the anticipated benefits, such as in connection with our acquisition of NEPSI and Neeltran; Our success depends upon the commercial adoption of the REG system, which is currently limited, and a widespread commercial market for our products may not develop; Adverse changes in domestic and global economic conditions could adversely affect our operating results; We have operations in, and depend on sales in, emerging markets, including India, and global conditions could negatively affect our operating results or limit our ability to expand our operations outside of these markets. Changes in India’s political, social, regulatory and economic environment may affect our financial performance; Our products face competition, which could limit our ability to acquire or retain customers; Our international operations are subject to risks that we do not face in the United States, which could have an adverse effect on our operating results; Growth of the wind energy market depends largely on the availability and size of government subsidies, economic incentives and legislative programs designed to support the growth of wind energy; Lower prices for other fuel sources may reduce the demand for wind energy development, which could have a material adverse effect on our ability to grow our Wind business; We may be unable to adequately prevent disclosure of trade secrets and other proprietary information; Our patents may not provide meaningful protection for our technology, which could result in us losing some or all of our market position; We face risks related to our technologies; We face risks related to our legal proceedings; We face risks related to our common stock; and the important factors discussed under the caption "Risk Factors" in Part 1. Item 1A of our Form 10-K for the fiscal year ended March 31, 2021 and our other reports filed with the SEC. These important factors, among others, could cause actual results to differ materially from those indicated by forward-looking statements made herein and presented elsewhere by management from time to time. Any such forward-looking statements represent management’s estimates as of the date of this Quarterly Report on Form 10-Q.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American Superconductor®, Amperium®, AMSC®, D-VAR®, PowerModule™, </w:t>
      </w:r>
      <w:r>
        <w:rPr>
          <w:rFonts w:ascii="Arial" w:cs="Arial" w:eastAsia="Arial" w:hAnsi="Arial"/>
          <w:sz w:val="18"/>
          <w:szCs w:val="18"/>
          <w:i w:val="1"/>
          <w:iCs w:val="1"/>
          <w:color w:val="auto"/>
        </w:rPr>
        <w:t>D-VAR VVO®,</w:t>
      </w:r>
      <w:r>
        <w:rPr>
          <w:rFonts w:ascii="Arial" w:cs="Arial" w:eastAsia="Arial" w:hAnsi="Arial"/>
          <w:sz w:val="18"/>
          <w:szCs w:val="18"/>
          <w:color w:val="auto"/>
        </w:rPr>
        <w:t xml:space="preserve"> PQ-IVR®, SeaTitan®, Gridtec™ Solutions, Windtec™ Solutions, Smarter, Cleaner...Better Energy™, Orchestrate the Rhythm and Harmony of Power on the Grid™, actiVAR®, armorVAR™, NEPSI™ and Neeltran™ are trademarks or registered trademarks of American Superconductor Corporation or our subsidiaries. We reserve all of our rights with respect to our trademarks or registered trademarks regardless of whether they are so designated in this Quarterly Report on Form 10-Q by an ® or ™ symbol. All other brand names, product names, trademarks or service marks appearing in this Quarterly Report on Form 10-Q are the property of their respective 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457" w:gutter="0" w:footer="0" w:header="0"/>
        </w:sectPr>
      </w:pPr>
    </w:p>
    <w:bookmarkStart w:id="29" w:name="page30"/>
    <w:bookmarkEnd w:id="29"/>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leading system provider of megawatt-scale resiliency solutions that orchestrate the rhythm and harmony of power on the grid™, and that protect and expand the capability of the U.S. Navy's fleet. In the power grid market, we enable electric utilities, industrial facilities, and renewable energy project developers to connect, transmit and distribute smarter, cleaner and better power through our transmission planning services and power electronics and superconductor-based systems. In the wind power market, we enable manufacturers to field highly competitive wind turbines through our advanced power electronics and control system products, engineering, and support services. Our power grid and wind products and services provide exceptional reliability, security, efficiency and affordability to our customers.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power system solutions help to improve energy efficiency, alleviate power grid capacity constraints, improve system resiliency, and increase the adoption of renewable energy generation. Demand for our solutions is driven by the growing needs for modernized smart grids that improve power reliability, security and quality, the U.S. Navy's effort to upgrade on-board power systems to support fleet electrification, and the need for increased renewable sources of electricity, such as wind and solar energy. Concerns about these factors have led to increased spending by corporations and the military, as well as supportive government regulations and initiatives on local, state, and national levels, including renewable portfolio standards, tax incentives and international treaties.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manufacture products using two proprietary core technologies: PowerModule™ programmable power electronic converters and our Amperium® high temperature superconductor (“HTS”) wires. These technologies and our system-level solutions are protected by a broad and deep intellectual property portfolio consisting of hundreds of patents and licenses worldwide.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operate our business under two market-facing business units: Grid and Wind. We believe this market-centric structure enables us to more effectively anticipate and meet the needs of the U.S. Navy, electric utilities, industrial facilities, power generation project developers and wind turbine manufacturers.</w:t>
      </w:r>
    </w:p>
    <w:p>
      <w:pPr>
        <w:spacing w:after="0" w:line="184" w:lineRule="exact"/>
        <w:rPr>
          <w:sz w:val="20"/>
          <w:szCs w:val="20"/>
          <w:color w:val="auto"/>
        </w:rPr>
      </w:pPr>
    </w:p>
    <w:p>
      <w:pPr>
        <w:jc w:val="both"/>
        <w:ind w:left="780" w:hanging="232"/>
        <w:spacing w:after="0" w:line="255"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Grid. </w:t>
      </w:r>
      <w:r>
        <w:rPr>
          <w:rFonts w:ascii="Arial" w:cs="Arial" w:eastAsia="Arial" w:hAnsi="Arial"/>
          <w:sz w:val="18"/>
          <w:szCs w:val="18"/>
          <w:color w:val="auto"/>
        </w:rPr>
        <w:t>Through our Gridtec™ Solutions, our Grid business segment enables electric utilities, industrial facilities and renewable energy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to connect, transmit and distribute power with exceptional efficiency, reliability, security and affordability. We provide transmission planning services that allow us to identify power grid congestion, poor power quality, and other risks, which help us determine how our solutions can improve network performance. These services often lead to sales of our grid interconnection solutions for wind farms and solar power plants, power quality systems and transmission and distribution cable systems. We also sell ship protection products to the U.S. Navy through our Grid business segment.</w:t>
      </w:r>
    </w:p>
    <w:p>
      <w:pPr>
        <w:spacing w:after="0" w:line="259" w:lineRule="exact"/>
        <w:rPr>
          <w:rFonts w:ascii="Arial" w:cs="Arial" w:eastAsia="Arial" w:hAnsi="Arial"/>
          <w:sz w:val="18"/>
          <w:szCs w:val="18"/>
          <w:color w:val="auto"/>
        </w:rPr>
      </w:pPr>
    </w:p>
    <w:p>
      <w:pPr>
        <w:jc w:val="both"/>
        <w:ind w:left="800" w:hanging="252"/>
        <w:spacing w:after="0" w:line="275" w:lineRule="auto"/>
        <w:tabs>
          <w:tab w:leader="none" w:pos="80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Wind. </w:t>
      </w:r>
      <w:r>
        <w:rPr>
          <w:rFonts w:ascii="Arial" w:cs="Arial" w:eastAsia="Arial" w:hAnsi="Arial"/>
          <w:sz w:val="17"/>
          <w:szCs w:val="17"/>
          <w:color w:val="auto"/>
        </w:rPr>
        <w:t>Through our Windtec™ Solutions, our Wind business segment enables manufacturers to field wind turbines with exceptional power</w:t>
      </w:r>
      <w:r>
        <w:rPr>
          <w:rFonts w:ascii="Arial" w:cs="Arial" w:eastAsia="Arial" w:hAnsi="Arial"/>
          <w:sz w:val="17"/>
          <w:szCs w:val="17"/>
          <w:i w:val="1"/>
          <w:iCs w:val="1"/>
          <w:color w:val="auto"/>
        </w:rPr>
        <w:t xml:space="preserve"> </w:t>
      </w:r>
      <w:r>
        <w:rPr>
          <w:rFonts w:ascii="Arial" w:cs="Arial" w:eastAsia="Arial" w:hAnsi="Arial"/>
          <w:sz w:val="17"/>
          <w:szCs w:val="17"/>
          <w:color w:val="auto"/>
        </w:rPr>
        <w:t>output, reliability and affordability. We supply advanced power electronics and control systems, license our highly engineered wind turbine designs, and provide extensive customer support services to wind turbine manufacturers. Our design portfolio includes a broad range of drive trains and power ratings of 2 megawatts (“MW”) and higher. We provide a broad range of power electronics and software-based control systems that are highly integrated and designed for optimized performance, efficiency, and grid compatibility.</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fiscal year begins on April 1 and ends on March 31. When we refer to a particular fiscal year, we are referring to the fiscal year that began on April 1 of that same year. For example, fiscal 2021 refers to the fiscal year that began on April 1, 2021. Other fiscal years follow similarly.</w:t>
      </w:r>
    </w:p>
    <w:p>
      <w:pPr>
        <w:spacing w:after="0" w:line="1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On October 31, 2018, we entered into a Subcontract Agreement with Commonwealth Edison Company (“ComEd”) (the “Subcontract Agreement”) for the manufacture and installation of the Company’s REG system within ComEd’s electric grid in Chicago, Illinois (the “Project”). As provided in the Subcontract Agreement, the Subcontract Agreement became effective upon the signing of an amendment by us and the U.S. Department of Homeland Security (“DHS”) to the existing contract (the “Prime Contract”) between us and DHS on June 20, 2019. Unless terminated earlier by us, ComEd or DHS according to the terms of the Subcontract Agreement, the term of the Subcontract Agreement will continue until we complete our warranty obligations under the Subcontract Agreement. Under the terms of the Subcontract Agreement, we have agreed, among other things, to provide the REG system and to supervise ComEd’s installation of the REG system in Chicago. As part of our separate cost sharing arrangement with DHS under the Prime Contract, we expect funding provided by DHS in connection with the Subcontract Agreement to be between $9.0 to $11.0 million, which represents the total amount of revenue we are expected to recognize over the term of the Subcontract Agreement and includes up to $1.0 million that we have agreed to reimburse ComEd for costs incurred by ComEd while undertaking its tasks under the Subcontract Agreement (the “Reimbursement Amount”). In addition, we are required to deliver an irrevocable letter of credit in the amount of $5.0 million to secure certain Company obligations under the Subcontract Agreement, which we have done, and deposited $5.0 million in an escrow account as collateral to secure such letter of credit. ComEd has agreed to provide the site and provide all civil engineering work required to support the installation, operation and integration of the REG system into ComEd’s electric grid. Other than the Reimbursement Amount, ComEd is responsible for its own costs and expenses. DHS’s approval to commence with construction was obtained on June 20, 2019. Substation work on the project began in late 2019 and we successfully integrated the REG system on Com Ed's electric power grid and the REG system became fully operational in August 2021. The REG system was placed into operation during the nine months ended December 31, 2021.</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 2020, we entered into a Stock Purchase Agreement (the “NEPSI Stock Purchase Agreement”) with the selling stockholders named therein. Pursuant to the terms of the NEPSI Stock Purchase Agreement and concurrently with entering into such agreement, we acquired all of the issued and outstanding (i) shares of capital stock of Northeast Power Systems, Inc., a New York corporation (“NEPSI"), and (ii) membership interests of Northeast Power Realty, LLC, a New York limited liability company, which holds the real property that serves as NEPSI’s headquarters (the "NEPSI Acquisition"). NEPSI is a U.S.-based global provider of medium-voltage metal-enclosed power capacitor banks and harmonic filter banks for use on electric power systems. As a result of this transaction, NEPSI became a wholly-owned subsidiary and is operated by our Grid business segment.</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NEPSI purchase price was $26.0 million in cash on hand, including cash from the settlement of our $25 million certificate of deposit during the three months ended September 30, 2020, and 873,657 restricted shares of our common stock. As part of the transaction, in the future, the selling stockholders may receive up to an additional 1,000,000 million restricted shares of our common stock upon the achievement of certain specified future revenue objectives during varying periods of up to four years after the closing.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6, 2021, we acquired all of the issued and outstanding shares of capital stock of (i) Neeltran, Inc. a Connecticut corporation ("Neeltran") that supplies rectifiers and transformers to industrial customers, and (ii) Neeltran International, Inc., a Connecticut corporation (“International”), as well as the real property that served as Neeltran’s headquarters ("the Neeltran Acquisition"). For additional information, see “Liquidity and Capital Resources” below.</w:t>
      </w:r>
    </w:p>
    <w:p>
      <w:pPr>
        <w:sectPr>
          <w:pgSz w:w="11900" w:h="16866" w:orient="portrait"/>
          <w:cols w:equalWidth="0" w:num="1">
            <w:col w:w="11240"/>
          </w:cols>
          <w:pgMar w:left="320" w:top="584" w:right="339" w:bottom="0" w:gutter="0" w:footer="0" w:header="0"/>
        </w:sectPr>
      </w:pPr>
    </w:p>
    <w:bookmarkStart w:id="30" w:name="page31"/>
    <w:bookmarkEnd w:id="30"/>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1" w:name="page32"/>
    <w:bookmarkEnd w:id="31"/>
    <w:p>
      <w:pPr>
        <w:spacing w:after="0" w:line="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2020, COVID-19 was declared a pandemic and spread throughout the globe, including in the Commonwealth of Massachusetts where our headquarters are located, and in other areas where we have business operations. In response to the pandemic, we have followed the guidelines of the U.S. Centers for Disease Control and Prevention (“CDC”) and applicable state government authorities to protect the health and safety of our employees, their families, our suppliers, our customers and our communities. While these measures and, COVID-19 generally, have not materially disrupted our business to date, any future actions necessitated by the COVID-19 pandemic may result in disruption to our business.</w:t>
      </w:r>
    </w:p>
    <w:p>
      <w:pPr>
        <w:spacing w:after="0" w:line="17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COVID-19 pandemic continues to rapidly evolve. We are experiencing some inflation pressure in our supply chain, some delays in sourcing materials needed for our products and some production disruption resulting from higher than typical employee absenteeism due to the highly contagious omicron variant which have increased our cost of revenues and decreased gross margin. The extent to which the outbreak impacts our business, liquidity, results of operations and financial condition will depend on future developments, which are highly uncertain and cannot be predicted with confidence, including the continued geographic spread of the disease, the duration of the pandemic, the location, duration and magnitude of future waves of infection, new variants of the virus, availability and adoption of vaccines and treatments, effectiveness of vaccines against the virus and its mutations, travel restrictions and social distancing in the United States, the European Union, India and other countries, the duration and extent of business closures or business disruptions including global supply chain disruptions and the effectiveness of actions taken to contain and treat the disease. Changes in macroeconomic and market conditions arising from the COVID-19 pandemic, including inflation, labor force availability, sourcing, material delays and global supply chain disruptions could have a material adverse effect on our business, financial condition and results of operation.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requires that we make estimates and judgments that affect the reported amounts of assets, liabilities, revenues and expenses, and related disclosure of contingent assets and liabilities.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under different assumptions or conditions. There were no significant changes in the critical accounting policies that were disclosed in our Form 10-K for the fiscal year ended March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nine months ended December 31, 2021, compared to the three and nine months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revenues increased 13% and21% to $26.8 million and $80.1 million for the three and nine months ended December 31, 2021, respectively, compared to $23.6 million and $66.0 million for the three and nine months ended December 31, 2020, respectively. Our revenues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Nine Months Ended December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Grid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25,050</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73,169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51,149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Wind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14,812</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26,799</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23,632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80,126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65,961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Grid business unit accounted for 93% and 91% of total revenues for the three and nine months ended December 31, 2021, respectively, compared to 72% and 78% for the three and nine months ended December 31, 2020, respectively. Our Grid business unit revenues increased 47% and43% to $25.0 million and $73.2 million in the three and nine months ended December 31, 2021, respectively, from $17.1 million and $51.1 million in the three and nine months ended December 31, 2020, respectively. The increase in the Grid business unit revenue in the three months ended December 31, 2021, was primarily driven by the contribution from the Neeltran Acquisition. The increase in the Grid business unit revenue in the nine months ended December 31, 2021, was primarily driven by the contributions from the acquisitions of NEPSI and Neeltran.</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Wind business unit accounted for 7% and 9% of total revenues for the three and nine months ended December 31, 2021, respectively, compared to 28% and 22% for the three and nine months ended December 31, 2020, respectively. Revenues in the Wind business unit decreased 73% and 53% to $1.7 million and $7.0 million in the three and nine months ended December 31, 2021, from $6.5 million and $14.8 million in the three and nine months ended December 31, 2020. The decrease in the three and nine months ended December 31, 2021, was driven by shipments of electrical control systems ("ECS") to Doosan in the three and nine months ended December 31, 2020 with no similar shipments in the current year period. Inox, historically one of the largest customers of our Wind business unit has had and may in the future have its ability to perform under our ECS supply contract hampered by the prolonged impacts of the COVID-19 pandemic. Inox has been active in the new central and state government auction regime in India and has a cumulative order book of over 1.4 GW. We are parties to a technology transfer &amp; license agreement dated as of April 17, 2009, as amended (the “2009 TTLA”) with Inox for a 2 MW class wind turbine, the manufacture of which requires our ECS. On November 9, 2021, we sent written notice to Inox notifying Inox of its default under the 2009 TTLA due to Inox’s failure to pay royalties for commissioned 2 MW wind turbines in the amount of €0.1 million that Inox is obligated to pay under the terms of the 2009 TTLA. Inox subsequently paid the royalties during the cure period. On December 1, 2021, we sent written notice to Inox notifying Inox of its default under our supply contract for 2 MW ECS due to Inox's failure to post letters of credit in the amount of €0.9 million for payment of ECS that Inox is obligated to purchase under the terms of the supply contract. If Inox fails to post letters of credit in the amount of €0.9 million in accordance with the terms of the supply contract within the ninety-day cure period after receipt of the default notice, then we may terminate the supply contract by providing written notice of such termination to Inox. We cannot predict if and when Inox will pay royalties due and payable under the 2009 TTLA or if or when Inox will resume posting letters of credit for payment of contracted shipments of ECS in the future. In the event we were to terminate the 2009 TTLA in connection with Inox's failure to pay royalties under such agreement, Inox would no longer be able to manufacture 2 MW wind turbines, likely resulting in a decrease in Inox’s demand for our ECS and our revenues and liquidity could be impacted. In the event we were to terminate the 2 MW ECS supply contract, our revenues and liquidity could also be negatively impacted. We cannot predict if and how successful Inox will be in executing on these orders or in obtaining new orders under the new central and state auction regime. Any failure by Inox to succeed under this regime, or any delay in Inox’s ability to deliver its wind turbines, could result in fewer ECS shipments to Inox.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ectPr>
          <w:pgSz w:w="11900" w:h="16841" w:orient="portrait"/>
          <w:cols w:equalWidth="0" w:num="1">
            <w:col w:w="11240"/>
          </w:cols>
          <w:pgMar w:left="320" w:top="584" w:right="339" w:bottom="0" w:gutter="0" w:footer="0" w:header="0"/>
        </w:sectPr>
      </w:pPr>
    </w:p>
    <w:bookmarkStart w:id="32" w:name="page33"/>
    <w:bookmarkEnd w:id="32"/>
    <w:p>
      <w:pPr>
        <w:jc w:val="both"/>
        <w:ind w:firstLine="648"/>
        <w:spacing w:after="0" w:line="270" w:lineRule="auto"/>
        <w:rPr>
          <w:sz w:val="20"/>
          <w:szCs w:val="20"/>
          <w:color w:val="auto"/>
        </w:rPr>
      </w:pPr>
      <w:r>
        <w:rPr>
          <w:rFonts w:ascii="Arial" w:cs="Arial" w:eastAsia="Arial" w:hAnsi="Arial"/>
          <w:sz w:val="17"/>
          <w:szCs w:val="17"/>
          <w:color w:val="auto"/>
        </w:rPr>
        <w:t>Cost of revenues increased by 18% and 36% to $23.2 million and $69.9 million for the three and nine months ended December 31, 2021, compared to $19.7 million and $51.4 million for the three and nine months ended December 31, 2020. Gross margin was 13% for both the three and nine months ended December 31, 2021, compared to 17% and 22% for the three and nine months ended December 31, 2020. The decrease in gross margin in the three and nine months ended December 31, 2021, was due to an unfavorable product mix, inflation pressure in our supply chain and some delays in sourcing materials due to the COVID-19 pandemic and additional costs related to purchase accounting adjustments associated with the Neeltran Acquisition. Cost of revenues includes total amortization expense of $0.1 million in both of the three and nine months ended December 31, 2021 as a result of each of the NEPSI and Neeltran acquired backlog intangible assets. In addition, a fair value purchase adjustment of approximately $0.1 million and $0.6 million for the step-up basis assigned to acquired inventory, to properly reflect the fair value in purchase accounting, was charged to cost of revenues in the three and nine months ended December 31, 2021,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("R&amp;D") expense decreased 12% in the three months ended December 31, 2021 to $2.7 million from $3.0 million in the three months ended December 31, 2020. The decrease in R&amp;D expense was due to lower overall compensation expense. R&amp;D expenses increased 1% in the nine months ended December 31, 2021 to $8.4 million from $8.2 million in the nine months ended December 31, 2020. The increase in R&amp;D expense in the nine month period was due to higher travel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general and administrative ("SG&amp;A") expenses decreased 4% in the three months ended December 31, 2021, to $6.8 million from $7.1 million in the three months ended December 31, 2020. The decrease in SG&amp;A expense in the three months ended December 31, 2021 was due to lower overall compensation expense than in the prior year period. SG&amp;A expenses increased 11% to $20.6 million in the nine months ended December 31, 2021 compared to $18.6 million in the nine months ended December 31, 2020. The increase in SG&amp;A expense in the nine months ended December 31, 2021 was due to the addition of NEPSI and Neeltran in the current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acquisition related intangibles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recorded amortization expense related to our core technology and know-how, customer relationships, and other intangible assets of $0.6 million and $1.8 million in the three and nine months ended December 31, 2021, respectively, and $0.4 million and $0.6 million in the three and nine months ended December 31, 2020, respectively. The increase in amortization expense is a result of the acquisitions of NEPSI and Neeltran.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ind w:left="140" w:right="140" w:firstLine="499"/>
        <w:spacing w:after="0" w:line="259" w:lineRule="auto"/>
        <w:rPr>
          <w:sz w:val="20"/>
          <w:szCs w:val="20"/>
          <w:color w:val="auto"/>
        </w:rPr>
      </w:pPr>
      <w:r>
        <w:rPr>
          <w:rFonts w:ascii="Arial" w:cs="Arial" w:eastAsia="Arial" w:hAnsi="Arial"/>
          <w:sz w:val="18"/>
          <w:szCs w:val="18"/>
          <w:color w:val="auto"/>
        </w:rPr>
        <w:t>The change in fair value of our contingent consideration for the earnout payment on the NEPSI Acquisition resulted in a gain of $2.1 million and $4.4 million in the three and nine months ended December 31, 2021, respectively, compared to a loss of $2.7 million in both the three and nine months ended December 31, 2020. The change in the fair value was primarily driven by a decreased likelihood of achieving certain revenue targets and a decline in the Company's stock price.</w:t>
      </w:r>
    </w:p>
    <w:p>
      <w:pPr>
        <w:sectPr>
          <w:pgSz w:w="11900" w:h="16838" w:orient="portrait"/>
          <w:cols w:equalWidth="0" w:num="1">
            <w:col w:w="11240"/>
          </w:cols>
          <w:pgMar w:left="320" w:top="584"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p>
    <w:p>
      <w:pPr>
        <w:spacing w:after="0" w:line="225"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Our operating loss is summarized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Unallocated corporate expenses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00" w:type="dxa"/>
            <w:vAlign w:val="bottom"/>
            <w:gridSpan w:val="6"/>
          </w:tcPr>
          <w:p>
            <w:pPr>
              <w:jc w:val="right"/>
              <w:ind w:right="10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31,</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8"/>
                <w:szCs w:val="18"/>
                <w:color w:val="auto"/>
              </w:rPr>
            </w:pPr>
          </w:p>
        </w:tc>
      </w:tr>
      <w:tr>
        <w:trPr>
          <w:trHeight w:val="411"/>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(3,691)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(14,873)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(8,388)</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(1,678)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(2,236)</w:t>
            </w: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(1,956)</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(3,579)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(5,337)</w:t>
            </w:r>
          </w:p>
        </w:tc>
      </w:tr>
      <w:tr>
        <w:trPr>
          <w:trHeight w:val="210"/>
        </w:trPr>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(15,681)</w:t>
            </w:r>
          </w:p>
        </w:tc>
        <w:tc>
          <w:tcPr>
            <w:tcW w:w="6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84" w:right="339" w:bottom="1440" w:gutter="0" w:footer="0" w:header="0"/>
          <w:type w:val="continuous"/>
        </w:sectPr>
      </w:pPr>
    </w:p>
    <w:p>
      <w:pPr>
        <w:spacing w:after="0" w:line="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Grid business segment generated operating losses of $3.7 million and $14.9 million in the three and nine months ended December 31, 2021, compared to $5.8 million and $8.4 million in the three and nine months ended December 31, 2020. The decrease in the Grid business unit operating loss in the three months ended December 31, 2021 against the prior year period was due to increased revenues, in part related to the acquisition of Neeltran, and improved gross margins. The increase in the Grid business unit operating loss in the nine months ended December 31, 2021, was due to a less favorable product mix and the impact of the purchase accounting adjustments recorded as part of the Neeltran Acquisition, including the inventory step up charge noted above and an adjustment to recognize the fair value adjustment related to the acquired customer deposits, in order to properly reflect pre-acquisition activities, which reduced revenue by $0.6 million less than the contract value.</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Wind business segment generated operating losses of $1.7 million and $2.2 million in the three and nine months ended December 31, 2021, compared to an operating profit of $0.1 million and an operating loss of $2.0 million in the three and nine months ended December 31, 2020. The increase in the Wind business unit operating loss in the three and nine month periods was due to lower revenues and gross margins driven by fewer shipments of ECS than in the year ago periods.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Unallocated corporate expenses consisted of a gain on contingent consideration of $2.1 million and $4.4 million in the three and nine months ended December 31, 2021, respectively. Unallocated corporate expenses consisted of a loss on contingent consideration of $2.7 million in both the three and nine months ended December 31, 2020. Additionally, unallocated corporate expenses consisted of stock-based compensation expense of $1.1 million and $0.8 million in the three months ended December 31, 2021 and 2020, respectively, and $3.5 million and $2.6 million in the nine months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net, was less than $0.1 million and $0.1 million in the three and nine months ended December 31, 2021, compared to $0.1 million and $0.4 million in the three and nine months ended December 31, 2020. The decrease in interest income in the three and nine months ended December 31, 2021 was related to a lower cash balance earning lower interest rates than in the prior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income, net, was less than $0.1 million in both the three and nine months ended December 31, 2021, compared to other expense, net, of $0.3 million and $0.9 million in the three and nine months ended December 31, 2020. The decrease in other expense during both periods was driven by the impacts of favorable fluctuations in foreign currencies during the respective period.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Income tax expense was less than $0.1 million in the three months ended December 31, 2021 and income tax benefit was $1.9 million in the nine months ended December 31, 2021. Income tax benefit was $1.5 million and $1.2 million in the three and nine months ended December 31, 2020. The income tax benefit in the nine months ended December 31, 2021 and the three and nine months ended December 31, 2020 is a result of releasing valuation allowances to offset the recording of deferred tax liabilities from the Neeltran Acquisition in the nine month period ended December 31, 2021 and the NEPSI Acquisition in the three and nine months ended December 31, 2020. The increase in income tax benefit in the nine month period ended December 31, 2021 is due primarily to higher foreign taxes in the prior year offsetting the tax benefit from the NEPSI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loss was $4.3 million and $14.2 million in the three and nine months ended December 31, 2021, compared to $7.9 million and $15.1 million in the three and nine months ended December 31, 2020. The decrease in net loss was driven primarily by the change in fair value of the contingent consideration for the earnout payment on the NEPSI Acquisition.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 Non-GAAP Net Loss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non-GAAP financial measure is a numerical measure of a company’s performance, financial position or cash flow that either excludes or includes amounts that are not normally excluded or included in the most directly comparable measure calculated and presented in accordance with GAAP. The non-GAAP measures included in this Form 10-Q, however, should be considered in addition to, and not as a substitute for or superior to the comparable measures prepared in accordance with GAAP.</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define non-GAAP net loss as net loss before stock-based compensation, amortization of acquisition-related intangibles, acquisition costs, change in fair value of contingent consideration, and other non-cash or unusual charges. We believe non-GAAP net loss assists management and investors in comparing our performance across reporting periods on a consistent basis by excluding these non-cash charges and other items that we do not believe are indicative of our core operating performance. In addition, we use non-GAAP net loss as a factor to evaluate the effectiveness of our business strategies. A reconciliation of GAAP to non-GAAP net loss is set forth in the table below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December</w:t>
            </w: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1"/>
              </w:rPr>
              <w:t>Nine Months Ended December</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2,597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acquisition-related intangibles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Acquisition costs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w:t>
            </w: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Non-GAAP net loss</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(4,624)</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(8,526)</w:t>
            </w: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Non-GAAP net loss per share - basic</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(0.37)</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27,352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25,470</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27,145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23,011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incurred non-GAAP net losses of $4.6 million and $12.4 million or $0.17 and $0.46 per share, for the three and nine months ended December 31, 2021, compared to $3.4 million and $8.5 million, or $0.13 and $0.37 per share, for the three and nine months ended December 31, 2020. The increase in the non-GAAP net loss for the three and nine months ended December 31, 2021 was due to a higher operating loss driven by lower gross margin and higher operating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experienced recurring operating losses, and as of December 31, 2021, had an accumulated deficit of $1,015 million.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cash requirements depend on numerous factors, including the successful completion of our product development activities, our ability to commercialize our REG and ship protection system solutions, the rate of customer and market adoption of our products, collecting receivables according to established terms, the continued availability of U.S. government funding during the product development phase of our superconductor-based products and whether Inox is successful in executing on Solar Energy Corporation of India Limited orders or in obtaining additional orders under the new central and state auction regime. We continue to closely monitor our expenses and, if required, expect to reduce our operating and capital spending to enhance liquidity.</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2021, we filed a shelf registration statement on Form S-3 that will expire in February 2024 (the “Form S-3”). The Form S-3 allows us to offer and sell from time-to-time up to $250 million of common stock, debt securities, warrants or units comprised of any combination of these securities. The Form S-3 is intended to provide us flexibility to conduct registered sales of our securities, subject to market conditions, in order to fund our future capital needs. The terms of any future offering under the Form S-3 will be established at the time of such offering and will be described in a prospectus supplement filed with the SEC prior to the completion of any such offering.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above, on May 6, 2021, we acquired all of the issued and outstanding shares of capital stock of (i) Neeltran and (ii) International, for:</w:t>
      </w:r>
    </w:p>
    <w:p>
      <w:pPr>
        <w:spacing w:after="0" w:line="46" w:lineRule="exact"/>
        <w:rPr>
          <w:sz w:val="20"/>
          <w:szCs w:val="20"/>
          <w:color w:val="auto"/>
        </w:rPr>
      </w:pPr>
    </w:p>
    <w:p>
      <w:pPr>
        <w:ind w:right="20" w:firstLine="8"/>
        <w:spacing w:after="0" w:line="260" w:lineRule="auto"/>
        <w:tabs>
          <w:tab w:leader="none" w:pos="253"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million in cash, and (b) 301,556 shares of the Company’s common stock, which were paid and issued to the selling stockholders of Neeltran. We also paid $1.1 million to the selling stockholders of International at closing to pay off previous loans made by them to Neeltran.</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Also on May 6, 2021, our wholly-owned Connecticut limited liability company, AMSC Husky LLC, purchased the real property that served as Neeltran’s headquarters for $4.3 million, of which (a) $2.4 million was paid in immediately available funds by AMSC Husky to the owners of such real property, and (b) $1.9 million was paid directly to TD Bank as full payment for the outstanding indebtedness secured by the mortgage on such real property. In addition to the amount paid to discharge the mortgage, we paid approximately $5.7 million directly to other Neeltran lenders at closing to extinguish outstanding Neeltran indebtedness to third parties on behalf of the sellers. All cash payments associated with the Neeltran Acquisition were funded with cash on hand.</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December 31, 2021, we had cash, cash equivalents, marketable securities and restricted cash of $52.6 million, compared to $80.7 million as of March 31, 2021, a decrease of $28.1 million. As of December 31, 2021, we had approximately $1.3 million of cash, cash equivalents, and restricted cash in foreign bank accounts. Our cash, cash equivalents, marketable securities and restricted cash are summarized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March 31, 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Marketable securities</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4"/>
        </w:trPr>
        <w:tc>
          <w:tcPr>
            <w:tcW w:w="8000" w:type="dxa"/>
            <w:vAlign w:val="bottom"/>
          </w:tcPr>
          <w:p>
            <w:pPr>
              <w:spacing w:after="0"/>
              <w:rPr>
                <w:sz w:val="20"/>
                <w:szCs w:val="20"/>
                <w:color w:val="auto"/>
              </w:rPr>
            </w:pPr>
            <w:r>
              <w:rPr>
                <w:rFonts w:ascii="Arial" w:cs="Arial" w:eastAsia="Arial" w:hAnsi="Arial"/>
                <w:sz w:val="18"/>
                <w:szCs w:val="18"/>
                <w:color w:val="auto"/>
              </w:rPr>
              <w:t>Total cash, cash equivalents, marketable securities and restricted cash</w:t>
            </w:r>
          </w:p>
        </w:tc>
        <w:tc>
          <w:tcPr>
            <w:tcW w:w="5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52,556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80,679</w:t>
            </w: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December 31, 2021, net cash used in operating activities was $15.9 million, compared to $4.9 million for the nine months ended December 31, 2020. The increase in net cash used in operations was due primarily to an increase in inventory purchases and accounts receivable activity in the nine months ended December 31, 2021 as compared to December 31,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December 31, 2021, net cash used in investing activities was $7.1 million, compared to $2.6 million for the nine months ended December 31, 2020. The increase in net cash used in investing activities was primarily due to the cash that was used to pay for the Neeltran Acquisition.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nine months ended December 31, 2021, net cash provided by financing activities was less than $0.1 million compared to $50.6 million in the nine months ended December 31, 2020. The decrease in net cash provided by financing activities was due to the prior year period including $51.5 million in proceeds from our October 2020 offering of common stock. There was no such transaction in the nine months ended December 31, 2021.</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we had $6.0 million of restricted cash included in long-term assets and $2.7 million of restricted cash included in current assets. These amounts of restricted cash primarily represent deposits to secure letters of credit for various supply contracts and long-term projects, including the irrevocable letter of credit in the amount of $5.0 million to secure certain of our obligations under the Subcontract Agreement with ComEd. These deposits are held in interest bearing accounts.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we have sufficient available liquidity to fund our operations and capital expenditures for the next twelve months. In addition, we may seek to raise additional capital, which could be in the form of loans, convertible debt or equity, to fund our operating requirements and capital expenditures. Our liquidity is highly dependent on our ability to increase revenues, improve upon gross margins, control our operating costs, and raise additional capital, if necessary. There can be no assurance that we will be able to raise additional capital on favorable terms or at all, or execute on any other means of improving our liquidity as described above. Additionally, the impact of the COVID-19 pandemic on the global financial markets may reduce our ability to raise additional capital, if necessary, which could negatively impact our liquidity.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involved in legal and administrative proceedings and claims of various types. See Part II, Item 1, “Legal Proceedings,” for additional information. We record a liability in our consolidated financial statements for these matters when a loss is known or considered probable and the amount can be reasonably estimated. We review these estimates each accounting period as additional information is known and adjust the loss provision when appropriate. If a matter is both probable to result in liability and the amounts of loss can be reasonably estimated, we estimate and disclose the possible loss or range of loss to the extent necessary to make the consolidated financial statements not misleading. If the loss is not probable or cannot be reasonably estimated, a liability is not recorded in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have any off-balance sheet arrangements, as defined under SEC rules, such as relationships with unconsolidated entities or financial partnerships, which are often referred to as structured finance or special purpose entities, established for the purpose of facilitating transactions that are not required to be reflected on our balance sheet except as discussed below.</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occasionally enter into construction contracts that include a performance bond. As these contracts progress, we continually assess the probability of a payout from the performance bond. Should we determine that such a payout is probable, we would record a liability.</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have various contractual arrangements under which we have committed to purchase minimum quantities of goods or services on an annual basis.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amendments in ASU 2016-13 provide more decision-useful information about the expected credit losses on financial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commitments to extend credit held by a reporting entity at each reporting date. Following the release of ASU 2019-10 in November 2019, the new effective date, as long as we remain a smaller reporting company, would be annual reporting periods beginning after December 15, 2022. We are currently evaluating the impact, if any, that the adoption of ASU 2016-13 may have on our consolidated financial statements.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The amendments in ASU 2019-12 provide for simplified accounting to several income tax situations and removal of certain accounting exceptions. As of April 1, 2021, we have adopted ASU 2019-12 and noted no material impact on our consolidated financial statements.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In October 2021, the FASB issued ASU 2021-08, </w:t>
      </w:r>
      <w:r>
        <w:rPr>
          <w:rFonts w:ascii="Arial" w:cs="Arial" w:eastAsia="Arial" w:hAnsi="Arial"/>
          <w:sz w:val="16"/>
          <w:szCs w:val="16"/>
          <w:i w:val="1"/>
          <w:iCs w:val="1"/>
          <w:color w:val="auto"/>
        </w:rPr>
        <w:t>Business Combinations (Topic 805): Accounting for Contract Assets and Contract Liabilities</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w:t>
      </w:r>
      <w:r>
        <w:rPr>
          <w:rFonts w:ascii="Arial" w:cs="Arial" w:eastAsia="Arial" w:hAnsi="Arial"/>
          <w:sz w:val="16"/>
          <w:szCs w:val="16"/>
          <w:color w:val="auto"/>
        </w:rPr>
        <w:t>. The amendments in ASU 2021-08 will improve the accounting for acquired revenue contracts with customers in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Following the release of ASU 2021-08 in October 2021, the new effective date will be annual reporting periods beginning after December 15, 2022. We are currently evaluating the impact, if any, that the adoption of ASU 2021-08 may have on our consolidated financial statements.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November 2021, the FASB issued ASU 2021-10, </w:t>
      </w:r>
      <w:r>
        <w:rPr>
          <w:rFonts w:ascii="Arial" w:cs="Arial" w:eastAsia="Arial" w:hAnsi="Arial"/>
          <w:sz w:val="18"/>
          <w:szCs w:val="18"/>
          <w:i w:val="1"/>
          <w:iCs w:val="1"/>
          <w:color w:val="auto"/>
        </w:rPr>
        <w:t>Government Assistance (Topic 832): Disclosures by Business Entities about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Assistance</w:t>
      </w:r>
      <w:r>
        <w:rPr>
          <w:rFonts w:ascii="Arial" w:cs="Arial" w:eastAsia="Arial" w:hAnsi="Arial"/>
          <w:sz w:val="18"/>
          <w:szCs w:val="18"/>
          <w:color w:val="auto"/>
        </w:rPr>
        <w:t>. The amendments in ASU 2021-10 will improve financial reporting by requiring disclosures that increase the transparency of transactions with</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accounted for by applying a grant or contribution accounting model by analogy. Following the release of ASU 2021-10 in November 2021, the new effective date will be annual reporting periods beginning after December 15, 2021. We are currently evaluating the impact, if any, that the adoption of ASU 2021-10 may have on our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that, outside of those disclosed here, there are any other recently issued accounting pronouncements that will have a material impact on our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that evaluation of our disclosure controls and procedures as of December 31, 2021,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December 31, 2021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the following, there have been no material changes to the risk factors described in Part I, Item 1A of our Annual Report on Form 10-K for the fiscal year ended March 31, 2021, filed with the SEC on June 2, 2021.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Our success is dependent upon attracting and retaining qualified personnel and our inability to do so could significantly damage our business and prospects.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attracted a highly skilled management team and specialized workforce, including scientists, engineers, researchers, manufacturing, personnel, and marketing and sales professionals. Hiring and retaining good personnel for our business is challenging, and highly qualified technical personnel are likely to remain a limited resource for the foreseeable future. We may not be able to hire the necessary personnel to implement our business strategy. In addition, we may need to provide higher compensation or more training to our personnel than we currently anticipate. Moreover, any officer or employee can terminate his or her relationship with us at any time. Losing the services of any of our executive officers or key employees could materially and adversely impact our business.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9, 2021, President Biden issued an executive order requiring all employers with U.S. federal government contracts to ensure that their U.S.-based employees, contractors, and subcontractors, that work on or in support of U.S. federal government contracts, are fully vaccinated by December 2021. The executive order only permits limited exceptions for medical and religious reasons. As a U.S. federal government contractor, we are requiring all U.S. based employees at sites that service or support our U.S. federal government contracts to be fully vaccinated. Additional vaccine mandates may be announced in jurisdictions in which our businesses operate. Our implementation of these requirements may result in attrition, including attrition of key personnel and skilled labor, and difficulty securing future labor needs, which could have a material adverse effect on our business, financial condition and results of operations.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stock repurchase activity during the three months ended December 31, 2021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that May Yet Be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as Part of Publicly</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Purchased under</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Announced</w:t>
            </w:r>
          </w:p>
        </w:tc>
        <w:tc>
          <w:tcPr>
            <w:tcW w:w="20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the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Price Paid</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7"/>
              </w:rPr>
              <w:t>Plans or</w:t>
            </w: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Plans or Programs</w:t>
            </w:r>
          </w:p>
        </w:tc>
      </w:tr>
      <w:tr>
        <w:trPr>
          <w:trHeight w:val="234"/>
        </w:trPr>
        <w:tc>
          <w:tcPr>
            <w:tcW w:w="4500" w:type="dxa"/>
            <w:vAlign w:val="bottom"/>
          </w:tcPr>
          <w:p>
            <w:pPr>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r>
              <w:rPr>
                <w:rFonts w:ascii="Arial" w:cs="Arial" w:eastAsia="Arial" w:hAnsi="Arial"/>
                <w:sz w:val="14"/>
                <w:szCs w:val="14"/>
                <w:b w:val="1"/>
                <w:bCs w:val="1"/>
                <w:color w:val="auto"/>
                <w:w w:val="89"/>
              </w:rPr>
              <w:t>(a)</w:t>
            </w:r>
          </w:p>
        </w:tc>
        <w:tc>
          <w:tcPr>
            <w:tcW w:w="24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per Share</w:t>
            </w:r>
          </w:p>
        </w:tc>
        <w:tc>
          <w:tcPr>
            <w:tcW w:w="2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Programs</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(in millions)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1, 2021 - October 31, 2021</w:t>
            </w:r>
          </w:p>
        </w:tc>
        <w:tc>
          <w:tcPr>
            <w:tcW w:w="1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highlight w:val="white"/>
              </w:rPr>
              <w:t>—</w:t>
            </w: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highlight w:val="white"/>
              </w:rPr>
              <w:t>—</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highlight w:val="white"/>
              </w:rPr>
              <w:t>—</w:t>
            </w:r>
          </w:p>
        </w:tc>
        <w:tc>
          <w:tcPr>
            <w:tcW w:w="2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November 1, 2021 - November 30, 2021</w:t>
            </w:r>
          </w:p>
        </w:tc>
        <w:tc>
          <w:tcPr>
            <w:tcW w:w="120" w:type="dxa"/>
            <w:vAlign w:val="bottom"/>
          </w:tcPr>
          <w:p>
            <w:pPr>
              <w:spacing w:after="0"/>
              <w:rPr>
                <w:sz w:val="18"/>
                <w:szCs w:val="18"/>
                <w:color w:val="auto"/>
              </w:rPr>
            </w:pPr>
          </w:p>
        </w:tc>
        <w:tc>
          <w:tcPr>
            <w:tcW w:w="1480" w:type="dxa"/>
            <w:vAlign w:val="bottom"/>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2021 - December 31, 2021</w:t>
            </w:r>
          </w:p>
        </w:tc>
        <w:tc>
          <w:tcPr>
            <w:tcW w:w="1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highlight w:val="white"/>
              </w:rPr>
              <w:t>—</w:t>
            </w:r>
          </w:p>
        </w:tc>
        <w:tc>
          <w:tcPr>
            <w:tcW w:w="2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highlight w:val="white"/>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highlight w:val="white"/>
              </w:rPr>
              <w:t>—</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 During the three months ended December 31, 2021, we did not repurchase shares in connection with our stock-based compensation plans.</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9" w:name="page40"/>
    <w:bookmarkEnd w:id="39"/>
    <w:p>
      <w:pPr>
        <w:spacing w:after="0" w:line="185" w:lineRule="auto"/>
        <w:framePr w:w="1940" w:h="160" w:wrap="auto" w:vAnchor="page" w:hAnchor="page" w:x="280" w:y="601"/>
        <w:rPr>
          <w:rFonts w:ascii="Arial" w:cs="Arial" w:eastAsia="Arial" w:hAnsi="Arial"/>
          <w:sz w:val="18"/>
          <w:szCs w:val="18"/>
          <w:b w:val="1"/>
          <w:bCs w:val="1"/>
          <w:color w:val="auto"/>
        </w:rPr>
      </w:pPr>
      <w:r>
        <w:rPr>
          <w:rFonts w:ascii="Arial" w:cs="Arial" w:eastAsia="Arial" w:hAnsi="Arial"/>
          <w:sz w:val="18"/>
          <w:szCs w:val="18"/>
          <w:b w:val="1"/>
          <w:bCs w:val="1"/>
          <w:color w:val="auto"/>
        </w:rPr>
        <w:t>ITEM 6.   EXHIBITS</w:t>
      </w: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20" w:type="dxa"/>
            <w:vAlign w:val="bottom"/>
            <w:gridSpan w:val="10"/>
          </w:tcPr>
          <w:p>
            <w:pPr>
              <w:ind w:left="1020"/>
              <w:spacing w:after="0"/>
              <w:rPr>
                <w:sz w:val="20"/>
                <w:szCs w:val="20"/>
                <w:color w:val="auto"/>
              </w:rPr>
            </w:pPr>
            <w:r>
              <w:rPr>
                <w:rFonts w:ascii="Arial" w:cs="Arial" w:eastAsia="Arial" w:hAnsi="Arial"/>
                <w:sz w:val="18"/>
                <w:szCs w:val="18"/>
                <w:b w:val="1"/>
                <w:bCs w:val="1"/>
                <w:color w:val="auto"/>
              </w:rPr>
              <w:t>EXHIBIT INDEX</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ind w:left="36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91"/>
        </w:trPr>
        <w:tc>
          <w:tcPr>
            <w:tcW w:w="1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Filing</w:t>
            </w:r>
          </w:p>
        </w:tc>
        <w:tc>
          <w:tcPr>
            <w:tcW w:w="1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2"/>
              </w:rPr>
              <w:t>Filed/Furnished</w:t>
            </w:r>
          </w:p>
        </w:tc>
        <w:tc>
          <w:tcPr>
            <w:tcW w:w="0" w:type="dxa"/>
            <w:vAlign w:val="bottom"/>
          </w:tcPr>
          <w:p>
            <w:pPr>
              <w:spacing w:after="0"/>
              <w:rPr>
                <w:sz w:val="1"/>
                <w:szCs w:val="1"/>
                <w:color w:val="auto"/>
              </w:rPr>
            </w:pPr>
          </w:p>
        </w:tc>
      </w:tr>
      <w:tr>
        <w:trPr>
          <w:trHeight w:val="234"/>
        </w:trPr>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5020" w:type="dxa"/>
            <w:vAlign w:val="bottom"/>
            <w:gridSpan w:val="10"/>
          </w:tcPr>
          <w:p>
            <w:pPr>
              <w:ind w:left="176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tcPr>
          <w:p>
            <w:pPr>
              <w:spacing w:after="0"/>
              <w:rPr>
                <w:sz w:val="20"/>
                <w:szCs w:val="20"/>
                <w:color w:val="auto"/>
              </w:rPr>
            </w:pPr>
          </w:p>
        </w:tc>
        <w:tc>
          <w:tcPr>
            <w:tcW w:w="220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Form   File No.  Exhibit</w:t>
            </w:r>
          </w:p>
        </w:tc>
        <w:tc>
          <w:tcPr>
            <w:tcW w:w="1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601"/>
        </w:trPr>
        <w:tc>
          <w:tcPr>
            <w:tcW w:w="16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000" w:type="dxa"/>
            <w:vAlign w:val="bottom"/>
            <w:tcBorders>
              <w:top w:val="single" w:sz="8" w:color="auto"/>
              <w:bottom w:val="single" w:sz="8" w:color="0000EE"/>
            </w:tcBorders>
            <w:gridSpan w:val="9"/>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Chief Executive Officer—Certification pursuant to Rule 13a-14(a) or</w:t>
              </w:r>
            </w:hyperlink>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1"/>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Rule 15d-14(a) of the Securities Exchange Act of 1934, as adopted</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120" w:type="dxa"/>
            <w:vAlign w:val="bottom"/>
            <w:gridSpan w:val="11"/>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Chief Financial Officer—Certification pursuant to Rule 13a-14(a) or</w:t>
              </w:r>
            </w:hyperlink>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Rule 15d-14(a) of the Securities Exchange Act of 1934, as adopted</w:t>
              </w:r>
            </w:hyperlink>
          </w:p>
        </w:tc>
        <w:tc>
          <w:tcPr>
            <w:tcW w:w="1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pursuant to Section 302 of the Sarbanes-Oxley Act of 2002.</w:t>
              </w:r>
            </w:hyperlink>
          </w:p>
        </w:tc>
        <w:tc>
          <w:tcPr>
            <w:tcW w:w="500" w:type="dxa"/>
            <w:vAlign w:val="bottom"/>
            <w:tcBorders>
              <w:top w:val="single" w:sz="8" w:color="0000EE"/>
            </w:tcBorders>
            <w:gridSpan w:val="3"/>
          </w:tcPr>
          <w:p>
            <w:pPr>
              <w:spacing w:after="0"/>
              <w:rPr>
                <w:sz w:val="17"/>
                <w:szCs w:val="17"/>
                <w:color w:val="auto"/>
              </w:rPr>
            </w:pPr>
          </w:p>
        </w:tc>
        <w:tc>
          <w:tcPr>
            <w:tcW w:w="30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49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44">
              <w:r>
                <w:rPr>
                  <w:rFonts w:ascii="Arial" w:cs="Arial" w:eastAsia="Arial" w:hAnsi="Arial"/>
                  <w:sz w:val="18"/>
                  <w:szCs w:val="18"/>
                  <w:color w:val="0000EE"/>
                  <w:w w:val="93"/>
                </w:rPr>
                <w:t>Chief Executive Officer—Certification pursuant to Rule13a-14(b) or</w:t>
              </w:r>
            </w:hyperlink>
          </w:p>
        </w:tc>
        <w:tc>
          <w:tcPr>
            <w:tcW w:w="1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Rule 15d-14(b) of the Securities Exchange Act of 1934 and 18</w:t>
              </w:r>
            </w:hyperlink>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Sarbanes-Oxley Act of 2002.</w:t>
              </w:r>
            </w:hyperlink>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680" w:type="dxa"/>
            <w:vAlign w:val="bottom"/>
          </w:tcPr>
          <w:p>
            <w:pPr>
              <w:ind w:left="68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496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Chief Financial Officer—Certification pursuant to Rule 13a-14(b) or</w:t>
              </w:r>
            </w:hyperlink>
          </w:p>
        </w:tc>
        <w:tc>
          <w:tcPr>
            <w:tcW w:w="1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Rule 15d-14(b) of the Securities Exchange Act of 1934 and 18</w:t>
              </w:r>
            </w:hyperlink>
          </w:p>
        </w:tc>
        <w:tc>
          <w:tcPr>
            <w:tcW w:w="60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gridSpan w:val="11"/>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U.S.C. Section 1350, as adopted pursuant to Section 906 of the</w:t>
              </w:r>
            </w:hyperlink>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Sarbanes-Oxley Act of 2002.</w:t>
              </w:r>
            </w:hyperlink>
          </w:p>
        </w:tc>
        <w:tc>
          <w:tcPr>
            <w:tcW w:w="58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68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w w:val="96"/>
              </w:rPr>
              <w:t>Inline XBRL Instance Document - the instance document does not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appear in the Interactive Data File because its XBRL tags are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embedded within the Inline XBRL document.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Inline XBRL Taxonomy Calculation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Inline XBRL Definition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Inline XBRL Taxonomy Label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168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Inline XBRL Taxonomy Presentation Linkbase Document.</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1680" w:type="dxa"/>
            <w:vAlign w:val="bottom"/>
          </w:tcPr>
          <w:p>
            <w:pPr>
              <w:ind w:left="6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contained in Exhibit 101)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w:t>
      </w:r>
    </w:p>
    <w:p>
      <w:pPr>
        <w:spacing w:after="0" w:line="21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ind w:right="500"/>
        <w:spacing w:after="0" w:line="287" w:lineRule="auto"/>
        <w:rPr>
          <w:sz w:val="20"/>
          <w:szCs w:val="20"/>
          <w:color w:val="auto"/>
        </w:rPr>
      </w:pPr>
      <w:r>
        <w:rPr>
          <w:rFonts w:ascii="Arial" w:cs="Arial" w:eastAsia="Arial" w:hAnsi="Arial"/>
          <w:sz w:val="16"/>
          <w:szCs w:val="16"/>
          <w:color w:val="auto"/>
        </w:rPr>
        <w:t>Attached as Exhibits 101 to this report are the following formatted in XBRL (Extensible Business Reporting Language): (i) Condensed Consolidated Balance Sheet as of December 31, 2021 and March 31, 2021 (ii) Condensed Statements of Operations and Income for the three and nine months ended December 31, 2021 and 2020, (iii) Condensed Consolidated Statements of Comprehensive (Loss) Income for the three and nine months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ended December 31, 2021 and 2020, (iv) Condensed Consolidated Statements of Cash Flows for the nine months ended December 31, 2021 and 2020, and (v)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AMERICAN SUPERCONDUCTOR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5740" w:type="dxa"/>
            <w:vAlign w:val="bottom"/>
          </w:tcPr>
          <w:p>
            <w:pPr>
              <w:ind w:left="5300"/>
              <w:spacing w:after="0"/>
              <w:rPr>
                <w:sz w:val="20"/>
                <w:szCs w:val="20"/>
                <w:color w:val="auto"/>
              </w:rPr>
            </w:pPr>
            <w:r>
              <w:rPr>
                <w:rFonts w:ascii="Arial" w:cs="Arial" w:eastAsia="Arial" w:hAnsi="Arial"/>
                <w:sz w:val="18"/>
                <w:szCs w:val="18"/>
                <w:b w:val="1"/>
                <w:bCs w:val="1"/>
                <w:color w:val="auto"/>
              </w:rPr>
              <w:t>By:</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 John W. Kosiba,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rPr>
              <w:t>Date:</w:t>
            </w:r>
          </w:p>
        </w:tc>
        <w:tc>
          <w:tcPr>
            <w:tcW w:w="5740" w:type="dxa"/>
            <w:vAlign w:val="bottom"/>
          </w:tcPr>
          <w:p>
            <w:pPr>
              <w:ind w:left="140"/>
              <w:spacing w:after="0" w:line="195" w:lineRule="exact"/>
              <w:rPr>
                <w:sz w:val="20"/>
                <w:szCs w:val="20"/>
                <w:color w:val="auto"/>
              </w:rPr>
            </w:pPr>
            <w:r>
              <w:rPr>
                <w:rFonts w:ascii="Arial" w:cs="Arial" w:eastAsia="Arial" w:hAnsi="Arial"/>
                <w:sz w:val="18"/>
                <w:szCs w:val="18"/>
                <w:color w:val="auto"/>
              </w:rPr>
              <w:t>February 2, 2022</w:t>
            </w:r>
          </w:p>
        </w:tc>
        <w:tc>
          <w:tcPr>
            <w:tcW w:w="4960" w:type="dxa"/>
            <w:vAlign w:val="bottom"/>
          </w:tcPr>
          <w:p>
            <w:pPr>
              <w:jc w:val="center"/>
              <w:spacing w:after="0" w:line="195" w:lineRule="exact"/>
              <w:rPr>
                <w:sz w:val="20"/>
                <w:szCs w:val="20"/>
                <w:color w:val="auto"/>
              </w:rPr>
            </w:pPr>
            <w:r>
              <w:rPr>
                <w:rFonts w:ascii="Arial" w:cs="Arial" w:eastAsia="Arial" w:hAnsi="Arial"/>
                <w:sz w:val="18"/>
                <w:szCs w:val="18"/>
                <w:color w:val="auto"/>
                <w:w w:val="89"/>
              </w:rPr>
              <w:t>John W. Kosiba, Jr.</w:t>
            </w:r>
          </w:p>
        </w:tc>
      </w:tr>
      <w:tr>
        <w:trPr>
          <w:trHeight w:val="216"/>
        </w:trPr>
        <w:tc>
          <w:tcPr>
            <w:tcW w:w="5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Senior Vice President, Chief Financial Officer and Treasurer</w:t>
            </w:r>
          </w:p>
        </w:tc>
      </w:tr>
      <w:tr>
        <w:trPr>
          <w:trHeight w:val="230"/>
        </w:trPr>
        <w:tc>
          <w:tcPr>
            <w:tcW w:w="5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58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P. McGahn, certify that:</w:t>
      </w:r>
    </w:p>
    <w:p>
      <w:pPr>
        <w:spacing w:after="0" w:line="211"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February 2, 2022</w:t>
            </w:r>
          </w:p>
        </w:tc>
        <w:tc>
          <w:tcPr>
            <w:tcW w:w="3360" w:type="dxa"/>
            <w:vAlign w:val="bottom"/>
            <w:tcBorders>
              <w:bottom w:val="single" w:sz="8" w:color="auto"/>
            </w:tcBorders>
          </w:tcPr>
          <w:p>
            <w:pPr>
              <w:ind w:left="2420"/>
              <w:spacing w:after="0"/>
              <w:rPr>
                <w:sz w:val="20"/>
                <w:szCs w:val="20"/>
                <w:color w:val="auto"/>
              </w:rPr>
            </w:pPr>
            <w:r>
              <w:rPr>
                <w:rFonts w:ascii="Arial" w:cs="Arial" w:eastAsia="Arial" w:hAnsi="Arial"/>
                <w:sz w:val="18"/>
                <w:szCs w:val="18"/>
                <w:b w:val="1"/>
                <w:bCs w:val="1"/>
                <w:color w:val="auto"/>
              </w:rPr>
              <w:t>By:</w:t>
            </w:r>
          </w:p>
        </w:tc>
        <w:tc>
          <w:tcPr>
            <w:tcW w:w="354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92"/>
              </w:rPr>
              <w:t>/s/</w:t>
            </w:r>
            <w:r>
              <w:rPr>
                <w:rFonts w:ascii="Arial" w:cs="Arial" w:eastAsia="Arial" w:hAnsi="Arial"/>
                <w:sz w:val="18"/>
                <w:szCs w:val="18"/>
                <w:b w:val="1"/>
                <w:bCs w:val="1"/>
                <w:color w:val="auto"/>
                <w:w w:val="92"/>
              </w:rPr>
              <w:t>Daniel P. McGahn</w:t>
            </w:r>
          </w:p>
        </w:tc>
      </w:tr>
      <w:tr>
        <w:trPr>
          <w:trHeight w:val="195"/>
        </w:trPr>
        <w:tc>
          <w:tcPr>
            <w:tcW w:w="4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540" w:type="dxa"/>
            <w:vAlign w:val="bottom"/>
          </w:tcPr>
          <w:p>
            <w:pPr>
              <w:jc w:val="center"/>
              <w:ind w:right="410"/>
              <w:spacing w:after="0" w:line="195" w:lineRule="exact"/>
              <w:rPr>
                <w:sz w:val="20"/>
                <w:szCs w:val="20"/>
                <w:color w:val="auto"/>
              </w:rPr>
            </w:pPr>
            <w:r>
              <w:rPr>
                <w:rFonts w:ascii="Arial" w:cs="Arial" w:eastAsia="Arial" w:hAnsi="Arial"/>
                <w:sz w:val="18"/>
                <w:szCs w:val="18"/>
                <w:color w:val="auto"/>
                <w:w w:val="90"/>
              </w:rPr>
              <w:t>Daniel P. McGahn</w:t>
            </w:r>
          </w:p>
        </w:tc>
      </w:tr>
      <w:tr>
        <w:trPr>
          <w:trHeight w:val="230"/>
        </w:trPr>
        <w:tc>
          <w:tcPr>
            <w:tcW w:w="4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40" w:type="dxa"/>
            <w:vAlign w:val="bottom"/>
          </w:tcPr>
          <w:p>
            <w:pPr>
              <w:jc w:val="center"/>
              <w:ind w:right="410"/>
              <w:spacing w:after="0"/>
              <w:rPr>
                <w:sz w:val="20"/>
                <w:szCs w:val="20"/>
                <w:color w:val="auto"/>
              </w:rPr>
            </w:pPr>
            <w:r>
              <w:rPr>
                <w:rFonts w:ascii="Arial" w:cs="Arial" w:eastAsia="Arial" w:hAnsi="Arial"/>
                <w:sz w:val="18"/>
                <w:szCs w:val="18"/>
                <w:color w:val="auto"/>
                <w:w w:val="93"/>
              </w:rPr>
              <w:t>Chief Executive Officer</w:t>
            </w:r>
          </w:p>
        </w:tc>
      </w:tr>
    </w:tbl>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SUPERCONDUCTOR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W. Kosiba, Jr., certify that:</w:t>
      </w:r>
    </w:p>
    <w:p>
      <w:pPr>
        <w:spacing w:after="0" w:line="22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Superconductor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spacing w:after="0"/>
        <w:tabs>
          <w:tab w:leader="none" w:pos="700" w:val="left"/>
          <w:tab w:leader="none" w:pos="672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2021, as filed with the Securities and Exchange Commission on the date hereof (the “Report”), the undersigned, Daniel P. McGahn, Chief Executive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900" w:val="left"/>
          <w:tab w:leader="none" w:pos="6740" w:val="left"/>
          <w:tab w:leader="none" w:pos="8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/s/Daniel P. McGahn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Daniel P. McGahn</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AMERICAN SUPERCONDUCTOR CORPORATION</w:t>
      </w:r>
    </w:p>
    <w:p>
      <w:pPr>
        <w:spacing w:after="0" w:line="13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connection with the Quarterly Report on Form 10-Q of American Superconductor Corporation (the “Company”) for the period ended December 31, 2021, as filed with the Securities and Exchange Commission on the date hereof (the “Report”), the undersigned, John W. Kosiba, Jr., Chief Financial Officer of the Company, hereby certifies, pursuant to 18 U.S.C. Section 1350, as adopted pursuant to Section 906 of the Sarbanes-Oxley Act of 2002, that, to my knowledge:</w:t>
      </w:r>
    </w:p>
    <w:p>
      <w:pPr>
        <w:spacing w:after="0" w:line="187"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36"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p>
      <w:pPr>
        <w:spacing w:after="0"/>
        <w:tabs>
          <w:tab w:leader="none" w:pos="780" w:val="left"/>
          <w:tab w:leader="none" w:pos="6740" w:val="left"/>
          <w:tab w:leader="none" w:pos="83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 2022</w:t>
      </w:r>
      <w:r>
        <w:rPr>
          <w:sz w:val="20"/>
          <w:szCs w:val="20"/>
          <w:color w:val="auto"/>
        </w:rPr>
        <w:tab/>
      </w: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/s/John W. Kosiba,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John W. Kosiba, Jr.</w:t>
      </w:r>
    </w:p>
    <w:p>
      <w:pPr>
        <w:spacing w:after="0" w:line="23" w:lineRule="exact"/>
        <w:rPr>
          <w:sz w:val="20"/>
          <w:szCs w:val="20"/>
          <w:color w:val="auto"/>
        </w:rPr>
      </w:pPr>
    </w:p>
    <w:p>
      <w:pPr>
        <w:jc w:val="center"/>
        <w:ind w:left="71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2022-02-02T15:17:25Z</dcterms:created>
  <dcterms:modified xsi:type="dcterms:W3CDTF">2022-02-02T15:17:25Z</dcterms:modified>
</cp:coreProperties>
</file>