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132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132955"/>
                    </a:xfrm>
                    <a:prstGeom prst="rect">
                      <a:avLst/>
                    </a:prstGeom>
                    <a:noFill/>
                  </pic:spPr>
                </pic:pic>
              </a:graphicData>
            </a:graphic>
          </wp:anchor>
        </w:drawing>
      </w:r>
    </w:p>
    <w:p>
      <w:pPr>
        <w:spacing w:after="0" w:line="1222" w:lineRule="exact"/>
        <w:rPr>
          <w:sz w:val="24"/>
          <w:szCs w:val="24"/>
          <w:color w:val="auto"/>
        </w:rPr>
      </w:pPr>
    </w:p>
    <w:p>
      <w:pPr>
        <w:sectPr>
          <w:pgSz w:w="11900" w:h="16867"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McGahn Daniel P</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2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AMERICAN SUPERCONDUCTOR</w:t>
              </w:r>
            </w:hyperlink>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620" w:type="dxa"/>
            <w:vAlign w:val="bottom"/>
            <w:tcBorders>
              <w:bottom w:val="single" w:sz="8" w:color="0000EE"/>
            </w:tcBorders>
          </w:tcPr>
          <w:p>
            <w:pPr>
              <w:spacing w:after="0"/>
              <w:rPr>
                <w:sz w:val="6"/>
                <w:szCs w:val="6"/>
                <w:color w:val="auto"/>
              </w:rPr>
            </w:pPr>
          </w:p>
        </w:tc>
        <w:tc>
          <w:tcPr>
            <w:tcW w:w="88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gridSpan w:val="5"/>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CORP /DE/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gridSpan w:val="5"/>
            <w:vMerge w:val="continue"/>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gridSpan w:val="5"/>
            <w:vMerge w:val="continue"/>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420" w:type="dxa"/>
            <w:vAlign w:val="bottom"/>
            <w:gridSpan w:val="3"/>
            <w:vMerge w:val="continue"/>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6"/>
            <w:vMerge w:val="restart"/>
          </w:tcPr>
          <w:p>
            <w:pPr>
              <w:ind w:left="120"/>
              <w:spacing w:after="0"/>
              <w:rPr>
                <w:sz w:val="20"/>
                <w:szCs w:val="20"/>
                <w:color w:val="auto"/>
              </w:rPr>
            </w:pPr>
            <w:r>
              <w:rPr>
                <w:rFonts w:ascii="Times New Roman" w:cs="Times New Roman" w:eastAsia="Times New Roman" w:hAnsi="Times New Roman"/>
                <w:sz w:val="17"/>
                <w:szCs w:val="17"/>
                <w:color w:val="0000FF"/>
              </w:rPr>
              <w:t>Chairman, President and CEO</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AMERICAN SUPERCONDUCTOR</w:t>
            </w:r>
          </w:p>
        </w:tc>
        <w:tc>
          <w:tcPr>
            <w:tcW w:w="80" w:type="dxa"/>
            <w:vAlign w:val="bottom"/>
          </w:tcPr>
          <w:p>
            <w:pPr>
              <w:spacing w:after="0"/>
              <w:rPr>
                <w:sz w:val="16"/>
                <w:szCs w:val="16"/>
                <w:color w:val="auto"/>
              </w:rPr>
            </w:pPr>
          </w:p>
        </w:tc>
        <w:tc>
          <w:tcPr>
            <w:tcW w:w="28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6"/>
            <w:vMerge w:val="continue"/>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114 EAST MAIN ST</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0"/>
            <w:vMerge w:val="continue"/>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AYER</w:t>
            </w:r>
          </w:p>
        </w:tc>
        <w:tc>
          <w:tcPr>
            <w:tcW w:w="16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01432</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ind w:left="12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2160" w:type="dxa"/>
            <w:vAlign w:val="bottom"/>
            <w:tcBorders>
              <w:bottom w:val="single" w:sz="8" w:color="2C2C2C"/>
            </w:tcBorders>
            <w:gridSpan w:val="5"/>
          </w:tcPr>
          <w:p>
            <w:pPr>
              <w:spacing w:after="0"/>
              <w:rPr>
                <w:sz w:val="10"/>
                <w:szCs w:val="10"/>
                <w:color w:val="auto"/>
              </w:rPr>
            </w:pPr>
          </w:p>
        </w:tc>
        <w:tc>
          <w:tcPr>
            <w:tcW w:w="5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19"/>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00" w:type="dxa"/>
            <w:vAlign w:val="bottom"/>
            <w:gridSpan w:val="3"/>
          </w:tcPr>
          <w:p>
            <w:pPr>
              <w:ind w:left="16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0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w w:val="99"/>
              </w:rPr>
              <w:t>(A) or</w:t>
            </w:r>
          </w:p>
        </w:tc>
        <w:tc>
          <w:tcPr>
            <w:tcW w:w="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06/01/2026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9"/>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60,000</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gridSpan w:val="3"/>
          </w:tcPr>
          <w:p>
            <w:pPr>
              <w:jc w:val="center"/>
              <w:ind w:left="20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1,243,134</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06/02/2026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9"/>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13,762</w:t>
            </w:r>
          </w:p>
        </w:tc>
        <w:tc>
          <w:tcPr>
            <w:tcW w:w="44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49.451</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1,229,372</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06/02/2026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9"/>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27,900</w:t>
            </w:r>
          </w:p>
        </w:tc>
        <w:tc>
          <w:tcPr>
            <w:tcW w:w="44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50.6314</w:t>
            </w:r>
            <w:r>
              <w:rPr>
                <w:rFonts w:ascii="Times New Roman" w:cs="Times New Roman" w:eastAsia="Times New Roman" w:hAnsi="Times New Roman"/>
                <w:sz w:val="22"/>
                <w:szCs w:val="22"/>
                <w:color w:val="008000"/>
                <w:w w:val="97"/>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1,201,472</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06/02/2026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9"/>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28,558</w:t>
            </w:r>
          </w:p>
        </w:tc>
        <w:tc>
          <w:tcPr>
            <w:tcW w:w="44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51.4586</w:t>
            </w:r>
            <w:r>
              <w:rPr>
                <w:rFonts w:ascii="Times New Roman" w:cs="Times New Roman" w:eastAsia="Times New Roman" w:hAnsi="Times New Roman"/>
                <w:sz w:val="22"/>
                <w:szCs w:val="22"/>
                <w:color w:val="008000"/>
                <w:w w:val="97"/>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1,172,914</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06/02/2026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9"/>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2,305</w:t>
            </w:r>
          </w:p>
        </w:tc>
        <w:tc>
          <w:tcPr>
            <w:tcW w:w="44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52.1361</w:t>
            </w:r>
            <w:r>
              <w:rPr>
                <w:rFonts w:ascii="Times New Roman" w:cs="Times New Roman" w:eastAsia="Times New Roman" w:hAnsi="Times New Roman"/>
                <w:sz w:val="22"/>
                <w:szCs w:val="22"/>
                <w:color w:val="008000"/>
                <w:w w:val="97"/>
                <w:vertAlign w:val="superscript"/>
              </w:rPr>
              <w:t>(6)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1,170,609</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06/03/2026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9"/>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7,075</w:t>
            </w:r>
          </w:p>
        </w:tc>
        <w:tc>
          <w:tcPr>
            <w:tcW w:w="44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48.3066</w:t>
            </w:r>
            <w:r>
              <w:rPr>
                <w:rFonts w:ascii="Times New Roman" w:cs="Times New Roman" w:eastAsia="Times New Roman" w:hAnsi="Times New Roman"/>
                <w:sz w:val="22"/>
                <w:szCs w:val="22"/>
                <w:color w:val="008000"/>
                <w:w w:val="97"/>
                <w:vertAlign w:val="superscript"/>
              </w:rPr>
              <w:t>(7)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1,163,534</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06/03/2026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9"/>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4,501</w:t>
            </w:r>
          </w:p>
        </w:tc>
        <w:tc>
          <w:tcPr>
            <w:tcW w:w="44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49.2541</w:t>
            </w:r>
            <w:r>
              <w:rPr>
                <w:rFonts w:ascii="Times New Roman" w:cs="Times New Roman" w:eastAsia="Times New Roman" w:hAnsi="Times New Roman"/>
                <w:sz w:val="22"/>
                <w:szCs w:val="22"/>
                <w:color w:val="008000"/>
                <w:w w:val="97"/>
                <w:vertAlign w:val="superscript"/>
              </w:rPr>
              <w:t>(8)</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1,159,033</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06/03/2026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9"/>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44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50.288</w:t>
            </w:r>
            <w:r>
              <w:rPr>
                <w:rFonts w:ascii="Times New Roman" w:cs="Times New Roman" w:eastAsia="Times New Roman" w:hAnsi="Times New Roman"/>
                <w:sz w:val="22"/>
                <w:szCs w:val="22"/>
                <w:color w:val="008000"/>
                <w:w w:val="95"/>
                <w:vertAlign w:val="superscript"/>
              </w:rPr>
              <w:t>(9)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1,158,533</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06/03/2026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9"/>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817</w:t>
            </w:r>
          </w:p>
        </w:tc>
        <w:tc>
          <w:tcPr>
            <w:tcW w:w="44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50.99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1,157,716</w:t>
            </w:r>
            <w:r>
              <w:rPr>
                <w:rFonts w:ascii="Times New Roman" w:cs="Times New Roman" w:eastAsia="Times New Roman" w:hAnsi="Times New Roman"/>
                <w:sz w:val="22"/>
                <w:szCs w:val="22"/>
                <w:color w:val="008000"/>
                <w:w w:val="95"/>
                <w:vertAlign w:val="superscript"/>
              </w:rPr>
              <w:t>(10)</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2"/>
              </w:rPr>
              <w:t>13,262</w:t>
            </w:r>
            <w:r>
              <w:rPr>
                <w:rFonts w:ascii="Times New Roman" w:cs="Times New Roman" w:eastAsia="Times New Roman" w:hAnsi="Times New Roman"/>
                <w:sz w:val="22"/>
                <w:szCs w:val="22"/>
                <w:color w:val="008000"/>
                <w:w w:val="92"/>
                <w:vertAlign w:val="superscript"/>
              </w:rPr>
              <w:t>(11)</w:t>
            </w:r>
          </w:p>
        </w:tc>
        <w:tc>
          <w:tcPr>
            <w:tcW w:w="920" w:type="dxa"/>
            <w:vAlign w:val="bottom"/>
          </w:tcPr>
          <w:p>
            <w:pPr>
              <w:jc w:val="center"/>
              <w:ind w:right="2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216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4"/>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7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5"/>
              </w:rPr>
              <w:t>Expiration</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gridSpan w:val="2"/>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award was granted on June 1, 2026. The award will vest in three equal annual installments beginning June 10, 2027.</w:t>
      </w:r>
    </w:p>
    <w:p>
      <w:pPr>
        <w:spacing w:after="0" w:line="50"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awards. The reported transaction was effected pursuant to a Rule 10b5-1 trading plan previously entered into by the reporting person on August 15, 2025, as modified on February 26, 2026.</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$48.95-$49.87. The price reported above reflects the weighted average sale price. The reporting person hereby undertakes to provide, upon request, to the SEC staff, the issuer, or a security holder of the issuer, full information regarding the number of shares and price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$49.99-$50.98. The price reported above reflects the weighted average sale price. The reporting person hereby undertakes to provide, upon request, to the SEC staff, the issuer, or a security holder of the issuer, full information regarding the number of shares and price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$50.99-$51.945. The price reported above reflects the weighted average sale price. The reporting person hereby undertakes to provide, upon request, to the SEC staff, the issuer, or a security holder of the issuer, full information regarding the number of shares and price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$52.00-$52.44. The price reported above reflects the weighted average sale price. The reporting person hereby undertakes to provide, upon request, to the SEC staff, the issuer, or a security holder of the issuer, full information regarding the number of shares and price at which the transaction was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$47.80-$48.76. The price reported above reflects the weighted average sale price. The reporting person hereby undertakes to provide,</w:t>
      </w:r>
    </w:p>
    <w:p>
      <w:pPr>
        <w:sectPr>
          <w:pgSz w:w="11900" w:h="16867"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upon request, to the SEC staff, the issuer, or a security holder of the issuer, full information regarding the number of shares and prices at which the transactions were effected.</w:t>
      </w:r>
    </w:p>
    <w:p>
      <w:pPr>
        <w:spacing w:after="0" w:line="50" w:lineRule="exact"/>
        <w:rPr>
          <w:sz w:val="20"/>
          <w:szCs w:val="20"/>
          <w:color w:val="auto"/>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$48.87-$49.84. The price reported above reflects the weighted average sale price.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$49.89-$50.82. The price reported above reflects the weighted average sale price.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all the transactions reported on this Form 4, the reporting person holds 1,157,716 shares directly.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all the transactions reported on this Form 4, the reporting person holds 13,262 shares indirectly through the company's 401(k) plan as of June 3, 2026.</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Daniel P. McGahn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2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25153" TargetMode="External"/><Relationship Id="rId14" Type="http://schemas.openxmlformats.org/officeDocument/2006/relationships/hyperlink" Target="http://www.sec.gov/cgi-bin/browse-edgar?action=getcompany&amp;CIK=00008808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2026-06-03T15:17:42Z</dcterms:created>
  <dcterms:modified xsi:type="dcterms:W3CDTF">2026-06-03T15:17:42Z</dcterms:modified>
</cp:coreProperties>
</file>