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2012</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ind w:left="3540"/>
        <w:spacing w:after="0"/>
        <w:tabs>
          <w:tab w:leader="none" w:pos="6760" w:val="left"/>
          <w:tab w:leader="none" w:pos="7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3717290</wp:posOffset>
            </wp:positionH>
            <wp:positionV relativeFrom="paragraph">
              <wp:posOffset>-10160</wp:posOffset>
            </wp:positionV>
            <wp:extent cx="1291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American Superconductor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8100" w:type="dxa"/>
            <w:vAlign w:val="bottom"/>
            <w:gridSpan w:val="3"/>
          </w:tcPr>
          <w:p>
            <w:pPr>
              <w:jc w:val="center"/>
              <w:ind w:right="2360"/>
              <w:spacing w:after="0"/>
              <w:rPr>
                <w:sz w:val="20"/>
                <w:szCs w:val="20"/>
                <w:color w:val="auto"/>
              </w:rPr>
            </w:pPr>
            <w:r>
              <w:rPr>
                <w:rFonts w:ascii="Arial" w:cs="Arial" w:eastAsia="Arial" w:hAnsi="Arial"/>
                <w:sz w:val="18"/>
                <w:szCs w:val="18"/>
                <w:b w:val="1"/>
                <w:bCs w:val="1"/>
                <w:color w:val="auto"/>
                <w:w w:val="88"/>
              </w:rPr>
              <w:t>Delaware</w:t>
            </w:r>
          </w:p>
        </w:tc>
        <w:tc>
          <w:tcPr>
            <w:tcW w:w="3320" w:type="dxa"/>
            <w:vAlign w:val="bottom"/>
          </w:tcPr>
          <w:p>
            <w:pPr>
              <w:jc w:val="right"/>
              <w:ind w:right="2304"/>
              <w:spacing w:after="0"/>
              <w:rPr>
                <w:sz w:val="20"/>
                <w:szCs w:val="20"/>
                <w:color w:val="auto"/>
              </w:rPr>
            </w:pPr>
            <w:r>
              <w:rPr>
                <w:rFonts w:ascii="Arial" w:cs="Arial" w:eastAsia="Arial" w:hAnsi="Arial"/>
                <w:sz w:val="18"/>
                <w:szCs w:val="18"/>
                <w:b w:val="1"/>
                <w:bCs w:val="1"/>
                <w:color w:val="auto"/>
                <w:w w:val="95"/>
              </w:rPr>
              <w:t>04-2959321</w:t>
            </w:r>
          </w:p>
        </w:tc>
      </w:tr>
      <w:tr>
        <w:trPr>
          <w:trHeight w:val="136"/>
        </w:trPr>
        <w:tc>
          <w:tcPr>
            <w:tcW w:w="57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7"/>
              </w:rPr>
              <w:t>(State or other jurisdiction of</w:t>
            </w:r>
          </w:p>
        </w:tc>
        <w:tc>
          <w:tcPr>
            <w:tcW w:w="100" w:type="dxa"/>
            <w:vAlign w:val="bottom"/>
          </w:tcPr>
          <w:p>
            <w:pPr>
              <w:spacing w:after="0"/>
              <w:rPr>
                <w:sz w:val="11"/>
                <w:szCs w:val="11"/>
                <w:color w:val="auto"/>
              </w:rPr>
            </w:pPr>
          </w:p>
        </w:tc>
        <w:tc>
          <w:tcPr>
            <w:tcW w:w="2280" w:type="dxa"/>
            <w:vAlign w:val="bottom"/>
            <w:tcBorders>
              <w:top w:val="single" w:sz="8" w:color="auto"/>
            </w:tcBorders>
          </w:tcPr>
          <w:p>
            <w:pPr>
              <w:spacing w:after="0"/>
              <w:rPr>
                <w:sz w:val="11"/>
                <w:szCs w:val="11"/>
                <w:color w:val="auto"/>
              </w:rPr>
            </w:pPr>
          </w:p>
        </w:tc>
        <w:tc>
          <w:tcPr>
            <w:tcW w:w="3320" w:type="dxa"/>
            <w:vAlign w:val="bottom"/>
            <w:tcBorders>
              <w:top w:val="single" w:sz="8" w:color="auto"/>
            </w:tcBorders>
          </w:tcPr>
          <w:p>
            <w:pPr>
              <w:jc w:val="center"/>
              <w:ind w:right="2184"/>
              <w:spacing w:after="0" w:line="136"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8100" w:type="dxa"/>
            <w:vAlign w:val="bottom"/>
            <w:gridSpan w:val="3"/>
          </w:tcPr>
          <w:p>
            <w:pPr>
              <w:jc w:val="center"/>
              <w:ind w:right="2380"/>
              <w:spacing w:after="0"/>
              <w:rPr>
                <w:sz w:val="20"/>
                <w:szCs w:val="20"/>
                <w:color w:val="auto"/>
              </w:rPr>
            </w:pPr>
            <w:r>
              <w:rPr>
                <w:rFonts w:ascii="Arial" w:cs="Arial" w:eastAsia="Arial" w:hAnsi="Arial"/>
                <w:sz w:val="14"/>
                <w:szCs w:val="14"/>
                <w:b w:val="1"/>
                <w:bCs w:val="1"/>
                <w:color w:val="auto"/>
                <w:w w:val="88"/>
              </w:rPr>
              <w:t>incorporation or organization)</w:t>
            </w:r>
          </w:p>
        </w:tc>
        <w:tc>
          <w:tcPr>
            <w:tcW w:w="3320" w:type="dxa"/>
            <w:vAlign w:val="bottom"/>
          </w:tcPr>
          <w:p>
            <w:pPr>
              <w:jc w:val="center"/>
              <w:ind w:right="2184"/>
              <w:spacing w:after="0"/>
              <w:rPr>
                <w:sz w:val="20"/>
                <w:szCs w:val="20"/>
                <w:color w:val="auto"/>
              </w:rPr>
            </w:pPr>
            <w:r>
              <w:rPr>
                <w:rFonts w:ascii="Arial" w:cs="Arial" w:eastAsia="Arial" w:hAnsi="Arial"/>
                <w:sz w:val="14"/>
                <w:szCs w:val="14"/>
                <w:b w:val="1"/>
                <w:bCs w:val="1"/>
                <w:color w:val="auto"/>
                <w:w w:val="89"/>
              </w:rPr>
              <w:t>Identification No.)</w:t>
            </w:r>
          </w:p>
        </w:tc>
      </w:tr>
      <w:tr>
        <w:trPr>
          <w:trHeight w:val="440"/>
        </w:trPr>
        <w:tc>
          <w:tcPr>
            <w:tcW w:w="8100" w:type="dxa"/>
            <w:vAlign w:val="bottom"/>
            <w:gridSpan w:val="3"/>
          </w:tcPr>
          <w:p>
            <w:pPr>
              <w:jc w:val="center"/>
              <w:ind w:right="2360"/>
              <w:spacing w:after="0"/>
              <w:rPr>
                <w:sz w:val="20"/>
                <w:szCs w:val="20"/>
                <w:color w:val="auto"/>
              </w:rPr>
            </w:pPr>
            <w:r>
              <w:rPr>
                <w:rFonts w:ascii="Arial" w:cs="Arial" w:eastAsia="Arial" w:hAnsi="Arial"/>
                <w:sz w:val="18"/>
                <w:szCs w:val="18"/>
                <w:b w:val="1"/>
                <w:bCs w:val="1"/>
                <w:color w:val="auto"/>
                <w:w w:val="84"/>
              </w:rPr>
              <w:t>64 Jackson Road, Devens, Massachusetts</w:t>
            </w:r>
          </w:p>
        </w:tc>
        <w:tc>
          <w:tcPr>
            <w:tcW w:w="3320" w:type="dxa"/>
            <w:vAlign w:val="bottom"/>
          </w:tcPr>
          <w:p>
            <w:pPr>
              <w:jc w:val="right"/>
              <w:ind w:right="2504"/>
              <w:spacing w:after="0"/>
              <w:rPr>
                <w:sz w:val="20"/>
                <w:szCs w:val="20"/>
                <w:color w:val="auto"/>
              </w:rPr>
            </w:pPr>
            <w:r>
              <w:rPr>
                <w:rFonts w:ascii="Arial" w:cs="Arial" w:eastAsia="Arial" w:hAnsi="Arial"/>
                <w:sz w:val="18"/>
                <w:szCs w:val="18"/>
                <w:b w:val="1"/>
                <w:bCs w:val="1"/>
                <w:color w:val="auto"/>
              </w:rPr>
              <w:t>01434</w:t>
            </w:r>
          </w:p>
        </w:tc>
      </w:tr>
      <w:tr>
        <w:trPr>
          <w:trHeight w:val="174"/>
        </w:trPr>
        <w:tc>
          <w:tcPr>
            <w:tcW w:w="5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00" w:type="dxa"/>
            <w:vAlign w:val="bottom"/>
          </w:tcPr>
          <w:p>
            <w:pPr>
              <w:spacing w:after="0"/>
              <w:rPr>
                <w:sz w:val="15"/>
                <w:szCs w:val="15"/>
                <w:color w:val="auto"/>
              </w:rPr>
            </w:pPr>
          </w:p>
        </w:tc>
        <w:tc>
          <w:tcPr>
            <w:tcW w:w="2280" w:type="dxa"/>
            <w:vAlign w:val="bottom"/>
            <w:tcBorders>
              <w:top w:val="single" w:sz="8" w:color="auto"/>
            </w:tcBorders>
          </w:tcPr>
          <w:p>
            <w:pPr>
              <w:spacing w:after="0"/>
              <w:rPr>
                <w:sz w:val="15"/>
                <w:szCs w:val="15"/>
                <w:color w:val="auto"/>
              </w:rPr>
            </w:pPr>
          </w:p>
        </w:tc>
        <w:tc>
          <w:tcPr>
            <w:tcW w:w="3320" w:type="dxa"/>
            <w:vAlign w:val="bottom"/>
            <w:tcBorders>
              <w:top w:val="single" w:sz="8" w:color="auto"/>
            </w:tcBorders>
          </w:tcPr>
          <w:p>
            <w:pPr>
              <w:jc w:val="center"/>
              <w:ind w:right="2184"/>
              <w:spacing w:after="0"/>
              <w:rPr>
                <w:sz w:val="20"/>
                <w:szCs w:val="20"/>
                <w:color w:val="auto"/>
              </w:rPr>
            </w:pPr>
            <w:r>
              <w:rPr>
                <w:rFonts w:ascii="Arial" w:cs="Arial" w:eastAsia="Arial" w:hAnsi="Arial"/>
                <w:sz w:val="14"/>
                <w:szCs w:val="14"/>
                <w:b w:val="1"/>
                <w:bCs w:val="1"/>
                <w:color w:val="auto"/>
                <w:w w:val="89"/>
              </w:rPr>
              <w:t>(Zip Code)</w:t>
            </w:r>
          </w:p>
        </w:tc>
      </w:tr>
      <w:tr>
        <w:trPr>
          <w:trHeight w:val="413"/>
        </w:trPr>
        <w:tc>
          <w:tcPr>
            <w:tcW w:w="8100" w:type="dxa"/>
            <w:vAlign w:val="bottom"/>
            <w:tcBorders>
              <w:bottom w:val="single" w:sz="8" w:color="auto"/>
            </w:tcBorders>
            <w:gridSpan w:val="3"/>
          </w:tcPr>
          <w:p>
            <w:pPr>
              <w:jc w:val="center"/>
              <w:ind w:left="3243"/>
              <w:spacing w:after="0"/>
              <w:rPr>
                <w:sz w:val="20"/>
                <w:szCs w:val="20"/>
                <w:color w:val="auto"/>
              </w:rPr>
            </w:pPr>
            <w:r>
              <w:rPr>
                <w:rFonts w:ascii="Arial" w:cs="Arial" w:eastAsia="Arial" w:hAnsi="Arial"/>
                <w:sz w:val="18"/>
                <w:szCs w:val="18"/>
                <w:b w:val="1"/>
                <w:bCs w:val="1"/>
                <w:color w:val="auto"/>
                <w:w w:val="89"/>
              </w:rPr>
              <w:t>(978) 842-3000</w:t>
            </w:r>
          </w:p>
        </w:tc>
        <w:tc>
          <w:tcPr>
            <w:tcW w:w="3320" w:type="dxa"/>
            <w:vAlign w:val="bottom"/>
            <w:tcBorders>
              <w:bottom w:val="single" w:sz="8" w:color="auto"/>
            </w:tcBorders>
          </w:tcPr>
          <w:p>
            <w:pPr>
              <w:spacing w:after="0"/>
              <w:rPr>
                <w:sz w:val="24"/>
                <w:szCs w:val="24"/>
                <w:color w:val="auto"/>
              </w:rPr>
            </w:pPr>
          </w:p>
        </w:tc>
      </w:tr>
      <w:tr>
        <w:trPr>
          <w:trHeight w:val="174"/>
        </w:trPr>
        <w:tc>
          <w:tcPr>
            <w:tcW w:w="8100" w:type="dxa"/>
            <w:vAlign w:val="bottom"/>
            <w:gridSpan w:val="3"/>
          </w:tcPr>
          <w:p>
            <w:pPr>
              <w:jc w:val="center"/>
              <w:ind w:left="3243"/>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3320" w:type="dxa"/>
            <w:vAlign w:val="bottom"/>
          </w:tcPr>
          <w:p>
            <w:pPr>
              <w:spacing w:after="0"/>
              <w:rPr>
                <w:sz w:val="15"/>
                <w:szCs w:val="15"/>
                <w:color w:val="auto"/>
              </w:rPr>
            </w:pPr>
          </w:p>
        </w:tc>
      </w:tr>
      <w:tr>
        <w:trPr>
          <w:trHeight w:val="413"/>
        </w:trPr>
        <w:tc>
          <w:tcPr>
            <w:tcW w:w="8100" w:type="dxa"/>
            <w:vAlign w:val="bottom"/>
            <w:tcBorders>
              <w:bottom w:val="single" w:sz="8" w:color="auto"/>
            </w:tcBorders>
            <w:gridSpan w:val="3"/>
          </w:tcPr>
          <w:p>
            <w:pPr>
              <w:jc w:val="center"/>
              <w:ind w:left="3243"/>
              <w:spacing w:after="0"/>
              <w:rPr>
                <w:sz w:val="20"/>
                <w:szCs w:val="20"/>
                <w:color w:val="auto"/>
              </w:rPr>
            </w:pPr>
            <w:r>
              <w:rPr>
                <w:rFonts w:ascii="Arial" w:cs="Arial" w:eastAsia="Arial" w:hAnsi="Arial"/>
                <w:sz w:val="18"/>
                <w:szCs w:val="18"/>
                <w:b w:val="1"/>
                <w:bCs w:val="1"/>
                <w:color w:val="auto"/>
                <w:w w:val="96"/>
              </w:rPr>
              <w:t>N/A</w:t>
            </w:r>
          </w:p>
        </w:tc>
        <w:tc>
          <w:tcPr>
            <w:tcW w:w="3320" w:type="dxa"/>
            <w:vAlign w:val="bottom"/>
            <w:tcBorders>
              <w:bottom w:val="single" w:sz="8" w:color="auto"/>
            </w:tcBorders>
          </w:tcPr>
          <w:p>
            <w:pPr>
              <w:spacing w:after="0"/>
              <w:rPr>
                <w:sz w:val="24"/>
                <w:szCs w:val="24"/>
                <w:color w:val="auto"/>
              </w:rPr>
            </w:pPr>
          </w:p>
        </w:tc>
      </w:tr>
      <w:tr>
        <w:trPr>
          <w:trHeight w:val="174"/>
        </w:trPr>
        <w:tc>
          <w:tcPr>
            <w:tcW w:w="8100" w:type="dxa"/>
            <w:vAlign w:val="bottom"/>
            <w:gridSpan w:val="3"/>
          </w:tcPr>
          <w:p>
            <w:pPr>
              <w:jc w:val="center"/>
              <w:ind w:left="3243"/>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33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2"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5860" w:type="dxa"/>
            <w:vAlign w:val="bottom"/>
            <w:gridSpan w:val="3"/>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40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586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00" w:type="dxa"/>
            <w:vAlign w:val="bottom"/>
          </w:tcPr>
          <w:p>
            <w:pPr>
              <w:ind w:left="12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1020" w:type="dxa"/>
            <w:vAlign w:val="bottom"/>
            <w:gridSpan w:val="5"/>
          </w:tcPr>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1760" w:type="dxa"/>
            <w:vAlign w:val="bottom"/>
          </w:tcPr>
          <w:p>
            <w:pPr>
              <w:spacing w:after="0"/>
              <w:rPr>
                <w:sz w:val="24"/>
                <w:szCs w:val="24"/>
                <w:color w:val="auto"/>
              </w:rPr>
            </w:pPr>
          </w:p>
        </w:tc>
        <w:tc>
          <w:tcPr>
            <w:tcW w:w="5860" w:type="dxa"/>
            <w:vAlign w:val="bottom"/>
            <w:gridSpan w:val="3"/>
          </w:tcPr>
          <w:p>
            <w:pPr>
              <w:ind w:left="2060"/>
              <w:spacing w:after="0"/>
              <w:rPr>
                <w:sz w:val="20"/>
                <w:szCs w:val="20"/>
                <w:color w:val="auto"/>
              </w:rPr>
            </w:pPr>
            <w:r>
              <w:rPr>
                <w:rFonts w:ascii="Arial" w:cs="Arial" w:eastAsia="Arial" w:hAnsi="Arial"/>
                <w:sz w:val="18"/>
                <w:szCs w:val="18"/>
                <w:color w:val="auto"/>
                <w:w w:val="87"/>
              </w:rPr>
              <w:t>Shares outstanding of the Registrant’s common stock:</w:t>
            </w:r>
          </w:p>
        </w:tc>
        <w:tc>
          <w:tcPr>
            <w:tcW w:w="34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28"/>
        </w:trPr>
        <w:tc>
          <w:tcPr>
            <w:tcW w:w="7620" w:type="dxa"/>
            <w:vAlign w:val="bottom"/>
            <w:gridSpan w:val="4"/>
          </w:tcPr>
          <w:p>
            <w:pPr>
              <w:jc w:val="center"/>
              <w:ind w:right="1840"/>
              <w:spacing w:after="0"/>
              <w:rPr>
                <w:sz w:val="20"/>
                <w:szCs w:val="20"/>
                <w:color w:val="auto"/>
              </w:rPr>
            </w:pPr>
            <w:r>
              <w:rPr>
                <w:rFonts w:ascii="Arial" w:cs="Arial" w:eastAsia="Arial" w:hAnsi="Arial"/>
                <w:sz w:val="18"/>
                <w:szCs w:val="18"/>
                <w:b w:val="1"/>
                <w:bCs w:val="1"/>
                <w:color w:val="auto"/>
                <w:w w:val="87"/>
              </w:rPr>
              <w:t>Common Stock, par value $0.01 per share</w:t>
            </w:r>
          </w:p>
        </w:tc>
        <w:tc>
          <w:tcPr>
            <w:tcW w:w="3400" w:type="dxa"/>
            <w:vAlign w:val="bottom"/>
          </w:tcPr>
          <w:p>
            <w:pPr>
              <w:jc w:val="right"/>
              <w:ind w:right="1897"/>
              <w:spacing w:after="0"/>
              <w:rPr>
                <w:sz w:val="20"/>
                <w:szCs w:val="20"/>
                <w:color w:val="auto"/>
              </w:rPr>
            </w:pPr>
            <w:r>
              <w:rPr>
                <w:rFonts w:ascii="Arial" w:cs="Arial" w:eastAsia="Arial" w:hAnsi="Arial"/>
                <w:sz w:val="18"/>
                <w:szCs w:val="18"/>
                <w:b w:val="1"/>
                <w:bCs w:val="1"/>
                <w:color w:val="auto"/>
              </w:rPr>
              <w:t>57,540,057</w:t>
            </w:r>
          </w:p>
        </w:tc>
        <w:tc>
          <w:tcPr>
            <w:tcW w:w="400" w:type="dxa"/>
            <w:vAlign w:val="bottom"/>
          </w:tcPr>
          <w:p>
            <w:pPr>
              <w:spacing w:after="0"/>
              <w:rPr>
                <w:sz w:val="24"/>
                <w:szCs w:val="24"/>
                <w:color w:val="auto"/>
              </w:rPr>
            </w:pPr>
          </w:p>
        </w:tc>
      </w:tr>
      <w:tr>
        <w:trPr>
          <w:trHeight w:val="174"/>
        </w:trPr>
        <w:tc>
          <w:tcPr>
            <w:tcW w:w="1760" w:type="dxa"/>
            <w:vAlign w:val="bottom"/>
            <w:tcBorders>
              <w:top w:val="single" w:sz="8" w:color="auto"/>
            </w:tcBorders>
          </w:tcPr>
          <w:p>
            <w:pPr>
              <w:spacing w:after="0"/>
              <w:rPr>
                <w:sz w:val="15"/>
                <w:szCs w:val="15"/>
                <w:color w:val="auto"/>
              </w:rPr>
            </w:pPr>
          </w:p>
        </w:tc>
        <w:tc>
          <w:tcPr>
            <w:tcW w:w="4020" w:type="dxa"/>
            <w:vAlign w:val="bottom"/>
            <w:tcBorders>
              <w:top w:val="single" w:sz="8" w:color="auto"/>
            </w:tcBorders>
          </w:tcPr>
          <w:p>
            <w:pPr>
              <w:jc w:val="center"/>
              <w:ind w:right="1677"/>
              <w:spacing w:after="0"/>
              <w:rPr>
                <w:sz w:val="20"/>
                <w:szCs w:val="20"/>
                <w:color w:val="auto"/>
              </w:rPr>
            </w:pPr>
            <w:r>
              <w:rPr>
                <w:rFonts w:ascii="Arial" w:cs="Arial" w:eastAsia="Arial" w:hAnsi="Arial"/>
                <w:sz w:val="14"/>
                <w:szCs w:val="14"/>
                <w:b w:val="1"/>
                <w:bCs w:val="1"/>
                <w:color w:val="auto"/>
                <w:w w:val="80"/>
              </w:rPr>
              <w:t>Class</w:t>
            </w:r>
          </w:p>
        </w:tc>
        <w:tc>
          <w:tcPr>
            <w:tcW w:w="100" w:type="dxa"/>
            <w:vAlign w:val="bottom"/>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3400" w:type="dxa"/>
            <w:vAlign w:val="bottom"/>
            <w:tcBorders>
              <w:top w:val="single" w:sz="8" w:color="auto"/>
            </w:tcBorders>
          </w:tcPr>
          <w:p>
            <w:pPr>
              <w:jc w:val="center"/>
              <w:ind w:right="1237"/>
              <w:spacing w:after="0"/>
              <w:rPr>
                <w:sz w:val="20"/>
                <w:szCs w:val="20"/>
                <w:color w:val="auto"/>
              </w:rPr>
            </w:pPr>
            <w:r>
              <w:rPr>
                <w:rFonts w:ascii="Arial" w:cs="Arial" w:eastAsia="Arial" w:hAnsi="Arial"/>
                <w:sz w:val="14"/>
                <w:szCs w:val="14"/>
                <w:b w:val="1"/>
                <w:bCs w:val="1"/>
                <w:color w:val="auto"/>
                <w:w w:val="87"/>
              </w:rPr>
              <w:t>Outstanding as of February 6, 2013</w:t>
            </w:r>
          </w:p>
        </w:tc>
        <w:tc>
          <w:tcPr>
            <w:tcW w:w="400" w:type="dxa"/>
            <w:vAlign w:val="bottom"/>
            <w:tcBorders>
              <w:top w:val="single" w:sz="8" w:color="auto"/>
            </w:tcBorders>
          </w:tcPr>
          <w:p>
            <w:pPr>
              <w:spacing w:after="0"/>
              <w:rPr>
                <w:sz w:val="15"/>
                <w:szCs w:val="15"/>
                <w:color w:val="auto"/>
              </w:rPr>
            </w:pPr>
          </w:p>
        </w:tc>
      </w:tr>
      <w:tr>
        <w:trPr>
          <w:trHeight w:val="96"/>
        </w:trPr>
        <w:tc>
          <w:tcPr>
            <w:tcW w:w="1760" w:type="dxa"/>
            <w:vAlign w:val="bottom"/>
            <w:tcBorders>
              <w:bottom w:val="single" w:sz="8" w:color="auto"/>
            </w:tcBorders>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0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PART I — FINANCIAL INFORMATION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194"/>
        </w:trPr>
        <w:tc>
          <w:tcPr>
            <w:tcW w:w="10900" w:type="dxa"/>
            <w:vAlign w:val="bottom"/>
            <w:gridSpan w:val="13"/>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Management’s Discussion and Analysis of Financial Condition and Results of Operations</w:t>
              </w:r>
            </w:hyperlink>
          </w:p>
        </w:tc>
        <w:tc>
          <w:tcPr>
            <w:tcW w:w="3600" w:type="dxa"/>
            <w:vAlign w:val="bottom"/>
          </w:tcPr>
          <w:p>
            <w:pPr>
              <w:spacing w:after="0"/>
              <w:rPr>
                <w:sz w:val="24"/>
                <w:szCs w:val="24"/>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Quantitative and Qualitative Disclosures About Market Risk</w:t>
              </w:r>
            </w:hyperlink>
          </w:p>
        </w:tc>
        <w:tc>
          <w:tcPr>
            <w:tcW w:w="5640" w:type="dxa"/>
            <w:vAlign w:val="bottom"/>
            <w:gridSpan w:val="2"/>
          </w:tcPr>
          <w:p>
            <w:pPr>
              <w:spacing w:after="0"/>
              <w:rPr>
                <w:sz w:val="24"/>
                <w:szCs w:val="24"/>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900" w:type="dxa"/>
            <w:vAlign w:val="bottom"/>
            <w:gridSpan w:val="1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0900" w:type="dxa"/>
            <w:vAlign w:val="bottom"/>
            <w:gridSpan w:val="13"/>
          </w:tcPr>
          <w:p>
            <w:pPr>
              <w:spacing w:after="0"/>
              <w:rPr>
                <w:sz w:val="20"/>
                <w:szCs w:val="20"/>
                <w:color w:val="auto"/>
              </w:rPr>
            </w:pPr>
            <w:r>
              <w:rPr>
                <w:rFonts w:ascii="Arial" w:cs="Arial" w:eastAsia="Arial" w:hAnsi="Arial"/>
                <w:sz w:val="18"/>
                <w:szCs w:val="18"/>
                <w:b w:val="1"/>
                <w:bCs w:val="1"/>
                <w:color w:val="auto"/>
              </w:rPr>
              <w:t>PART II — OTHER INFORMATION</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Legal Proceedings</w:t>
              </w:r>
            </w:hyperlink>
          </w:p>
        </w:tc>
        <w:tc>
          <w:tcPr>
            <w:tcW w:w="8600" w:type="dxa"/>
            <w:vAlign w:val="bottom"/>
            <w:gridSpan w:val="7"/>
          </w:tcPr>
          <w:p>
            <w:pPr>
              <w:spacing w:after="0"/>
              <w:rPr>
                <w:sz w:val="24"/>
                <w:szCs w:val="24"/>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42">
              <w:r>
                <w:rPr>
                  <w:rFonts w:ascii="Arial" w:cs="Arial" w:eastAsia="Arial" w:hAnsi="Arial"/>
                  <w:sz w:val="18"/>
                  <w:szCs w:val="18"/>
                  <w:color w:val="0000EE"/>
                  <w:w w:val="85"/>
                </w:rPr>
                <w:t>Risk Factors</w:t>
              </w:r>
            </w:hyperlink>
          </w:p>
        </w:tc>
        <w:tc>
          <w:tcPr>
            <w:tcW w:w="9020" w:type="dxa"/>
            <w:vAlign w:val="bottom"/>
            <w:gridSpan w:val="9"/>
          </w:tcPr>
          <w:p>
            <w:pPr>
              <w:spacing w:after="0"/>
              <w:rPr>
                <w:sz w:val="24"/>
                <w:szCs w:val="24"/>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43">
              <w:r>
                <w:rPr>
                  <w:rFonts w:ascii="Arial" w:cs="Arial" w:eastAsia="Arial" w:hAnsi="Arial"/>
                  <w:sz w:val="18"/>
                  <w:szCs w:val="18"/>
                  <w:color w:val="0000EE"/>
                  <w:w w:val="86"/>
                </w:rPr>
                <w:t>Unregistered Sales of Equity Securities and Use of Proceeds</w:t>
              </w:r>
            </w:hyperlink>
          </w:p>
        </w:tc>
        <w:tc>
          <w:tcPr>
            <w:tcW w:w="5660" w:type="dxa"/>
            <w:vAlign w:val="bottom"/>
            <w:gridSpan w:val="3"/>
          </w:tcPr>
          <w:p>
            <w:pPr>
              <w:spacing w:after="0"/>
              <w:rPr>
                <w:sz w:val="24"/>
                <w:szCs w:val="24"/>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900" w:type="dxa"/>
            <w:vAlign w:val="bottom"/>
            <w:gridSpan w:val="1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Mine Safety Disclosure</w:t>
              </w:r>
            </w:hyperlink>
          </w:p>
        </w:tc>
        <w:tc>
          <w:tcPr>
            <w:tcW w:w="540" w:type="dxa"/>
            <w:vAlign w:val="bottom"/>
            <w:tcBorders>
              <w:top w:val="single" w:sz="8" w:color="0000EE"/>
            </w:tcBorders>
          </w:tcPr>
          <w:p>
            <w:pPr>
              <w:spacing w:after="0"/>
              <w:rPr>
                <w:sz w:val="24"/>
                <w:szCs w:val="24"/>
                <w:color w:val="auto"/>
              </w:rPr>
            </w:pPr>
          </w:p>
        </w:tc>
        <w:tc>
          <w:tcPr>
            <w:tcW w:w="7640" w:type="dxa"/>
            <w:vAlign w:val="bottom"/>
            <w:gridSpan w:val="4"/>
          </w:tcPr>
          <w:p>
            <w:pPr>
              <w:spacing w:after="0"/>
              <w:rPr>
                <w:sz w:val="24"/>
                <w:szCs w:val="24"/>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Other Information</w:t>
              </w:r>
            </w:hyperlink>
          </w:p>
        </w:tc>
        <w:tc>
          <w:tcPr>
            <w:tcW w:w="8620" w:type="dxa"/>
            <w:vAlign w:val="bottom"/>
            <w:gridSpan w:val="8"/>
          </w:tcPr>
          <w:p>
            <w:pPr>
              <w:spacing w:after="0"/>
              <w:rPr>
                <w:sz w:val="24"/>
                <w:szCs w:val="24"/>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00" w:type="dxa"/>
            <w:vAlign w:val="bottom"/>
            <w:gridSpan w:val="11"/>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83"/>
        </w:trPr>
        <w:tc>
          <w:tcPr>
            <w:tcW w:w="6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300" w:type="dxa"/>
            <w:vAlign w:val="bottom"/>
            <w:gridSpan w:val="10"/>
          </w:tcPr>
          <w:p>
            <w:pPr>
              <w:ind w:left="4680"/>
              <w:spacing w:after="0"/>
              <w:rPr>
                <w:sz w:val="20"/>
                <w:szCs w:val="20"/>
                <w:color w:val="auto"/>
              </w:rPr>
            </w:pPr>
            <w:r>
              <w:rPr>
                <w:rFonts w:ascii="Arial" w:cs="Arial" w:eastAsia="Arial" w:hAnsi="Arial"/>
                <w:sz w:val="18"/>
                <w:szCs w:val="18"/>
                <w:color w:val="auto"/>
              </w:rPr>
              <w:t>2</w:t>
            </w:r>
          </w:p>
        </w:tc>
        <w:tc>
          <w:tcPr>
            <w:tcW w:w="3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7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ind w:left="416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42,457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36,455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9,154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127,332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143,571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78,010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2,999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3,129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225,319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255,056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25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30,320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Note payable, current portion, net of discount of $552 as of December 31, 2012</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4,063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convertible note, net of discount of $5,448 as of December 31, 2012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Derivative liability</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5,605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Adverse purchase commitments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23,794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75,872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86,323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 payable, net of discount of $174 as of December 31, 2012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Convertible note net of discount of $1,287 as of December 31, 2012</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7,047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90,506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90,177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913,107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896,603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1,812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(780,360)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(734,000)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164,879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225,319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255,056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520"/>
        <w:spacing w:after="0" w:line="262"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OPERATIONS (In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7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7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8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17,417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18,058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47,916</w:t>
            </w:r>
          </w:p>
        </w:tc>
        <w:tc>
          <w:tcPr>
            <w:tcW w:w="0" w:type="dxa"/>
            <w:vAlign w:val="bottom"/>
          </w:tcPr>
          <w:p>
            <w:pPr>
              <w:spacing w:after="0"/>
              <w:rPr>
                <w:sz w:val="1"/>
                <w:szCs w:val="1"/>
                <w:color w:val="auto"/>
              </w:rPr>
            </w:pPr>
          </w:p>
        </w:tc>
      </w:tr>
      <w:tr>
        <w:trPr>
          <w:trHeight w:val="330"/>
        </w:trPr>
        <w:tc>
          <w:tcPr>
            <w:tcW w:w="5860" w:type="dxa"/>
            <w:vAlign w:val="bottom"/>
            <w:gridSpan w:val="2"/>
          </w:tcPr>
          <w:p>
            <w:pPr>
              <w:spacing w:after="0"/>
              <w:rPr>
                <w:sz w:val="20"/>
                <w:szCs w:val="20"/>
                <w:color w:val="auto"/>
              </w:rPr>
            </w:pPr>
            <w:r>
              <w:rPr>
                <w:rFonts w:ascii="Arial" w:cs="Arial" w:eastAsia="Arial" w:hAnsi="Arial"/>
                <w:sz w:val="18"/>
                <w:szCs w:val="18"/>
                <w:color w:val="auto"/>
              </w:rPr>
              <w:t>Cost and operating expenses:</w:t>
            </w:r>
          </w:p>
        </w:tc>
        <w:tc>
          <w:tcPr>
            <w:tcW w:w="18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16,533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18,918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5,928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15,402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Restructuring and impairments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Write-off of advance payment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Amortization of acquisition related intangibles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cost and operating expenses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38,033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44,627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108,714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163,936</w:t>
            </w:r>
          </w:p>
        </w:tc>
        <w:tc>
          <w:tcPr>
            <w:tcW w:w="0" w:type="dxa"/>
            <w:vAlign w:val="bottom"/>
          </w:tcPr>
          <w:p>
            <w:pPr>
              <w:spacing w:after="0"/>
              <w:rPr>
                <w:sz w:val="1"/>
                <w:szCs w:val="1"/>
                <w:color w:val="auto"/>
              </w:rPr>
            </w:pPr>
          </w:p>
        </w:tc>
      </w:tr>
      <w:tr>
        <w:trPr>
          <w:trHeight w:val="20"/>
        </w:trPr>
        <w:tc>
          <w:tcPr>
            <w:tcW w:w="58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8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(20,616)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(26,569)</w:t>
            </w: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(41,714)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(116,020)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derivatives and warrants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(4,553)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(10,191)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0"/>
        </w:trPr>
        <w:tc>
          <w:tcPr>
            <w:tcW w:w="58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86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(20,061)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(26,187)</w:t>
            </w: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(47,043)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(114,475)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58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8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(20,135)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(26,271)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(46,360)</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(115,660)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Basic</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86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52,792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50,933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52,792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50,933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51,966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70"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COMPREHENSIVE (LOSS) INCOME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Three months ended</w:t>
            </w: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8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66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5"/>
              </w:rPr>
              <w:t>$ (20,135)</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9"/>
              </w:rPr>
              <w:t>$ (26,271)</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(46,360)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 (115,660)</w:t>
            </w:r>
          </w:p>
        </w:tc>
        <w:tc>
          <w:tcPr>
            <w:tcW w:w="0" w:type="dxa"/>
            <w:vAlign w:val="bottom"/>
          </w:tcPr>
          <w:p>
            <w:pPr>
              <w:spacing w:after="0"/>
              <w:rPr>
                <w:sz w:val="1"/>
                <w:szCs w:val="1"/>
                <w:color w:val="auto"/>
              </w:rPr>
            </w:pPr>
          </w:p>
        </w:tc>
      </w:tr>
      <w:tr>
        <w:trPr>
          <w:trHeight w:val="323"/>
        </w:trPr>
        <w:tc>
          <w:tcPr>
            <w:tcW w:w="770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gains (losses)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(1,157)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Unrealized losses on investments</w:t>
            </w:r>
          </w:p>
        </w:tc>
        <w:tc>
          <w:tcPr>
            <w:tcW w:w="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(17)</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gridSpan w:val="2"/>
            <w:vMerge w:val="continue"/>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(19,622)</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(27,445)</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(46,575)</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(117,952)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AMERICAN SUPERCONDUCTOR CORPORATION UNAUDITED CONDENSED CONSOLIDATED STATEMENTS OF CASH FLOWS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(46,360)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(115,660)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operations: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10,143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Write-off of advanced payment to The Switch</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Restructuring charges, net of payments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Impairment of long-lived and intangible assets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4,507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excess and obsolete inventory</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Adverse purchase commitment losses (recoveries), net</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(8,428)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minority interest investments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Change in fair value of derivatives and warrants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(6,114)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interest expense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Other non-cash items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1,790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 and liability accounts: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6,085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Inventory</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4,699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(20,330)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280"/>
              <w:spacing w:after="0"/>
              <w:rPr>
                <w:sz w:val="20"/>
                <w:szCs w:val="20"/>
                <w:color w:val="auto"/>
              </w:rPr>
            </w:pPr>
            <w:r>
              <w:rPr>
                <w:rFonts w:ascii="Arial" w:cs="Arial" w:eastAsia="Arial" w:hAnsi="Arial"/>
                <w:sz w:val="18"/>
                <w:szCs w:val="18"/>
                <w:color w:val="auto"/>
              </w:rPr>
              <w:t>Deferred revenue</w:t>
            </w:r>
          </w:p>
        </w:tc>
        <w:tc>
          <w:tcPr>
            <w:tcW w:w="2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(40,691)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(133,274)</w:t>
            </w:r>
          </w:p>
        </w:tc>
        <w:tc>
          <w:tcPr>
            <w:tcW w:w="0" w:type="dxa"/>
            <w:vAlign w:val="bottom"/>
          </w:tcPr>
          <w:p>
            <w:pPr>
              <w:spacing w:after="0"/>
              <w:rPr>
                <w:sz w:val="1"/>
                <w:szCs w:val="1"/>
                <w:color w:val="auto"/>
              </w:rPr>
            </w:pPr>
          </w:p>
        </w:tc>
      </w:tr>
      <w:tr>
        <w:trPr>
          <w:trHeight w:val="330"/>
        </w:trPr>
        <w:tc>
          <w:tcPr>
            <w:tcW w:w="74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property, plant and equipment</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Proceeds from the maturity of marketable securities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5,297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restricted cash</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Purchase of intangible assets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minority investments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Advanced payment for planned acquisition</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other assets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Net cash provided by investing activities</w:t>
            </w:r>
          </w:p>
        </w:tc>
        <w:tc>
          <w:tcPr>
            <w:tcW w:w="2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4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Employee taxes paid related to net settlement of equity awards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 of debt</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Proceeds from the issuance of debt, net of expenses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32,895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exercise of employee stock options and ESPP</w:t>
            </w:r>
          </w:p>
        </w:tc>
        <w:tc>
          <w:tcPr>
            <w:tcW w:w="2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32,262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4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44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(3,822)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(65,178)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46,279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42,457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58,605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4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Cash paid for income taxes, net of refunds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common stock to settle liabilities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10,406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ind w:left="860"/>
              <w:spacing w:after="0"/>
              <w:rPr>
                <w:sz w:val="20"/>
                <w:szCs w:val="20"/>
                <w:color w:val="auto"/>
              </w:rPr>
            </w:pPr>
            <w:r>
              <w:rPr>
                <w:rFonts w:ascii="Arial" w:cs="Arial" w:eastAsia="Arial" w:hAnsi="Arial"/>
                <w:sz w:val="18"/>
                <w:szCs w:val="18"/>
                <w:color w:val="auto"/>
              </w:rPr>
              <w:t>Cash paid for interest expense</w:t>
            </w: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 and Basis of Presentation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American Superconductor Corporation (the “Company” or “AMSC”) was founded on April 9, 1987. The Company is a leading provider of megawatt-scale solutions that lower the cost of wind power and enhance the performance of the power grid. In the wind power market, the Company enables manufacturers to field highly competitive wind turbines through its advanced power electronics products, engineering and support services. In the power grid market, the Company enables electric utilities and renewable energy project developers to connect, transmit and distribute power through its transmission planning services and power electronics and superconductor-based products. The Company’s wind and power grid products and services provide exceptional reliability, security, efficiency and affordability to its customers.</w:t>
      </w:r>
    </w:p>
    <w:p>
      <w:pPr>
        <w:spacing w:after="0" w:line="144"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These unaudited condensed consolidated financial statements of the Company have been prepared in accordance with the Securities and Exchange Commission’s (“SEC”) instructions to Form 10-Q. Certain information and footnote disclosures normally included in the financial statements prepared in accordance with accounting principles generally accepted in the United States (“GAAP”) have been condensed or omitted pursuant to those instructions. The year-end condensed balance sheet data was derived from audited financial statements but does not include all disclosures required by GAAP. The unaudited condensed consolidated financial statements, in the opinion of management, reflect all adjustments (consisting of normal recurring adjustments) necessary for a fair statement of the results for the interim periods ended December 31, 2012 and 2011 and the financial position at December 31, 2012.</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At December 31, 2012, the Company had cash and cash equivalents of $42.5 million. In response to challenging conditions in the wind power market, on November 28, 2012 the Company undertook actions to reduce its global workforce by approximately 25%. In addition, the Company plans to consolidate certain of its office locations. These workforce reductions and planned office consolidations are intended to lower operating costs and enhance liquidity. As of December 31, 2012, the Company had a global workforce of approximately 373 persons.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used $40.7 million in cash for operations during the nine months ended December 31, 2012, compared to $133.3 million during the nine months ended December 31, 2011. The Company expects that its cost reduction efforts will result in a substantial reduction in cash used for operations during the year ending March 31, 2013. The Company plans to closely monitor its expenses and, if required, expects to further reduce operating costs and capital spending to enhance liquidity.</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April 4, 2012, the Company completed a private placement of $25.0 million aggregate principal amount of a 7% senior unsecured convertible note (the “Initial Note”). On June 5, 2012, the Company entered into a Loan and Security Agreement (the “Term Loan”), under which the Company borrowed $10.0 million. On December 20, 2012, the Company agreed to exchange the Initial Note for a new unsecured, senior convertible note (the “Exchanged Note”), which had the same principal amount and accrued interest as the Initial Note at the time of the exchange. See Note 11, “Debt”, for further information regarding these debt arrangements, including the covenants, restrictions and events of default under the agreements. The Company believes that it is in compliance with the covenants and restrictions included in the agreements governing these debt arrangements as of the date of this Quarterly Report on Form 10-Q.</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believes that its available cash, together with additional reductions in operating costs and capital expenditures that it expects to make, if necessary, will be sufficient to fund its operations, capital expenditures and any scheduled cash payments under its debt obligations through December 31, 2013, on the assumption that the Company continues to be able to make installment payments on the Exchanged Note in shares of common stock. The Company’s ability to pay required monthly installment payments under the Exchanged Note in equity instead of cash is based on certain stock price and trading volume conditions that are outside of the Company’s control. If one or both of these equity conditions are not met (absent a waiver from the lender, which has been provided in the past) the Company may be required to make monthly installment payments in cash. As of the date of this report, the Company has only made payments to the lender in shares of common stock. Should a scenario arise that the Company is required to make future scheduled installment payments entirely in cash, then there may not be sufficient available cash to fund operations, capital expenditures and scheduled cash payments under its other debt obligations through December 31, 2013. Further, the Company’s liquidity is highly dependent on its ability to profitably grow revenues through both the acquisition of new customers and growth from its existing customers, fund and maintain compliance with the covenants and restrictions on its debt obligations, and raise additional capital, as required. Potential sources of additional capital include sales of assets and obtaining additional financing (with the agreement of its lenders if required). With respect to sales of assets or additional financing, there can be no assurance that such sales can be completed on acceptable terms or at all or that any financing will be available on commercially acceptable terms or at all.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results of operations for an interim period are not necessarily indicative of the results of operations to be expected for the fiscal year. These unaudited condensed consolidated financial statements should be read in conjunction with the audited consolidated financial statements for the fiscal year ended March 31, 2012 (fiscal 2011) which are contained in the Company’s Annual Report on Form 10-K/A.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Stock-Based Compensation</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accounts for its stock-based compensation at fair value. The following table summarizes stock-based compensation expense by financial statement line item for the three and nine months ended December 31, 2012 and 2011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7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627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1,781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3,669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1,929</w:t>
            </w:r>
          </w:p>
        </w:tc>
        <w:tc>
          <w:tcPr>
            <w:tcW w:w="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2,118</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5,968</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During the nine months ended December 31, 2012, the Company granted approximately 857,000 stock options and awarded 1,758,000 shares of restricted stock shares to employees under the 2007 Stock Incentive Plan. In addition the Company issued 158,000 restricted stock units, each of which represents the right to receive one share of common stock, in connection with a severance agreement entered into with one of our former executive officers, and issued approximately 215,000 immediately vested shares of common stock in-lieu of cash bonuses, to employees under the 2007 Stock Incentive Plan. The Company recorded the issuance of stock in-lieu of cash bonuses as a non-cash issuance of stock to settle liabilities in the unaudited consolidated condensed statement of cash flows. The options granted vest upon the passage of time, generally 3 years. For awards that vest upon the passage of time, expense is being recorded over the vesting period.</w:t>
      </w:r>
    </w:p>
    <w:p>
      <w:pPr>
        <w:spacing w:after="0" w:line="105"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estimated fair value of the Company’s stock-based awards, less expected annual forfeitures, is amortized over the awards’ service period. The total unrecognized compensation cost for unvested outstanding stock options was $4.6 million as of December 31, 2012. This expense will be recognized over a weighted average expense period of approximately 1.9 years. The total unrecognized compensation cost for unvested outstanding restricted stock was $5.5 million as of December 31, 2012. This expense will be recognized over a weighted average expense period of approximately 1.5 years.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weighted-average assumptions used in the Black-Scholes valuation model for stock options granted during the three and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 are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9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2"/>
              </w:rPr>
              <w:t>Three months ended</w:t>
            </w:r>
          </w:p>
        </w:tc>
        <w:tc>
          <w:tcPr>
            <w:tcW w:w="15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3"/>
              </w:rPr>
              <w:t>Nine months ended</w:t>
            </w:r>
          </w:p>
        </w:tc>
      </w:tr>
      <w:tr>
        <w:trPr>
          <w:trHeight w:val="161"/>
        </w:trPr>
        <w:tc>
          <w:tcPr>
            <w:tcW w:w="7040" w:type="dxa"/>
            <w:vAlign w:val="bottom"/>
          </w:tcPr>
          <w:p>
            <w:pPr>
              <w:spacing w:after="0"/>
              <w:rPr>
                <w:sz w:val="14"/>
                <w:szCs w:val="14"/>
                <w:color w:val="auto"/>
              </w:rPr>
            </w:pPr>
          </w:p>
        </w:tc>
        <w:tc>
          <w:tcPr>
            <w:tcW w:w="19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0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72.4%</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79.7%</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Dividend yield</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None</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None</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None</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None</w:t>
            </w:r>
          </w:p>
        </w:tc>
      </w:tr>
    </w:tbl>
    <w:p>
      <w:pPr>
        <w:spacing w:after="0" w:line="147"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The expected volatility rate was estimated based on an equal weighting of the historical volatility of the Company’s common stock and the implied volatility of the Company’s traded options. The expected term was estimated based on an analysis of the Company’s historical experience of exercise, cancellation, and expiration patterns. The risk-free interest rate is based on the average of the five and seven year United States Treasury rates.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Computation of Net (Loss) Income per Common Share</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Basic net (loss) income per share (“EPS”) is computed by dividing net (loss) income by the weighted-average number of common shares outstanding for the period. Where applicable, diluted EPS is computed by dividing the net (loss) income by the weighted-average number of common shares and dilutive common equivalent shares outstanding during the period, calculated using the treasury stock method. Common equivalent shares include the effect of restricted stock, exercise of stock options and warrants, shares issuable on conversion of debt and contingently issuable shares. For both the three and nine months ended December 31, 2012, 11.8 million shares were not included in the calculation of diluted EPS as they were considered anti-dilutive, of which 2.9 million shares relate to outstanding stock options, 3.2 million shares relate to the issuance of warrants, and 5.7 million shares relate to the convertible feature of the Company’s Exchanged Note. For both the three and nine months ended December 31, 2011, 2.4 million shares of common stock underlying outstanding stock options were not included in the calculation of diluted EPS as they were considered anti-dilutive.</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reconciles the numerators and denominators of the earnings per share calculation for the three and nine months ended December 31, 2012 and 2011 (in thousands, except per share data):</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tcPr>
          <w:p>
            <w:pPr>
              <w:jc w:val="right"/>
              <w:ind w:right="700"/>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6"/>
          </w:tcPr>
          <w:p>
            <w:pPr>
              <w:jc w:val="right"/>
              <w:ind w:right="6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(20,135)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(26,271)</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(46,360)</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(115,660)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53,745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51,459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52,558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subject to repurchase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1"/>
        </w:trPr>
        <w:tc>
          <w:tcPr>
            <w:tcW w:w="5420" w:type="dxa"/>
            <w:vAlign w:val="bottom"/>
            <w:gridSpan w:val="2"/>
          </w:tcPr>
          <w:p>
            <w:pPr>
              <w:spacing w:after="0"/>
              <w:rPr>
                <w:sz w:val="20"/>
                <w:szCs w:val="20"/>
                <w:color w:val="auto"/>
              </w:rPr>
            </w:pPr>
            <w:r>
              <w:rPr>
                <w:rFonts w:ascii="Arial" w:cs="Arial" w:eastAsia="Arial" w:hAnsi="Arial"/>
                <w:sz w:val="18"/>
                <w:szCs w:val="18"/>
                <w:color w:val="auto"/>
              </w:rPr>
              <w:t>Shares used in per-share calculation — basic</w:t>
            </w:r>
          </w:p>
        </w:tc>
        <w:tc>
          <w:tcPr>
            <w:tcW w:w="1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52,792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50,933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51,966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 — diluted</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52,792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50,933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51,966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 basic</w:t>
            </w: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20" w:type="dxa"/>
            <w:vAlign w:val="bottom"/>
            <w:gridSpan w:val="2"/>
            <w:vMerge w:val="continue"/>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(0.38)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diluted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January 2010, the Financial Accounting Standards Board (“FASB”) issued guidance related to disclosures of fair value measurements. The guidance requires gross presentation of activity within the Level 3 measurement roll-forward and details of transfers in and out of Level 1 and 2 measurements. It also clarifies two existing disclosure requirements on the level of disaggregation of fair value measurements and disclosures on inputs and valuation techniques. A change in the hierarchy of an investment from its current level will be reflected in the period during which the pricing methodology of such investment changes. Disclosure of the transfer of securities from Level 1 to Level 2 or Level 3 will be made in the event that the related security is significant to total cash and investments. The Company did not have any transfers of assets and liabilities between Level 1, Level 2 and Level 3 of the fair value measurement hierarchy during the three months ended December 31, 2012.</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 valuation hierarchy for disclosure of the inputs to valuation used to measure fair value has been established. This hierarchy prioritizes the inputs into three broad levels as follows:</w:t>
      </w:r>
    </w:p>
    <w:p>
      <w:pPr>
        <w:spacing w:after="0" w:line="166" w:lineRule="exact"/>
        <w:rPr>
          <w:sz w:val="20"/>
          <w:szCs w:val="20"/>
          <w:color w:val="auto"/>
        </w:rPr>
      </w:pPr>
    </w:p>
    <w:p>
      <w:pPr>
        <w:ind w:left="1040" w:hanging="1025"/>
        <w:spacing w:after="0" w:line="268" w:lineRule="auto"/>
        <w:tabs>
          <w:tab w:leader="none" w:pos="102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8"/>
          <w:szCs w:val="18"/>
          <w:color w:val="auto"/>
        </w:rPr>
        <w:t>Inputs are unadjusted quoted prices in active markets for identical assets or liabilities that the Company has the ability to access at the measurement date.</w:t>
      </w:r>
    </w:p>
    <w:p>
      <w:pPr>
        <w:spacing w:after="0" w:line="172" w:lineRule="exact"/>
        <w:rPr>
          <w:sz w:val="20"/>
          <w:szCs w:val="20"/>
          <w:color w:val="auto"/>
        </w:rPr>
      </w:pPr>
    </w:p>
    <w:p>
      <w:pPr>
        <w:ind w:left="1040" w:right="140" w:hanging="1025"/>
        <w:spacing w:after="0" w:line="306" w:lineRule="auto"/>
        <w:tabs>
          <w:tab w:leader="none" w:pos="1020" w:val="left"/>
        </w:tabs>
        <w:rPr>
          <w:sz w:val="20"/>
          <w:szCs w:val="20"/>
          <w:color w:val="auto"/>
        </w:rPr>
      </w:pPr>
      <w:r>
        <w:rPr>
          <w:rFonts w:ascii="Arial" w:cs="Arial" w:eastAsia="Arial" w:hAnsi="Arial"/>
          <w:sz w:val="18"/>
          <w:szCs w:val="18"/>
          <w:b w:val="1"/>
          <w:bCs w:val="1"/>
          <w:color w:val="auto"/>
        </w:rPr>
        <w:t>Level 2 —</w:t>
      </w:r>
      <w:r>
        <w:rPr>
          <w:sz w:val="20"/>
          <w:szCs w:val="20"/>
          <w:color w:val="auto"/>
        </w:rPr>
        <w:tab/>
      </w:r>
      <w:r>
        <w:rPr>
          <w:rFonts w:ascii="Arial" w:cs="Arial" w:eastAsia="Arial" w:hAnsi="Arial"/>
          <w:sz w:val="16"/>
          <w:szCs w:val="16"/>
          <w:color w:val="auto"/>
        </w:rPr>
        <w:t>Inputs include quoted prices for similar assets and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 (market corroborated inputs).</w:t>
      </w:r>
    </w:p>
    <w:p>
      <w:pPr>
        <w:spacing w:after="0" w:line="147" w:lineRule="exact"/>
        <w:rPr>
          <w:sz w:val="20"/>
          <w:szCs w:val="20"/>
          <w:color w:val="auto"/>
        </w:rPr>
      </w:pPr>
    </w:p>
    <w:p>
      <w:pPr>
        <w:ind w:left="1040" w:right="420" w:hanging="1025"/>
        <w:spacing w:after="0" w:line="268" w:lineRule="auto"/>
        <w:tabs>
          <w:tab w:leader="none" w:pos="102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8"/>
          <w:szCs w:val="18"/>
          <w:color w:val="auto"/>
        </w:rPr>
        <w:t>Unobservable inputs that reflect the Company’s assumptions that market participants would use in pricing the asset or liability. The Company develops these inputs based on the best information available, including its own data.</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the assets carried at fair value, measured as of December 31, 2012 and March 31, 2012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Total</w:t>
            </w:r>
          </w:p>
        </w:tc>
        <w:tc>
          <w:tcPr>
            <w:tcW w:w="3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Quoted Prices in</w:t>
            </w:r>
          </w:p>
        </w:tc>
        <w:tc>
          <w:tcPr>
            <w:tcW w:w="360" w:type="dxa"/>
            <w:vAlign w:val="bottom"/>
          </w:tcPr>
          <w:p>
            <w:pPr>
              <w:spacing w:after="0"/>
              <w:rPr>
                <w:sz w:val="14"/>
                <w:szCs w:val="14"/>
                <w:color w:val="auto"/>
              </w:rPr>
            </w:pPr>
          </w:p>
        </w:tc>
        <w:tc>
          <w:tcPr>
            <w:tcW w:w="18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8"/>
              </w:rPr>
              <w:t>Significant Other</w:t>
            </w: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Significant</w:t>
            </w:r>
          </w:p>
        </w:tc>
      </w:tr>
      <w:tr>
        <w:trPr>
          <w:trHeight w:val="149"/>
        </w:trPr>
        <w:tc>
          <w:tcPr>
            <w:tcW w:w="3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Carrying</w:t>
            </w:r>
          </w:p>
        </w:tc>
        <w:tc>
          <w:tcPr>
            <w:tcW w:w="360" w:type="dxa"/>
            <w:vAlign w:val="bottom"/>
          </w:tcPr>
          <w:p>
            <w:pPr>
              <w:spacing w:after="0"/>
              <w:rPr>
                <w:sz w:val="12"/>
                <w:szCs w:val="12"/>
                <w:color w:val="auto"/>
              </w:rPr>
            </w:pPr>
          </w:p>
        </w:tc>
        <w:tc>
          <w:tcPr>
            <w:tcW w:w="13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360" w:type="dxa"/>
            <w:vAlign w:val="bottom"/>
          </w:tcPr>
          <w:p>
            <w:pPr>
              <w:spacing w:after="0"/>
              <w:rPr>
                <w:sz w:val="12"/>
                <w:szCs w:val="12"/>
                <w:color w:val="auto"/>
              </w:rPr>
            </w:pPr>
          </w:p>
        </w:tc>
        <w:tc>
          <w:tcPr>
            <w:tcW w:w="182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Observable Inputs</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Unobservable Inputs</w:t>
            </w:r>
          </w:p>
        </w:tc>
      </w:tr>
      <w:tr>
        <w:trPr>
          <w:trHeight w:val="161"/>
        </w:trPr>
        <w:tc>
          <w:tcPr>
            <w:tcW w:w="3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Value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(Level 1)</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1"/>
              </w:rPr>
              <w:t>(Level 2)</w:t>
            </w: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3)</w:t>
            </w:r>
          </w:p>
        </w:tc>
      </w:tr>
      <w:tr>
        <w:trPr>
          <w:trHeight w:val="196"/>
        </w:trPr>
        <w:tc>
          <w:tcPr>
            <w:tcW w:w="3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31, 2012:</w:t>
            </w:r>
          </w:p>
        </w:tc>
        <w:tc>
          <w:tcPr>
            <w:tcW w:w="9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Assets:</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equivalents</w:t>
            </w:r>
          </w:p>
        </w:tc>
        <w:tc>
          <w:tcPr>
            <w:tcW w:w="1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$23,639</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23,639</w:t>
            </w: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Liabilities:</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liability</w:t>
            </w:r>
          </w:p>
        </w:tc>
        <w:tc>
          <w:tcPr>
            <w:tcW w:w="1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$ 1,024</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8"/>
                <w:szCs w:val="18"/>
                <w:color w:val="auto"/>
              </w:rPr>
            </w:pPr>
          </w:p>
        </w:tc>
      </w:tr>
      <w:tr>
        <w:trPr>
          <w:trHeight w:val="222"/>
        </w:trPr>
        <w:tc>
          <w:tcPr>
            <w:tcW w:w="3440" w:type="dxa"/>
            <w:vAlign w:val="bottom"/>
          </w:tcPr>
          <w:p>
            <w:pPr>
              <w:ind w:left="440"/>
              <w:spacing w:after="0"/>
              <w:rPr>
                <w:sz w:val="20"/>
                <w:szCs w:val="20"/>
                <w:color w:val="auto"/>
              </w:rPr>
            </w:pPr>
            <w:r>
              <w:rPr>
                <w:rFonts w:ascii="Arial" w:cs="Arial" w:eastAsia="Arial" w:hAnsi="Arial"/>
                <w:sz w:val="18"/>
                <w:szCs w:val="18"/>
                <w:color w:val="auto"/>
              </w:rPr>
              <w:t>Warrants</w:t>
            </w:r>
          </w:p>
        </w:tc>
        <w:tc>
          <w:tcPr>
            <w:tcW w:w="1880" w:type="dxa"/>
            <w:vAlign w:val="bottom"/>
            <w:gridSpan w:val="3"/>
          </w:tcPr>
          <w:p>
            <w:pPr>
              <w:jc w:val="right"/>
              <w:ind w:right="360"/>
              <w:spacing w:after="0"/>
              <w:rPr>
                <w:sz w:val="20"/>
                <w:szCs w:val="20"/>
                <w:color w:val="auto"/>
              </w:rPr>
            </w:pPr>
            <w:r>
              <w:rPr>
                <w:rFonts w:ascii="Arial" w:cs="Arial" w:eastAsia="Arial" w:hAnsi="Arial"/>
                <w:sz w:val="18"/>
                <w:szCs w:val="18"/>
                <w:color w:val="auto"/>
              </w:rPr>
              <w:t>4,581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4,581</w:t>
            </w:r>
          </w:p>
        </w:tc>
        <w:tc>
          <w:tcPr>
            <w:tcW w:w="100" w:type="dxa"/>
            <w:vAlign w:val="bottom"/>
          </w:tcPr>
          <w:p>
            <w:pPr>
              <w:spacing w:after="0"/>
              <w:rPr>
                <w:sz w:val="19"/>
                <w:szCs w:val="19"/>
                <w:color w:val="auto"/>
              </w:rPr>
            </w:pPr>
          </w:p>
        </w:tc>
      </w:tr>
      <w:tr>
        <w:trPr>
          <w:trHeight w:val="332"/>
        </w:trPr>
        <w:tc>
          <w:tcPr>
            <w:tcW w:w="3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Total</w:t>
            </w:r>
          </w:p>
        </w:tc>
        <w:tc>
          <w:tcPr>
            <w:tcW w:w="36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Quoted Prices in</w:t>
            </w:r>
          </w:p>
        </w:tc>
        <w:tc>
          <w:tcPr>
            <w:tcW w:w="360" w:type="dxa"/>
            <w:vAlign w:val="bottom"/>
          </w:tcPr>
          <w:p>
            <w:pPr>
              <w:spacing w:after="0"/>
              <w:rPr>
                <w:sz w:val="24"/>
                <w:szCs w:val="24"/>
                <w:color w:val="auto"/>
              </w:rPr>
            </w:pPr>
          </w:p>
        </w:tc>
        <w:tc>
          <w:tcPr>
            <w:tcW w:w="18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8"/>
              </w:rPr>
              <w:t>Significant Other</w:t>
            </w:r>
          </w:p>
        </w:tc>
        <w:tc>
          <w:tcPr>
            <w:tcW w:w="18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Significant</w:t>
            </w:r>
          </w:p>
        </w:tc>
      </w:tr>
      <w:tr>
        <w:trPr>
          <w:trHeight w:val="149"/>
        </w:trPr>
        <w:tc>
          <w:tcPr>
            <w:tcW w:w="3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Carrying</w:t>
            </w:r>
          </w:p>
        </w:tc>
        <w:tc>
          <w:tcPr>
            <w:tcW w:w="360" w:type="dxa"/>
            <w:vAlign w:val="bottom"/>
          </w:tcPr>
          <w:p>
            <w:pPr>
              <w:spacing w:after="0"/>
              <w:rPr>
                <w:sz w:val="12"/>
                <w:szCs w:val="12"/>
                <w:color w:val="auto"/>
              </w:rPr>
            </w:pPr>
          </w:p>
        </w:tc>
        <w:tc>
          <w:tcPr>
            <w:tcW w:w="13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360" w:type="dxa"/>
            <w:vAlign w:val="bottom"/>
          </w:tcPr>
          <w:p>
            <w:pPr>
              <w:spacing w:after="0"/>
              <w:rPr>
                <w:sz w:val="12"/>
                <w:szCs w:val="12"/>
                <w:color w:val="auto"/>
              </w:rPr>
            </w:pPr>
          </w:p>
        </w:tc>
        <w:tc>
          <w:tcPr>
            <w:tcW w:w="182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Observable Inputs</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Unobservable Inputs</w:t>
            </w:r>
          </w:p>
        </w:tc>
      </w:tr>
      <w:tr>
        <w:trPr>
          <w:trHeight w:val="161"/>
        </w:trPr>
        <w:tc>
          <w:tcPr>
            <w:tcW w:w="3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Value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(Level 1)</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1"/>
              </w:rPr>
              <w:t>(Level 2)</w:t>
            </w:r>
          </w:p>
        </w:tc>
        <w:tc>
          <w:tcPr>
            <w:tcW w:w="1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3)</w:t>
            </w:r>
          </w:p>
        </w:tc>
      </w:tr>
      <w:tr>
        <w:trPr>
          <w:trHeight w:val="196"/>
        </w:trPr>
        <w:tc>
          <w:tcPr>
            <w:tcW w:w="3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March 31, 2012:</w:t>
            </w:r>
          </w:p>
        </w:tc>
        <w:tc>
          <w:tcPr>
            <w:tcW w:w="9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Assets:</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equivalents</w:t>
            </w:r>
          </w:p>
        </w:tc>
        <w:tc>
          <w:tcPr>
            <w:tcW w:w="1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$23,485</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23,485</w:t>
            </w: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22"/>
        </w:trPr>
        <w:tc>
          <w:tcPr>
            <w:tcW w:w="3440" w:type="dxa"/>
            <w:vAlign w:val="bottom"/>
          </w:tcPr>
          <w:p>
            <w:pPr>
              <w:ind w:left="440"/>
              <w:spacing w:after="0"/>
              <w:rPr>
                <w:sz w:val="20"/>
                <w:szCs w:val="20"/>
                <w:color w:val="auto"/>
              </w:rPr>
            </w:pPr>
            <w:r>
              <w:rPr>
                <w:rFonts w:ascii="Arial" w:cs="Arial" w:eastAsia="Arial" w:hAnsi="Arial"/>
                <w:sz w:val="18"/>
                <w:szCs w:val="18"/>
                <w:color w:val="auto"/>
              </w:rPr>
              <w:t>Short-term commercial paper</w:t>
            </w:r>
          </w:p>
        </w:tc>
        <w:tc>
          <w:tcPr>
            <w:tcW w:w="1880" w:type="dxa"/>
            <w:vAlign w:val="bottom"/>
            <w:gridSpan w:val="3"/>
          </w:tcPr>
          <w:p>
            <w:pPr>
              <w:jc w:val="right"/>
              <w:ind w:right="360"/>
              <w:spacing w:after="0"/>
              <w:rPr>
                <w:sz w:val="20"/>
                <w:szCs w:val="20"/>
                <w:color w:val="auto"/>
              </w:rPr>
            </w:pPr>
            <w:r>
              <w:rPr>
                <w:rFonts w:ascii="Arial" w:cs="Arial" w:eastAsia="Arial" w:hAnsi="Arial"/>
                <w:sz w:val="18"/>
                <w:szCs w:val="18"/>
                <w:color w:val="auto"/>
              </w:rPr>
              <w:t>5,304</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w w:val="84"/>
              </w:rPr>
              <w:t>5,304</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jc w:val="both"/>
        <w:ind w:right="380" w:firstLine="456"/>
        <w:spacing w:after="0" w:line="268" w:lineRule="auto"/>
        <w:rPr>
          <w:sz w:val="20"/>
          <w:szCs w:val="20"/>
          <w:color w:val="auto"/>
        </w:rPr>
      </w:pPr>
      <w:r>
        <w:rPr>
          <w:rFonts w:ascii="Arial" w:cs="Arial" w:eastAsia="Arial" w:hAnsi="Arial"/>
          <w:sz w:val="18"/>
          <w:szCs w:val="18"/>
          <w:color w:val="auto"/>
        </w:rPr>
        <w:t>The table below reflects the activity for the Company’s major classes of liabilities measured at fair value for the period ended December 31, 2012 (in thousands):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240" w:type="dxa"/>
            <w:vAlign w:val="bottom"/>
            <w:gridSpan w:val="4"/>
          </w:tcPr>
          <w:p>
            <w:pPr>
              <w:ind w:left="1280"/>
              <w:spacing w:after="0"/>
              <w:rPr>
                <w:sz w:val="20"/>
                <w:szCs w:val="20"/>
                <w:color w:val="auto"/>
              </w:rPr>
            </w:pPr>
            <w:r>
              <w:rPr>
                <w:rFonts w:ascii="Arial" w:cs="Arial" w:eastAsia="Arial" w:hAnsi="Arial"/>
                <w:sz w:val="14"/>
                <w:szCs w:val="14"/>
                <w:b w:val="1"/>
                <w:bCs w:val="1"/>
                <w:color w:val="auto"/>
              </w:rPr>
              <w:t>Derivative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Liability</w:t>
            </w:r>
          </w:p>
        </w:tc>
        <w:tc>
          <w:tcPr>
            <w:tcW w:w="980" w:type="dxa"/>
            <w:vAlign w:val="bottom"/>
            <w:gridSpan w:val="4"/>
          </w:tcPr>
          <w:p>
            <w:pPr>
              <w:ind w:left="30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April 1, 2012</w:t>
            </w:r>
          </w:p>
        </w:tc>
        <w:tc>
          <w:tcPr>
            <w:tcW w:w="1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Valuation of original derivative liability</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3,779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Warrant issuance with Senior Convertible Note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Warrant issuance with Senior Secured Term Loan</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Valuation of derivative liability attributable to modification</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Mark to market adjustment</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(3,297)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(2,817)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4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certificates of deposits and money market accounts.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Marketable securities consist primarily of government-backed securities and commercial paper and are measured using such inputs as quoted prices for identical or similar assets in markets that are not active, inputs other than quoted prices that are observable for the asset (for example, interest rates and yield curves observable at commonly quoted intervals), and inputs that are derived principally from or corroborated by observable market data by correlation or other means, and are classified within Level 2 of the</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valuation hierarchy. The Company’s marketable securities generally have maturities of greater than three months from original purchase date but less than twelve months from the date of the balance sheet. The Company determines the appropriate classification of its marketable securities at the time of purchase and re-evaluates such classification as of each balance sheet date. All marketable securities are considered available-for-sale and are carried at fair value. The Company periodically reviews the realizability of each short-term and long-term marketable security when impairment indicators exist with respect to the security. If an other-than-temporary impairment of value of the security exists, the carrying value of the security is written down to its estimated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Liability</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has identified all of the derivatives (“Derivative Liability”) associated with the Exchanged Note which include holder change of control redemption rights, issuer optional redemption rights, sale redemption rights and a feature to convert the Exchanged Note into equity at the holder’s option. The Derivative Liability is subject to revaluation at each balance sheet date, and any change in fair value will be recorded as a change in fair value in other income (expense) until the earlier of its exercise or expiration. The Company relies on assumptions in a lattice model to determine the fair value of Derivative Liability. The Company has appropriately valued the Derivative Liability within Level 3 of the valuation hierarchy. See Note 11, “Debt”, for discussion on the Exchanged Note, Derivative Liability and valuation assumptions used.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Warrants were issued in conjunction with the Initial Note and the Term Loan. See Note 11, “Debt,” for additional information on warrants. These warrants are subject to revaluation at each balance sheet date, and any change in fair value will be recorded as a change in fair value in other income (expense) until the earlier of their exercise or expiration.</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relies on various assumptions to determine the fair value of warrants. The Company has appropriately valued the warrants within Level 3 of the valuation hierarchy. See Note 12, “Warrants and Derivative Liabilities,” for a discussion of the warrants and the valuation assumptions used.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at December 31, 2012 and March 31, 2012 consisted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980" w:type="dxa"/>
            <w:vAlign w:val="bottom"/>
            <w:gridSpan w:val="5"/>
          </w:tcPr>
          <w:p>
            <w:pPr>
              <w:ind w:left="100"/>
              <w:spacing w:after="0"/>
              <w:rPr>
                <w:sz w:val="20"/>
                <w:szCs w:val="20"/>
                <w:color w:val="auto"/>
              </w:rPr>
            </w:pPr>
            <w:r>
              <w:rPr>
                <w:rFonts w:ascii="Arial" w:cs="Arial" w:eastAsia="Arial" w:hAnsi="Arial"/>
                <w:sz w:val="14"/>
                <w:szCs w:val="14"/>
                <w:b w:val="1"/>
                <w:bCs w:val="1"/>
                <w:color w:val="auto"/>
                <w:w w:val="94"/>
              </w:rPr>
              <w:t>December 31,</w:t>
            </w:r>
          </w:p>
        </w:tc>
        <w:tc>
          <w:tcPr>
            <w:tcW w:w="1280" w:type="dxa"/>
            <w:vAlign w:val="bottom"/>
            <w:gridSpan w:val="4"/>
          </w:tcPr>
          <w:p>
            <w:pPr>
              <w:jc w:val="center"/>
              <w:ind w:left="359"/>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Arial" w:cs="Arial" w:eastAsia="Arial" w:hAnsi="Arial"/>
                <w:sz w:val="14"/>
                <w:szCs w:val="14"/>
                <w:b w:val="1"/>
                <w:bCs w:val="1"/>
                <w:color w:val="auto"/>
                <w:w w:val="96"/>
              </w:rPr>
              <w:t>2012</w:t>
            </w:r>
          </w:p>
        </w:tc>
        <w:tc>
          <w:tcPr>
            <w:tcW w:w="80" w:type="dxa"/>
            <w:vAlign w:val="bottom"/>
          </w:tcPr>
          <w:p>
            <w:pPr>
              <w:spacing w:after="0"/>
              <w:rPr>
                <w:sz w:val="14"/>
                <w:szCs w:val="14"/>
                <w:color w:val="auto"/>
              </w:rPr>
            </w:pPr>
          </w:p>
        </w:tc>
        <w:tc>
          <w:tcPr>
            <w:tcW w:w="1160" w:type="dxa"/>
            <w:vAlign w:val="bottom"/>
            <w:gridSpan w:val="2"/>
          </w:tcPr>
          <w:p>
            <w:pPr>
              <w:jc w:val="center"/>
              <w:ind w:left="479"/>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(billed)</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11,424</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$ 16,240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Accounts receivable (unbilled)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914</w:t>
            </w: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2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420" w:type="dxa"/>
            <w:vAlign w:val="bottom"/>
            <w:vMerge w:val="restart"/>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380" w:type="dxa"/>
            <w:vAlign w:val="bottom"/>
          </w:tcPr>
          <w:p>
            <w:pPr>
              <w:spacing w:after="0"/>
              <w:rPr>
                <w:sz w:val="19"/>
                <w:szCs w:val="19"/>
                <w:color w:val="auto"/>
              </w:rPr>
            </w:pPr>
          </w:p>
        </w:tc>
        <w:tc>
          <w:tcPr>
            <w:tcW w:w="6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12,328</w:t>
            </w:r>
          </w:p>
        </w:tc>
        <w:tc>
          <w:tcPr>
            <w:tcW w:w="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$ 18,999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Inventory</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00" w:type="dxa"/>
            <w:vAlign w:val="bottom"/>
            <w:gridSpan w:val="2"/>
          </w:tcPr>
          <w:p>
            <w:pPr>
              <w:ind w:left="460"/>
              <w:spacing w:after="0"/>
              <w:rPr>
                <w:sz w:val="20"/>
                <w:szCs w:val="20"/>
                <w:color w:val="auto"/>
              </w:rPr>
            </w:pPr>
            <w:r>
              <w:rPr>
                <w:rFonts w:ascii="Arial" w:cs="Arial" w:eastAsia="Arial" w:hAnsi="Arial"/>
                <w:sz w:val="18"/>
                <w:szCs w:val="18"/>
                <w:color w:val="auto"/>
                <w:w w:val="89"/>
              </w:rPr>
              <w:t>The components of inventory at December 31, 2012 and March 31, 2012 are as follows (in thousands):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4"/>
          </w:tcPr>
          <w:p>
            <w:pPr>
              <w:ind w:left="80"/>
              <w:spacing w:after="0"/>
              <w:rPr>
                <w:sz w:val="20"/>
                <w:szCs w:val="20"/>
                <w:color w:val="auto"/>
              </w:rPr>
            </w:pPr>
            <w:r>
              <w:rPr>
                <w:rFonts w:ascii="Arial" w:cs="Arial" w:eastAsia="Arial" w:hAnsi="Arial"/>
                <w:sz w:val="14"/>
                <w:szCs w:val="14"/>
                <w:b w:val="1"/>
                <w:bCs w:val="1"/>
                <w:color w:val="auto"/>
                <w:w w:val="85"/>
              </w:rPr>
              <w:t>December 31,</w:t>
            </w:r>
          </w:p>
        </w:tc>
        <w:tc>
          <w:tcPr>
            <w:tcW w:w="600" w:type="dxa"/>
            <w:vAlign w:val="bottom"/>
          </w:tcPr>
          <w:p>
            <w:pPr>
              <w:spacing w:after="0"/>
              <w:rPr>
                <w:sz w:val="24"/>
                <w:szCs w:val="2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96"/>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1160" w:type="dxa"/>
            <w:vAlign w:val="bottom"/>
            <w:gridSpan w:val="2"/>
          </w:tcPr>
          <w:p>
            <w:pPr>
              <w:jc w:val="center"/>
              <w:ind w:left="519"/>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60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$ 9,962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3,576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19,740</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Deferred program costs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2,389</w:t>
            </w:r>
          </w:p>
        </w:tc>
        <w:tc>
          <w:tcPr>
            <w:tcW w:w="60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inventory</w:t>
            </w:r>
          </w:p>
        </w:tc>
        <w:tc>
          <w:tcPr>
            <w:tcW w:w="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36,455</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$ 29,256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the three and nine months ended December 31, 2012, the Company recorded an inventory write-down of approximately $0.5 million and $1.0 million, respectively, based on evaluating its ending inventory on hand for excess quantities and obsolescence.</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Deferred program costs as of December 31, 2012 and March 31, 2012 primarily represent costs incurred on D-VAR turnkey projects and programs accounted for under contract accounting where the Company needs to complete development programs before revenue and costs will be recognized, respectively.</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Prepaid and Other Current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Prepaid and other current assets consisted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660" w:type="dxa"/>
            <w:vAlign w:val="bottom"/>
            <w:gridSpan w:val="3"/>
          </w:tcPr>
          <w:p>
            <w:pPr>
              <w:ind w:left="860"/>
              <w:spacing w:after="0"/>
              <w:rPr>
                <w:sz w:val="20"/>
                <w:szCs w:val="20"/>
                <w:color w:val="auto"/>
              </w:rPr>
            </w:pPr>
            <w:r>
              <w:rPr>
                <w:rFonts w:ascii="Arial" w:cs="Arial" w:eastAsia="Arial" w:hAnsi="Arial"/>
                <w:sz w:val="14"/>
                <w:szCs w:val="14"/>
                <w:b w:val="1"/>
                <w:bCs w:val="1"/>
                <w:color w:val="auto"/>
                <w:w w:val="85"/>
              </w:rPr>
              <w:t>December 31,</w:t>
            </w:r>
          </w:p>
        </w:tc>
        <w:tc>
          <w:tcPr>
            <w:tcW w:w="128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180" w:type="dxa"/>
            <w:vAlign w:val="bottom"/>
            <w:gridSpan w:val="2"/>
          </w:tcPr>
          <w:p>
            <w:pPr>
              <w:jc w:val="center"/>
              <w:ind w:left="498"/>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Non-Trade receivables</w:t>
            </w:r>
          </w:p>
        </w:tc>
        <w:tc>
          <w:tcPr>
            <w:tcW w:w="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5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Prepaid expenses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Prepaid VAT and other taxes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Notes receivable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4,765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120" w:type="dxa"/>
            <w:vAlign w:val="bottom"/>
            <w:gridSpan w:val="2"/>
          </w:tcPr>
          <w:p>
            <w:pPr>
              <w:ind w:left="1380"/>
              <w:spacing w:after="0"/>
              <w:rPr>
                <w:sz w:val="20"/>
                <w:szCs w:val="20"/>
                <w:color w:val="auto"/>
              </w:rPr>
            </w:pPr>
            <w:r>
              <w:rPr>
                <w:rFonts w:ascii="Arial" w:cs="Arial" w:eastAsia="Arial" w:hAnsi="Arial"/>
                <w:sz w:val="18"/>
                <w:szCs w:val="18"/>
                <w:color w:val="auto"/>
              </w:rPr>
              <w:t>Total</w:t>
            </w:r>
          </w:p>
        </w:tc>
        <w:tc>
          <w:tcPr>
            <w:tcW w:w="10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26,735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$ 31,444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Accounts Payable and Accrued Expenses</w:t>
            </w: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1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20" w:type="dxa"/>
            <w:vAlign w:val="bottom"/>
            <w:gridSpan w:val="2"/>
          </w:tcPr>
          <w:p>
            <w:pPr>
              <w:ind w:left="460"/>
              <w:spacing w:after="0"/>
              <w:rPr>
                <w:sz w:val="20"/>
                <w:szCs w:val="20"/>
                <w:color w:val="auto"/>
              </w:rPr>
            </w:pPr>
            <w:r>
              <w:rPr>
                <w:rFonts w:ascii="Arial" w:cs="Arial" w:eastAsia="Arial" w:hAnsi="Arial"/>
                <w:sz w:val="18"/>
                <w:szCs w:val="18"/>
                <w:color w:val="auto"/>
              </w:rPr>
              <w:t>Accounts payable and accrued expenses consisted of the following (in thousands):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660" w:type="dxa"/>
            <w:vAlign w:val="bottom"/>
            <w:gridSpan w:val="3"/>
          </w:tcPr>
          <w:p>
            <w:pPr>
              <w:ind w:left="860"/>
              <w:spacing w:after="0"/>
              <w:rPr>
                <w:sz w:val="20"/>
                <w:szCs w:val="20"/>
                <w:color w:val="auto"/>
              </w:rPr>
            </w:pPr>
            <w:r>
              <w:rPr>
                <w:rFonts w:ascii="Arial" w:cs="Arial" w:eastAsia="Arial" w:hAnsi="Arial"/>
                <w:sz w:val="14"/>
                <w:szCs w:val="14"/>
                <w:b w:val="1"/>
                <w:bCs w:val="1"/>
                <w:color w:val="auto"/>
                <w:w w:val="85"/>
              </w:rPr>
              <w:t>December 31,</w:t>
            </w:r>
          </w:p>
        </w:tc>
        <w:tc>
          <w:tcPr>
            <w:tcW w:w="128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180" w:type="dxa"/>
            <w:vAlign w:val="bottom"/>
            <w:gridSpan w:val="2"/>
          </w:tcPr>
          <w:p>
            <w:pPr>
              <w:jc w:val="center"/>
              <w:ind w:left="498"/>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8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5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$ 8,191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Accrued inventories in-transit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2,712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Accrued miscellaneous expenses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Accrued outside services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Accrued subcontractor program costs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Accrued compensation</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4,208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Accrued warranty</w:t>
            </w: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w:t>
            </w:r>
          </w:p>
        </w:tc>
        <w:tc>
          <w:tcPr>
            <w:tcW w:w="5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generally provides a one to three year warranty on its products, commencing upon installation. A provision is recorded upon revenue recognition to cost of revenues for estimated warranty expense based on historical experience.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warranty activity was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6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5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60" w:type="dxa"/>
            <w:vAlign w:val="bottom"/>
            <w:gridSpan w:val="4"/>
          </w:tcPr>
          <w:p>
            <w:pPr>
              <w:ind w:left="3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5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2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2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$ 4,792</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$ 7,055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$ 5,896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$7,907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Change in accruals for warranties during the period</w:t>
            </w:r>
          </w:p>
        </w:tc>
        <w:tc>
          <w:tcPr>
            <w:tcW w:w="3420" w:type="dxa"/>
            <w:vAlign w:val="bottom"/>
            <w:gridSpan w:val="3"/>
          </w:tcPr>
          <w:p>
            <w:pPr>
              <w:jc w:val="right"/>
              <w:ind w:right="320"/>
              <w:spacing w:after="0"/>
              <w:rPr>
                <w:sz w:val="20"/>
                <w:szCs w:val="20"/>
                <w:color w:val="auto"/>
              </w:rPr>
            </w:pPr>
            <w:r>
              <w:rPr>
                <w:rFonts w:ascii="Arial" w:cs="Arial" w:eastAsia="Arial" w:hAnsi="Arial"/>
                <w:sz w:val="18"/>
                <w:szCs w:val="18"/>
                <w:color w:val="auto"/>
              </w:rPr>
              <w:t>(627)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(1,178)</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during the period</w:t>
            </w:r>
          </w:p>
        </w:tc>
        <w:tc>
          <w:tcPr>
            <w:tcW w:w="2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2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0" w:type="dxa"/>
            <w:vAlign w:val="bottom"/>
            <w:vMerge w:val="continue"/>
          </w:tcPr>
          <w:p>
            <w:pPr>
              <w:spacing w:after="0"/>
              <w:rPr>
                <w:sz w:val="19"/>
                <w:szCs w:val="19"/>
                <w:color w:val="auto"/>
              </w:rPr>
            </w:pPr>
          </w:p>
        </w:tc>
        <w:tc>
          <w:tcPr>
            <w:tcW w:w="2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$ 4,018</w:t>
            </w: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$ 6,273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$ 4,018</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6,273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520" w:type="dxa"/>
            <w:vAlign w:val="bottom"/>
            <w:vMerge w:val="restart"/>
          </w:tcPr>
          <w:p>
            <w:pPr>
              <w:jc w:val="right"/>
              <w:ind w:right="1692"/>
              <w:spacing w:after="0"/>
              <w:rPr>
                <w:sz w:val="20"/>
                <w:szCs w:val="20"/>
                <w:color w:val="auto"/>
              </w:rPr>
            </w:pPr>
            <w:r>
              <w:rPr>
                <w:rFonts w:ascii="Arial" w:cs="Arial" w:eastAsia="Arial" w:hAnsi="Arial"/>
                <w:sz w:val="18"/>
                <w:szCs w:val="18"/>
                <w:color w:val="auto"/>
              </w:rPr>
              <w:t>12</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For the three and nine months ended December 31, 2012, the Company recorded income tax expense of $0.1 million and an income tax benefit of $0.7 million, respectively. For the three and nine months ended December 31, 2011, the Company recorded income tax expense of $0.1 million and $1.2 million, respectively. The income tax expense for the three months ended December 31, 2012, was primarily due to income taxes in foreign jurisdictions. The income tax benefit for the nine months ended December 31, 2012 was primarily due to a refund of income taxes paid in China. The Company has provided a valuation allowance against all existing and newly created deferred tax assets as of December 31, 2012, as it is more likely than not that its deferred tax assets are not currently realizable due to the net operating losses incurred by the Company since its inception.</w:t>
      </w:r>
    </w:p>
    <w:p>
      <w:pPr>
        <w:spacing w:after="0" w:line="195" w:lineRule="exact"/>
        <w:rPr>
          <w:sz w:val="20"/>
          <w:szCs w:val="20"/>
          <w:color w:val="auto"/>
        </w:rPr>
      </w:pPr>
    </w:p>
    <w:p>
      <w:pPr>
        <w:ind w:left="460" w:right="8740" w:hanging="452"/>
        <w:spacing w:after="0" w:line="347" w:lineRule="auto"/>
        <w:tabs>
          <w:tab w:leader="none" w:pos="26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and Impairments </w:t>
      </w:r>
      <w:r>
        <w:rPr>
          <w:rFonts w:ascii="Arial" w:cs="Arial" w:eastAsia="Arial" w:hAnsi="Arial"/>
          <w:sz w:val="18"/>
          <w:szCs w:val="18"/>
          <w:i w:val="1"/>
          <w:iCs w:val="1"/>
          <w:color w:val="auto"/>
        </w:rPr>
        <w:t>Restructuring</w:t>
      </w:r>
    </w:p>
    <w:p>
      <w:pPr>
        <w:spacing w:after="0" w:line="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The Company accounts for charges resulting from operational restructuring actions in accordance with ASC Topic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xml:space="preserve"> (“ASC 420”) and ASC Topic 712, </w:t>
      </w:r>
      <w:r>
        <w:rPr>
          <w:rFonts w:ascii="Arial" w:cs="Arial" w:eastAsia="Arial" w:hAnsi="Arial"/>
          <w:sz w:val="18"/>
          <w:szCs w:val="18"/>
          <w:i w:val="1"/>
          <w:iCs w:val="1"/>
          <w:color w:val="auto"/>
        </w:rPr>
        <w:t>Compensation—Nonretirement Postemployment Benefits</w:t>
      </w:r>
      <w:r>
        <w:rPr>
          <w:rFonts w:ascii="Arial" w:cs="Arial" w:eastAsia="Arial" w:hAnsi="Arial"/>
          <w:sz w:val="18"/>
          <w:szCs w:val="18"/>
          <w:color w:val="auto"/>
        </w:rPr>
        <w:t xml:space="preserve"> (“ASC 712”). In accounting for these obligations, the Company is required to make assumptions related to the amounts of employee severance, benefits, and related costs and the time period over which leased facilities will remain vacant, sublease terms, sublease rates and discount rates. Estimates and assumptions are based on the best information available at the time the obligation arises. These estimates are reviewed and revised as facts and circumstances dictate; changes in these estimates could have a material effect on the amount accrued on the consolidated balance sheet.</w:t>
      </w:r>
    </w:p>
    <w:p>
      <w:pPr>
        <w:spacing w:after="0" w:line="14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During the year ended March 31, 2012, the Company initiated restructuring activities in order to reorganize its global operations, streamline various functions of the business, and reduce its global workforce to better reflect the demand for its products. These activities resulted in the reduction of its global workforce by approximately 50%. During the nine months ended December 31, 2012, the Company initiated further restructuring activities to lower operating costs and enhance liquidity. On November 28, 2012, the Company undertook an action to reduce its global workforce by approximately 25%. As a result, for the three and nine months ended December 31, 2012, the Company incurred restructuring costs of $2.2 million and $2.3 million, respectively. During the three months ended, December 31, 2012, $1.1 million of these additional charges were paid and the remaining balance of accrued restructuring is expected to be paid through December 2013.</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presents restructuring charges and cash payments (in thousands):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551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Accrued restructuring balance at October 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Charges to operations</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Accrued restructuring balance at December 31, 2012</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December 31,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Severance pay</w:t>
            </w:r>
          </w:p>
        </w:tc>
        <w:tc>
          <w:tcPr>
            <w:tcW w:w="22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Facility</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and benefits</w:t>
            </w:r>
          </w:p>
        </w:tc>
        <w:tc>
          <w:tcPr>
            <w:tcW w:w="22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77"/>
              </w:rPr>
              <w:t>exit costs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r>
      <w:tr>
        <w:trPr>
          <w:trHeight w:val="201"/>
        </w:trPr>
        <w:tc>
          <w:tcPr>
            <w:tcW w:w="2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302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302</w:t>
            </w:r>
          </w:p>
        </w:tc>
        <w:tc>
          <w:tcPr>
            <w:tcW w:w="6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2,194</w:t>
            </w:r>
          </w:p>
        </w:tc>
      </w:tr>
      <w:tr>
        <w:trPr>
          <w:trHeight w:val="223"/>
        </w:trPr>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(1,112)</w:t>
            </w:r>
          </w:p>
        </w:tc>
      </w:tr>
      <w:tr>
        <w:trPr>
          <w:trHeight w:val="20"/>
        </w:trPr>
        <w:tc>
          <w:tcPr>
            <w:tcW w:w="2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1,384</w:t>
            </w:r>
          </w:p>
        </w:tc>
        <w:tc>
          <w:tcPr>
            <w:tcW w:w="260" w:type="dxa"/>
            <w:vAlign w:val="bottom"/>
          </w:tcPr>
          <w:p>
            <w:pPr>
              <w:spacing w:after="0"/>
              <w:rPr>
                <w:sz w:val="19"/>
                <w:szCs w:val="19"/>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1,384</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67" w:lineRule="exact"/>
        <w:rPr>
          <w:sz w:val="20"/>
          <w:szCs w:val="20"/>
          <w:color w:val="auto"/>
        </w:rPr>
      </w:pPr>
    </w:p>
    <w:p>
      <w:pPr>
        <w:sectPr>
          <w:pgSz w:w="11900" w:h="16838" w:orient="portrait"/>
          <w:cols w:equalWidth="0" w:num="2">
            <w:col w:w="7680" w:space="720"/>
            <w:col w:w="30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balance at April 1, 2012</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Charges to operations</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2,338</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payments</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(1,928)</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color w:val="auto"/>
              </w:rPr>
              <w:t>Accrued restructuring balance at December 31, 2012</w:t>
            </w: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0" w:type="dxa"/>
            <w:vAlign w:val="bottom"/>
            <w:vMerge w:val="continue"/>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1,384</w:t>
            </w:r>
          </w:p>
        </w:tc>
        <w:tc>
          <w:tcPr>
            <w:tcW w:w="280" w:type="dxa"/>
            <w:vAlign w:val="bottom"/>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1,384</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All restructuring charges discussed above are included within restructuring and impairments in the Company’s unaudited condensed consolidated statements of operations. The Company includes accrued restructuring within accounts payable and accrued expenses in the unaudited condensed consolidated balance sheet.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Impairments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Company periodically evaluates its long-lived assets consisting principally of fixed assets and amortizable intangible assets for potential impairment. In accordance with the applicable accounting guidance for the treatment of long-lived assets, the Company reviews the carrying value of its long-lived assets or asset group that is held and used, including intangible assets subject to amortization, for impairment whenever events and circumstances indicate that the carrying value of the assets may not be recoverable. Under the held and used approach, the asset or asset group to be tested for impairment should represent the lowest level for which identifiable cash flows are largely independent of the cash flows of other groups of assets and liabilities. The Company evaluates its long-lived assets whenever events or circumstances suggest that the carrying amount of an asset or group of assets may not be recoverable from the estimated undiscounted future cash flows.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November 2012, in response to challenging conditions in the wind power market, the Company undertook certain restructuring activities, to reduce costs. Since the restructuring action impacted all of the Company’s operations, the Company concluded that there were indicators of potential impairment of its long-lived assets, and it therefore conducted an assessment of the recoverability of these assets during the three months ended December 31, 2012 by comparing the carrying value of the assets to the pre-tax undiscounted cash flows estimated to be generated by those assets over their remaining useful lives. Based on the calculation performed by management, the sum of the undiscounted cash flows forecasted to be generated by certain assets within its Grid segment and its Wind segment were less than the carrying value of those assets. In addition, the excess undiscounted cash flows generated by all of its reporting units were insufficient to cover the carrying value of its Corporate assets. Therefore, there was an indication that its Corporate reporting unit, Wind segment and certain of its Grid segment assets were impaired and, as a result, the Company performed additional analysis. An evaluation of the level of impairment was made by comparing the implied fair value of those definite long-lived tangible and intangible assets of its Corporate reporting unit, Wind segment and Grid segment against their carrying values.</w:t>
      </w:r>
    </w:p>
    <w:p>
      <w:pPr>
        <w:spacing w:after="0" w:line="12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fair values of the impacted property and equipment were based on what the Company could reasonably expect to sell each asset from the perspective of a market participant. The determination of the fair value of its property and equipment includes estimates and judgments regarding the marketability and ultimate sales price of individual assets. The Company utilized market data and approximations from comparable analyses to arrive at the estimated fair values of the impacted property and equipment. The fair values of amortization intangible assets related to completed technology and trade names were determined using primarily the relief-from-royalty method over the estimated economic lives of those assets from the perspective of a market participant. During the three months ended December 31, 2012, the Company determined that certain of its Corporate assets and Grid segment property, plant and equipment were impaired as their carrying values exceeded their fair values. The Company determined the long-lived assets of its Wind segment were not impaired. Accordingly, the Company recorded an aggregate impairment charge of $4.5 million for the three months ended December 31,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Convertible Notes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April 4, 2012, the Company entered into a Securities Purchase Agreement with Capital Ventures International (“CVI”), an affiliate of Heights Capital Management (the “Purchase Agreement”) and completed a private placement of $25.0 million aggregate principal amount of a 7% unsecured senior convertible note (the “Initial Note”). After fees and expenses, the net proceeds were $23.2 million. The Initial Note had an initial conversion price of $4.85 per share, representing a premium of approximately 20% over AMSC’s closing price on April 3, 2012. The Initial Note was payable in monthly installments beginning four months from issuance and ending on October 4, 2014. Monthly payments were payable in cash or the Company’s common stock at the option of the Company, subject to certain trading volume, stock price and other conditions. CVI could have also elected to defer receipt of monthly installment payments at its option. Any deferred installment payments would have continued to accrue interest. The Company registered 10,262,311 shares of common stock which may be used as payment for principal and interest in lieu of cash for resale under the Securities Act as required under a Registration Rights Agreement with CVI.</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accounted for the Initial Note as an instrument that has the characteristics of a debt host contract containing several embedded derivative features that would require bifurcation and separate accounting as a derivative instrument pursuant to the provisions of ASC 815. The Company elected not to use the fair value option for the aggregate amount of the Exchanged Note and recorded the liability at its stated value on the date of issuance with no changes in fair value reported in subsequent periods.</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has identified the following derivatives associated with the Initial Note: holder change of control redemption rights; issuer optional redemption rights; sale redemption rights and a feature to convert the Initial Note into equity at the holder’s option. The Company valued these derivatives at $3.8 million upon issuance of the Initial Note. See Note 12, “Warrants and Derivative Liabilities”, for additional information regarding derivative liabilities.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conjunction with the Initial Note, CVI received a warrant to purchase approximately 3.1 million additional shares of common stock exercisable at a strike price of $5.45 per share, subject to adjustment, until October 4, 2017. Due to certain adjustment provisions within the warrant, it qualified for liability accounting and had a fair value of $7.0 million upon issuance. The Company recorded the value as a debt discount and a warrant liability. See Note 12, “Warrants and Derivative Liabilities”, for additional information regarding the warrant.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process of valuing financial and derivative instruments utilizes facts and circumstances as of the measurement date as well as certain inputs, assumptions, and judgments that may affect the estimated fair value of the instruments. Upon issuance of the Initial Note, the Company determined the initial carrying value of the Initial Note to be $25.0 million. In addition, the Company also incurred $1.8 million of legal and origination costs as of the nine months ended December 31, 2012, which have been recorded as a discount on the Initial Note.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December 20, 2012, the Company entered into an Amendment and Exchange Agreement, (the “Amendment”) with CVI, which amended the Purchase Agreement. Pursuant to the Amendment, the Company and CVI exchanged the Initial Note for a new unsecured, senior convertible note, (the “Exchanged Note”). At the time of the exchange, the Exchanged Note had the same principal amount and accrued interest as the Initial Notes. The Exchanged Note is convertible into the Company’s common stock and has the same scheduled monthly installment payments as the Initial Note. The Exchanged Note provides the Company with additional flexibility to make monthly installment payments in shares of the Company’s common stock. The Company retains the ability to repay the Exchanged Note in cash. Specifically, the amendments to the Exchanged Note:</w:t>
      </w:r>
    </w:p>
    <w:p>
      <w:pPr>
        <w:spacing w:after="0" w:line="39" w:lineRule="exact"/>
        <w:rPr>
          <w:sz w:val="20"/>
          <w:szCs w:val="20"/>
          <w:color w:val="auto"/>
        </w:rPr>
      </w:pPr>
    </w:p>
    <w:p>
      <w:pPr>
        <w:ind w:left="900" w:right="200" w:hanging="325"/>
        <w:spacing w:after="0" w:line="25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Allow the Company to convert, subject to the satisfaction of certain conditions set forth in the Exchanged Note, (a) at least $2.5 million of the approximately $5.3 million installment amount payable with respect to the January 2013 installment date (including approximately $4.2 million of deferred installment amounts from the period September 4, 2012 to December 3, 2012) into shares of the Company’s common stock, (On December 21, 2012 the Company converted $3.8 million in deferred installment amount principal and interest and issued 1,715,443 shares of common stock), and (b) the balance of the January 2013 installment amount in equal amounts on each of the February and March 2013 installment dates;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 the price failure equity condition with respect to a particular date of determination from $2.50 to $1.00;</w:t>
      </w:r>
    </w:p>
    <w:p>
      <w:pPr>
        <w:spacing w:after="0" w:line="90" w:lineRule="exact"/>
        <w:rPr>
          <w:rFonts w:ascii="Arial" w:cs="Arial" w:eastAsia="Arial" w:hAnsi="Arial"/>
          <w:sz w:val="18"/>
          <w:szCs w:val="18"/>
          <w:color w:val="auto"/>
        </w:rPr>
      </w:pPr>
    </w:p>
    <w:p>
      <w:pPr>
        <w:ind w:left="900" w:hanging="325"/>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Reduce the aggregate daily dollar trading volume equity condition required for at least 25 of the 30 consecutive trading days immediately preceding a date of determination from $1,500,000 to $850,000 per trading day. In addition, if the aggregate daily dollar trading volume is between $50,000 and $850,000, the Company may still convert into common stock a portion of an installment amount payable with respect to an installment date equal to the quotient of (x) the aggregate daily dollar trading volume, divided by (y) $850,000;</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CVI’s beneficial ownership limitation under the Exchanged Note from 4.99% to 9.99%; and</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 the conversion price, from $4.85 per share of the Company’s common stock to $3.19 per share of the Company’s common stock, subject to certain price-based and other anti-dilution adjustments.</w:t>
      </w:r>
    </w:p>
    <w:p>
      <w:pPr>
        <w:spacing w:after="0" w:line="132"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The Company assessed the changes in the Exchanged Note and accounted for it as a modification of the Initial Note. Therefore, the Company determined the incremental value of the derivative instruments as a result of the Exchanged Note having a reduced conversion price. As a result of the re-valuation, the Company recorded a $0.5 million increase in the value of the derivative liability and additional debt discount. At the modification date, the value of the derivative liability was $1.5 million. The total debt discount, including the embedded derivatives in the Initial Note, the incremental value of embedded derivatives in the Exchanged Note, warrant and legal and origination costs of $13.1 million is being amortized into interest expense over the term of the Exchanged Note using the effective interest method. Under this method, interest expense is recognized each period until the debt instruments reach maturity. If the maturity of the Exchanged Note is accelerated because of prepayment, then the amortization will be accelerated. During the three and nine months ended December 31, 2012, the Company recorded non-cash interest expense for amortization of the debt discount related to the convertible notes of $2.2 million and $6.4 million, respectively.</w:t>
      </w:r>
    </w:p>
    <w:p>
      <w:pPr>
        <w:spacing w:after="0" w:line="108"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Provided certain equity conditions are met, the Company may elect to repay principal and interest in shares of the Company’s common stock. If the Company elects to make a payment in shares of the Company’s common stock, the number of shares to be issued is determined by dividing the amount of such payment by 85% of the lesser of the average volume-weighted average price (“VWAP”) of the 10 consecutive days immediately preceding the payment date or the VWAP price on the day preceding the payment date (the “Market Price”). On December 20, 2012 the Company paid approximately $3.8 million in principal and interest by issuing 1,715,443 shares of the Company’s common stock. The Company records the difference between the closing price of its common stock on the day preceding the payment date and the Market Price as a discount on the fair value of its shares. During the three and nine months ended December 31, 2012, the Company recorded $1.5 million of non-cash interest expense related to installment payments made by issuing the Company’s common stock at a discount.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Exchanged Note and Purchase Agreement contains certain covenants and restrictions, including, among others, that for so long as the Exchanged Note is outstanding, the Company will not incur any indebtedness (other than permitted indebtedness under the Exchanged Note), permit liens on its properties (other than permitted liens under the Exchanged Note), make payments on junior securities or declare dividends. The Exchanged Note also contains limitations on the transfer of certain assets. Events of default under the Exchanged Note include failure to pay principal or interest as due on the Exchanged Note, failure to deliver registered shares of common stock upon the holders request for conversion of part or all of the Exchanged Note, failure to maintain the Company’s common stock eligible for trading on defined markets, cross defaults to other material indebtedness, receipt of uninsured judgments against the Company in excess of defined limits and other administrative covenants, including the Term Loan discussed below, as defined in the Exchanged Note and related documentation. Upon an event of default, the holders may require the Company to redeem all or any portion of the outstanding principal amount of the Exchanged Note in cash plus a penalty as specified in the agreement. Also, if the Company fails to maintain an effective registration statement covering common stock to be used in settling obligations under the Exchanged Note, the Company will be required to pay a penalty as specified in the agreement.</w:t>
      </w:r>
    </w:p>
    <w:p>
      <w:pPr>
        <w:spacing w:after="0" w:line="12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on October 4, 2012, the Company had the right to issue an additional $15 million aggregate principal amount of convertible notes and warrant to the same investor, subject to certain conditions. Because the Company did not meet these conditions, it no longer has the right to compel the investor to purchase additional convertible notes on the terms contained in the agreement.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Term Loan</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June 5, 2012, the Company entered into a Term Loan with Hercules Technology Growth Capital, Inc. (“Hercules”), under which the Company borrowed $10.0 million (the “Term Loan”). After the closing fees and expenses, the net proceeds to the Company were $9.7 million. The Term Loan bears an interest rate equal to 11% plus the percentage, if any, by which the prime rate as reported by The Wall Street Journal exceeds 3.75%. The Company made interest-only payments from July 1, 2012 through October 31, 2012, after which the Company repays the loan in equal monthly installments ending on December 1, 2014. The Term Loan is secured by substantially all of the Company’s existing and future assets, including a mortgage on real property owned by the Company’s wholly-owned subsidiary, ASC Devens LLC, and located at 64 Jackson Road, Devens, Massachusetts. In addition, Hercules received a warrant to purchase 139,276 shares of common stock, exercisable at an initial strike price of $3.59 per share, subject to adjustment, until December 5, 2017. Due to certain adjustment provisions within the warrant, it qualified for liability accounting and the fair value of $0.4 million was recorded upon issuance, which the Company recorded as a debt discount and a warrant liability. See Note 12, “Warrants and Derivative Liabilities”, for a discussion on warrants and the valuation assumptions used. The Company will pay an end of term fee of $0.5 million upon the earlier of maturity or prepayment of the loan. The Company has accrued this as of the nine months ended December 31, 2012 and recorded a corresponding amount into the debt discount. In addition, the Company incurred $0.3 million of legal and origination costs in the nine months ended December 31, 2012, which have been recorded as a debt discount. The total debt discount including the warrant, end of term fee and legal and origination costs of $1.2 million is being amortized into interest expense over the term of the Term Loan using the effective interest method. Under this method, interest expense is recognized each period until the debt instrument reaches maturity. If the maturity of the Term Loan is accelerated because of prepayment, then the amortization will be accelerated. During the three and nine months ended December 31, 2012, the Company recorded non-cash interest expense for amortization of the debt discount related to the Term Loan of $0.2 million and $0.5 million, respectively.</w:t>
      </w:r>
    </w:p>
    <w:p>
      <w:pPr>
        <w:spacing w:after="0" w:line="124"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The Term Loan contains certain covenants that restrict the Company’s ability to, among other things, incur or assume certain debt, merge or consolidate, materially change the nature of our business, make certain investments, acquire or dispose of certain assets, make guaranties or grant liens on its assets, make certain loans, advances or investments, declare dividends or make distributions or enter into transactions with affiliates. In addition, the Term Loan contains a covenant that requires the Company to maintain a minimum unrestricted cash balance in the United States of at least $10.0 million at the inception of the Term Loan, which decreased starting November 1, 2012 and monthly thereafter by the amount of principal paid. The events of default under the Term Loan include, but are not limited to, failure to pay amounts due, breaches of covenants, bankruptcy events, cross defaults under other material indebtedness and the occurrence of a material adverse effect and/or change in control. In the case of a continuing event of default, the Lender may, among other remedies, declare due all unpaid principal amounts outstanding and any accrued but unpaid interest and foreclose on all collateral granted to the Lender as security under the Term Loan.</w:t>
      </w:r>
    </w:p>
    <w:p>
      <w:pPr>
        <w:spacing w:after="0" w:line="10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Although the Company believes it is in and expects to remain in compliance with the covenants and restrictions under the Exchanged Notes and Term Loan as of the date of this Quarterly Report on Form 10-Q, and expects to remain in compliance there can be no assurance that the Company will continue to be in compliance.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Interest expense on the convertible notes and Term Loan for the three and nine months ended December 31, 2012 was $4.6 million and $10.3 million respectively, which included $3.9 million and $8.4 million of non-cash interest expense related to the amortization of the debt discount on the Exchanged Note and Term Loan and payment of the Exchanged Notes in Company common stock at a discount,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Warrants and Derivative Liabilities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April 4, 2012, the Company entered into a Purchase Agreement for the Initial Note and on December 20, 2012, the Company entered into the Amendment pursuant to which it exchanged the Initial Note and exchanged the Initial Note for the Exchanged Note, as described in Note 11. The Initial Note included a warrant to purchase 3.1 million shares of the Company’s common stock. The warrant is exercisable at any time on or after the date that is six months after the issuance of the warrant and entitles CVI to purchase shares of the Company’s common stock for a period of five years from the initial date the warrant becomes exercisable at a price equal to $5.45 per share, subject to certain price-based and other anti-dilution adjustments. The warrant may not be exercised if, after giving effect to the conversion, CVI together with its affiliates would beneficially own in excess of 4.99% of the Company’s common stock. This percentage may be raised to any other percentage not in excess of 9.99% at the option of CVI, upon at least 61-days’ prior notice to the Company, or lowered to any other percentage, at the option of CVI, at any time.</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accounts for the warrant as a liability due to certain adjustment provisions within the warrant, which requires that it be recorded at fair value. The warrant is subject to revaluation at each balance sheet date and any change in fair value will be recorded as a change in fair value in other income (expense) until the earlier of expiration or its exercise at which time the warrant liability will be reclassified to equity. Following is a summary of the key assumptions used to calculate the fair value of the warrant:</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December 31,</w:t>
            </w:r>
          </w:p>
        </w:tc>
        <w:tc>
          <w:tcPr>
            <w:tcW w:w="24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14"/>
                <w:szCs w:val="14"/>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June 30,</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April 4,</w:t>
            </w:r>
          </w:p>
        </w:tc>
      </w:tr>
      <w:tr>
        <w:trPr>
          <w:trHeight w:val="161"/>
        </w:trPr>
        <w:tc>
          <w:tcPr>
            <w:tcW w:w="49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6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0.75%</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0.63%</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0.77%</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0.0%</w:t>
            </w:r>
          </w:p>
        </w:tc>
        <w:tc>
          <w:tcPr>
            <w:tcW w:w="1740" w:type="dxa"/>
            <w:vAlign w:val="bottom"/>
            <w:gridSpan w:val="3"/>
          </w:tcPr>
          <w:p>
            <w:pPr>
              <w:jc w:val="right"/>
              <w:ind w:right="480"/>
              <w:spacing w:after="0"/>
              <w:rPr>
                <w:sz w:val="20"/>
                <w:szCs w:val="20"/>
                <w:color w:val="auto"/>
              </w:rPr>
            </w:pPr>
            <w:r>
              <w:rPr>
                <w:rFonts w:ascii="Arial" w:cs="Arial" w:eastAsia="Arial" w:hAnsi="Arial"/>
                <w:sz w:val="18"/>
                <w:szCs w:val="18"/>
                <w:color w:val="auto"/>
              </w:rPr>
              <w:t>0.0%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80.6%</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80.9%</w:t>
            </w:r>
          </w:p>
        </w:tc>
        <w:tc>
          <w:tcPr>
            <w:tcW w:w="17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80.8%</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Term (years)</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4.76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380" w:type="dxa"/>
            <w:vAlign w:val="bottom"/>
          </w:tcPr>
          <w:p>
            <w:pPr>
              <w:spacing w:after="0"/>
              <w:rPr>
                <w:sz w:val="18"/>
                <w:szCs w:val="18"/>
                <w:color w:val="auto"/>
              </w:rPr>
            </w:pP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5.28</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2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$ 4.4 million</w:t>
            </w:r>
          </w:p>
        </w:tc>
        <w:tc>
          <w:tcPr>
            <w:tcW w:w="150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1"/>
              </w:rPr>
              <w:t>$ 7.1 million</w:t>
            </w:r>
          </w:p>
        </w:tc>
        <w:tc>
          <w:tcPr>
            <w:tcW w:w="174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1"/>
              </w:rPr>
              <w:t>$ 8.6 million</w:t>
            </w:r>
          </w:p>
        </w:tc>
        <w:tc>
          <w:tcPr>
            <w:tcW w:w="10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$ 7.0 million</w:t>
            </w:r>
          </w:p>
        </w:tc>
      </w:tr>
    </w:tbl>
    <w:p>
      <w:pPr>
        <w:spacing w:after="0" w:line="15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recorded a gain for the change in the fair value of the CVI warrant of $2.7 million and $2.6 million to change in fair value of derivatives and warrants in the three and nine months ended December 31, 2012, respectively.</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 determined certain embedded derivatives issued with the convertible notes required accounting as a liability, which requires they be accounted for as a standalone liability subject to revaluation at each balance sheet date with changes in fair value recorded as change in fair value of derivatives and warrants until the earlier of exercise or expiration.</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terms of the debt modification reduced the conversion price of the Initial Note from $4.85 per share to $3.19 per share in the Exchanged Note. As a result the Company revalued these derivatives pre- and post-modification and recorded the difference of $0.5 million as a debt discount and a derivative liability (see Note 11, “Debt”). The Company calculated the fair value of the derivative liabilities utilizing an integrated lattice model. The lattice model is an option pricing model that involves the construction of a binomial tree to show the different paths that the underlying asset may take over the option’s life. A lattice model can take into account expected changes in various parameters such as volatility over the life of the options, providing more accurate estimates of option prices than the Black-Scholes model. Following is a summary of the key assumptions used to value the convertible notes derivative feature: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Pre-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3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86"/>
              </w:rPr>
              <w:t>Post-modification</w:t>
            </w:r>
          </w:p>
        </w:tc>
        <w:tc>
          <w:tcPr>
            <w:tcW w:w="12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modification</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3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December 20,</w:t>
            </w:r>
          </w:p>
        </w:tc>
        <w:tc>
          <w:tcPr>
            <w:tcW w:w="12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December 20,</w:t>
            </w:r>
          </w:p>
        </w:tc>
        <w:tc>
          <w:tcPr>
            <w:tcW w:w="12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9"/>
              </w:rPr>
              <w:t>June 30,</w:t>
            </w:r>
          </w:p>
        </w:tc>
        <w:tc>
          <w:tcPr>
            <w:tcW w:w="10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April 4,</w:t>
            </w:r>
          </w:p>
        </w:tc>
      </w:tr>
      <w:tr>
        <w:trPr>
          <w:trHeight w:val="161"/>
        </w:trPr>
        <w:tc>
          <w:tcPr>
            <w:tcW w:w="31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Price</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2.62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2.95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Percentage Volume Condition Met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85.9%</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Risk Free Rate</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0.44%</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Bond Yield</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Recovery Rate</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Redeemable</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yes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yes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yes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yes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yes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yes</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Total Time (years)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w w:val="79"/>
              </w:rPr>
              <w:t>1.76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480"/>
              <w:spacing w:after="0"/>
              <w:rPr>
                <w:sz w:val="20"/>
                <w:szCs w:val="20"/>
                <w:color w:val="auto"/>
              </w:rPr>
            </w:pPr>
            <w:r>
              <w:rPr>
                <w:rFonts w:ascii="Arial" w:cs="Arial" w:eastAsia="Arial" w:hAnsi="Arial"/>
                <w:sz w:val="18"/>
                <w:szCs w:val="18"/>
                <w:color w:val="auto"/>
                <w:w w:val="79"/>
              </w:rPr>
              <w:t>1.79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Dilution Effect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yes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yes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yes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yes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yes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yes</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Indicated Percent of Par</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119.0%</w:t>
            </w:r>
          </w:p>
        </w:tc>
        <w:tc>
          <w:tcPr>
            <w:tcW w:w="8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117.0%</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1.0 million</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 million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0.9 million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2.8 million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4.5 million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3.8 million</w:t>
            </w:r>
          </w:p>
        </w:tc>
      </w:tr>
      <w:tr>
        <w:trPr>
          <w:trHeight w:val="363"/>
        </w:trPr>
        <w:tc>
          <w:tcPr>
            <w:tcW w:w="3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15"/>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Based on historical volume-weighted average price, (“VWAP”) of the Company’s common stock as well as the historic average dollar trading volume of the Company’s common stock, the percentage volume condition is the probability that the Company will convert monthly installment payments into the Company’s common stock. The expected volatility rate was estimated based on an equal weighting of the historical volatility of the Company’s common stock and the implied volatility of the Company’s traded options. To determine the risk-free interest rate, an interpolated rate was used based on the one, two and three-year United States Treasury rates. The bond yield was estimated using comparable corporate debt and yield information. The recovery rate of the Exchanged Note was estimated by reviewing historical corporate debt that went into default. The bond is redeemable by the Company at any point after the one-year anniversary of the grant date provided certain provisions within the note. The total time is based on the actual 30-month contractual terms. It was determined that there is a dilution effect based on the Company’s ability to make payments in shares of common stock.</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recorded a gain from the change in the fair value of the derivative liabilities of $2.3 million and $3.3 million to changes in fair value of derivatives and warrants in the three and nine months ended December 31, 2012, respectively.</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June 5, 2012, the Company entered into a Loan and Security Agreement with Hercules (see Note 11, “Debt”, for additional information regarding the Loan and Security Agreement). In conjunction with this agreement, the Company issued a warrant to purchase 139,276 shares of the Company’s common stock. The warrant is exercisable at any time after the issuance of the warrant and expires on December 5, 2017, at a price equal to $3.59 per share subject to certain price-based and other anti-dilution adjustments.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accounts for the warrant as a liability due to certain provisions within the warrant, which requires that it be recorded at fair value. The warrant is subject to revaluation at each balance sheet date and any change in fair value will be recorded as changes in fair value of derivatives and warrants until the earlier of expiration or its exercise at which time the warrant liability will be reclassified to equity. Following is a summary of the key assumptions used to calculate the fair value of the warrant:</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December 31,</w:t>
            </w:r>
          </w:p>
        </w:tc>
        <w:tc>
          <w:tcPr>
            <w:tcW w:w="24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14"/>
                <w:szCs w:val="14"/>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June 30,</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June 5,</w:t>
            </w:r>
          </w:p>
        </w:tc>
      </w:tr>
      <w:tr>
        <w:trPr>
          <w:trHeight w:val="161"/>
        </w:trPr>
        <w:tc>
          <w:tcPr>
            <w:tcW w:w="49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6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0.75%</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0.64%</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0.80%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0.0%</w:t>
            </w:r>
          </w:p>
        </w:tc>
        <w:tc>
          <w:tcPr>
            <w:tcW w:w="1740" w:type="dxa"/>
            <w:vAlign w:val="bottom"/>
            <w:gridSpan w:val="3"/>
          </w:tcPr>
          <w:p>
            <w:pPr>
              <w:jc w:val="right"/>
              <w:ind w:right="480"/>
              <w:spacing w:after="0"/>
              <w:rPr>
                <w:sz w:val="20"/>
                <w:szCs w:val="20"/>
                <w:color w:val="auto"/>
              </w:rPr>
            </w:pPr>
            <w:r>
              <w:rPr>
                <w:rFonts w:ascii="Arial" w:cs="Arial" w:eastAsia="Arial" w:hAnsi="Arial"/>
                <w:sz w:val="18"/>
                <w:szCs w:val="18"/>
                <w:color w:val="auto"/>
              </w:rPr>
              <w:t>0.0%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80.14%</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81.18%</w:t>
            </w:r>
          </w:p>
        </w:tc>
        <w:tc>
          <w:tcPr>
            <w:tcW w:w="17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80.32%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79.90%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Term (years)</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4.93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5.18</w:t>
            </w:r>
          </w:p>
        </w:tc>
        <w:tc>
          <w:tcPr>
            <w:tcW w:w="380" w:type="dxa"/>
            <w:vAlign w:val="bottom"/>
          </w:tcPr>
          <w:p>
            <w:pPr>
              <w:spacing w:after="0"/>
              <w:rPr>
                <w:sz w:val="18"/>
                <w:szCs w:val="18"/>
                <w:color w:val="auto"/>
              </w:rPr>
            </w:pP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5.44</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2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$ 0.2 million</w:t>
            </w:r>
          </w:p>
        </w:tc>
        <w:tc>
          <w:tcPr>
            <w:tcW w:w="150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1"/>
              </w:rPr>
              <w:t>$ 0.4 million</w:t>
            </w:r>
          </w:p>
        </w:tc>
        <w:tc>
          <w:tcPr>
            <w:tcW w:w="174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1"/>
              </w:rPr>
              <w:t>$ 0.5 million</w:t>
            </w:r>
          </w:p>
        </w:tc>
        <w:tc>
          <w:tcPr>
            <w:tcW w:w="10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$ 0.4 million</w:t>
            </w:r>
          </w:p>
        </w:tc>
      </w:tr>
    </w:tbl>
    <w:p>
      <w:pPr>
        <w:spacing w:after="0" w:line="15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prepared its estimates for the assumptions used to determine the fair value of the warrants issued in conjunction with both the Convertible Note and Term Loan utilizing the respective terms of the warrants with similar inputs, as described above.</w:t>
      </w:r>
    </w:p>
    <w:p>
      <w:pPr>
        <w:spacing w:after="0" w:line="132"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Company recorded a gain from the change in the fair value of the Hercules warrant of $0.2 million during the three and nine months ended December 31, 2012.</w:t>
      </w:r>
    </w:p>
    <w:p>
      <w:pPr>
        <w:spacing w:after="0" w:line="207" w:lineRule="exact"/>
        <w:rPr>
          <w:sz w:val="20"/>
          <w:szCs w:val="20"/>
          <w:color w:val="auto"/>
        </w:rPr>
      </w:pPr>
    </w:p>
    <w:p>
      <w:pPr>
        <w:ind w:left="240" w:right="8660" w:hanging="232"/>
        <w:spacing w:after="0" w:line="347" w:lineRule="auto"/>
        <w:tabs>
          <w:tab w:leader="none" w:pos="27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Commitments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Purchase Commitments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enters into non-cancelable purchase contracts in order to ensure the availability of materials to support production of its products. Purchase commitments represent enforceable and legally binding agreements with suppliers to purchase goods or services. The Company periodically assesses the need to provide for impairment on these purchase contracts and record a loss on purchase commitments when required. As of December 31, 2012, the Company recorded a liability for adverse purchase commitments of $1.8 million. During the three and nine months ended December 31, 2012, the Company reduced its accrual for adverse purchase commitments by $10.3 million and $24.1 million, respectively due to settlements with and payments to certain vendors.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On May 16, 2012, the Company entered into an agreement with one of its vendors to settle certain of its adverse purchase commitments. The agreement was amended on November 6, 2012 (as amended, the “Settlement Agreement”). In conjunction with the Settlement Agreement, the Company agreed to pay the vendor approximately €2.2 million (the “Settlement Amount”). Under the Settlement Agreement, the Company had the option, at its sole discretion, to pay the settlement amount in cash, shares of the Company’s common stock, or a combination of cash and common stock. Accordingly, during the three months ended December 31, 2012, the Company issued 765,301 shares of common stock to the vendor and filed a registration statement on Form S-3 to register the vendor’s resale of such shares of common stock. If the net proceeds from the vendor’s resale of the shares of common stock during a specified period plus any other cash payments made by the Company subsequent to the date of the Settlement Agreement were less than the Settlement Amount, the Company agreed to make an additional payment equal to the shortfall in cash to the vendor no later than December 31, 2012. As of December 31, 2012 the Company made a payment of $0.8 million as a result of such a shortfall. As security for the Company’s obligations under the Settlement Agreement, the Company provided the vendor with a letter of credit in the amount of approximately €2.2 million with an expiration of December 31, 2012. The letter of credit is secured with cash collateral of approximately $3.0 million and is included in the Company’s restricted cash balance as of December 31, 2012. As of December 31, 2012, the Company had not been formally released from the letter of credit. The Company received that release in January 2013.</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fourth quarter of the year ended March 31, 2012, several vendors notified the Company that they had suffered losses as a result of procuring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safety stock in anticipation of receiving future purchase orders or contracts from the Company. Subsequently three vendors filed lawsuits through the Chinese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legal system seeking payment for inventories held to be delivered under purchase orders and safety stock. One of these lawsuits has been settled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dismissed. The Company has accrued outstanding adverse purchase commitments based on legally binding contracts and purchase orders that were placed with its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vendors for parts with no future demand. The vendor claims for safety stock were not supported by valid purchase orders or valid executed contracts and are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considered part of the adverse purchase commitment liability. The claims for safety stock have not been accrued as of December 31, 2012. The Company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that, although it believes that there is no legally enforceable contract for safety stock and will continue to defend its legal position that it does not owe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for safety stock, it is reasonably possible that a case may be made against the Company under certain situations. As the loss is reasonably possible but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probable, the Company has not accounted for the loss. The Company has determined that the range for this potential loss is between $0 and $2 million.</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If the loss is not probable or cannot be reasonably estimated, a liability is not recorded in its consolidated financial statements.</w:t>
      </w:r>
    </w:p>
    <w:p>
      <w:pPr>
        <w:spacing w:after="0" w:line="11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Between April 6, 2011 and May 12, 2011, seven putative securities class action complaints were filed against the Company and two of its officers in the United States District Court for the District of Massachusetts; one complaint additionally asserted claims against the underwriters who participated in our November 12, 2010 securities offering. On June 7, 2011, the United States District Court for the District of Massachusetts consolidated these actions under the caption </w:t>
      </w:r>
      <w:r>
        <w:rPr>
          <w:rFonts w:ascii="Arial" w:cs="Arial" w:eastAsia="Arial" w:hAnsi="Arial"/>
          <w:sz w:val="16"/>
          <w:szCs w:val="16"/>
          <w:i w:val="1"/>
          <w:iCs w:val="1"/>
          <w:color w:val="auto"/>
        </w:rPr>
        <w:t>Lenartz v. American Superconductor Corporation, et al.</w:t>
      </w:r>
      <w:r>
        <w:rPr>
          <w:rFonts w:ascii="Arial" w:cs="Arial" w:eastAsia="Arial" w:hAnsi="Arial"/>
          <w:sz w:val="16"/>
          <w:szCs w:val="16"/>
          <w:color w:val="auto"/>
        </w:rPr>
        <w:t>, Docket No. 1:11-cv-10582-WGY. On August 31, 2011, Lead Plaintiff, the Plumbers and Pipefitters National Pension Fund, filed a consolidated amended complaint against the Company, its officers and directors, and the underwriters who participated in our November 12, 2010 securities offering, asserting claims under sections 10(b) and 20(a) of the Securities Exchange Act of 1934 and Rule 10b-5 promulgated under the Securities Exchange Act of 1934 (the “Exchange Act”), as well as under sections 11, 12(a)(2) and 15 of the Securities Act of 1933 (the “Securities Act”). The complaint alleges that during the relevant class period, the Company and its officers omitted to state material facts and made materially false and misleading statements relating to, among other things, its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projected and recognized revenues and earnings, as well as its relationship with Sinovel Wind Group Co., Ltd. that artificially inflated the value of the Company’s stock price. The complaint further alleges that the Company’s November 12, 2010 securities offering contained untrue statements of material facts and omitted to state material facts required to be stated therein. The plaintiffs seek unspecified damages, rescindment of the Company’s November 12, 2010 securities offering, and an award of costs and expenses, including attorney’s fees. All defendants moved to dismiss the consolidated amended complaint. On December 16, 2011, the district court issued a summary order declining to dismiss the Securities Act claims against the Company and its officers, and taking under advisement the motion to dismiss the Exchange Act claims against the Company and its officers and the motion to dismiss the Securities Act claims made against the underwriters. On July 26, 2012, the district court dismissed the Exchange Act claims against the Company and its officers and denied the motion to dismiss the Securities Act claims made against the underwriters.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Between May 4, 2011 and June 17, 2011, four putative shareholder derivative complaints were filed against the Company (as a nominal defendant) and certain of its directors in the United States District Court for the District of Massachusetts. On July 5, 2011, the District Court consolidated three of these actions, and that matter is now captioned </w:t>
      </w:r>
      <w:r>
        <w:rPr>
          <w:rFonts w:ascii="Arial" w:cs="Arial" w:eastAsia="Arial" w:hAnsi="Arial"/>
          <w:sz w:val="16"/>
          <w:szCs w:val="16"/>
          <w:i w:val="1"/>
          <w:iCs w:val="1"/>
          <w:color w:val="auto"/>
        </w:rPr>
        <w:t>In re American Superconductor Corporation Derivative Litigation</w:t>
      </w:r>
      <w:r>
        <w:rPr>
          <w:rFonts w:ascii="Arial" w:cs="Arial" w:eastAsia="Arial" w:hAnsi="Arial"/>
          <w:sz w:val="16"/>
          <w:szCs w:val="16"/>
          <w:color w:val="auto"/>
        </w:rPr>
        <w:t xml:space="preserve">, Docket No. 1:11-cv-10784-WGY. On June 1, 2011, the plaintiff in the fourth action, </w:t>
      </w:r>
      <w:r>
        <w:rPr>
          <w:rFonts w:ascii="Arial" w:cs="Arial" w:eastAsia="Arial" w:hAnsi="Arial"/>
          <w:sz w:val="16"/>
          <w:szCs w:val="16"/>
          <w:i w:val="1"/>
          <w:iCs w:val="1"/>
          <w:color w:val="auto"/>
        </w:rPr>
        <w:t>Marlborough Family Revocable Trust v. Yurek, et al.</w:t>
      </w:r>
      <w:r>
        <w:rPr>
          <w:rFonts w:ascii="Arial" w:cs="Arial" w:eastAsia="Arial" w:hAnsi="Arial"/>
          <w:sz w:val="16"/>
          <w:szCs w:val="16"/>
          <w:color w:val="auto"/>
        </w:rPr>
        <w:t xml:space="preserve">, moved to voluntarily dismiss its complaint and refiled its complaint in Superior Court for the Commonwealth of Massachusetts, Middlesex County. On September 7, 2011, the </w:t>
      </w:r>
      <w:r>
        <w:rPr>
          <w:rFonts w:ascii="Arial" w:cs="Arial" w:eastAsia="Arial" w:hAnsi="Arial"/>
          <w:sz w:val="16"/>
          <w:szCs w:val="16"/>
          <w:i w:val="1"/>
          <w:iCs w:val="1"/>
          <w:color w:val="auto"/>
        </w:rPr>
        <w:t>Marlborough</w:t>
      </w:r>
      <w:r>
        <w:rPr>
          <w:rFonts w:ascii="Arial" w:cs="Arial" w:eastAsia="Arial" w:hAnsi="Arial"/>
          <w:sz w:val="16"/>
          <w:szCs w:val="16"/>
          <w:color w:val="auto"/>
        </w:rPr>
        <w:t xml:space="preserve"> action and another putative shareholder derivative complaint filed in Superior Court for the Commonwealth of Massachusetts were consolidated. That consolidated matter is captioned </w:t>
      </w:r>
      <w:r>
        <w:rPr>
          <w:rFonts w:ascii="Arial" w:cs="Arial" w:eastAsia="Arial" w:hAnsi="Arial"/>
          <w:sz w:val="16"/>
          <w:szCs w:val="16"/>
          <w:i w:val="1"/>
          <w:iCs w:val="1"/>
          <w:color w:val="auto"/>
        </w:rPr>
        <w:t>In re American</w:t>
      </w:r>
      <w:r>
        <w:rPr>
          <w:rFonts w:ascii="Arial" w:cs="Arial" w:eastAsia="Arial" w:hAnsi="Arial"/>
          <w:sz w:val="16"/>
          <w:szCs w:val="16"/>
          <w:color w:val="auto"/>
        </w:rPr>
        <w:t xml:space="preserve"> </w:t>
      </w:r>
      <w:r>
        <w:rPr>
          <w:rFonts w:ascii="Arial" w:cs="Arial" w:eastAsia="Arial" w:hAnsi="Arial"/>
          <w:sz w:val="16"/>
          <w:szCs w:val="16"/>
          <w:i w:val="1"/>
          <w:iCs w:val="1"/>
          <w:color w:val="auto"/>
        </w:rPr>
        <w:t>Superconductor Corporation Shareholder Derivative Litigation</w:t>
      </w:r>
      <w:r>
        <w:rPr>
          <w:rFonts w:ascii="Arial" w:cs="Arial" w:eastAsia="Arial" w:hAnsi="Arial"/>
          <w:sz w:val="16"/>
          <w:szCs w:val="16"/>
          <w:color w:val="auto"/>
        </w:rPr>
        <w:t>, Docket No. 11-1961. On January 12, 2012, an additional shareholder derivative complaint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filed in the Court of Chancery for the State of Delaware. That matter is captioned </w:t>
      </w:r>
      <w:r>
        <w:rPr>
          <w:rFonts w:ascii="Arial" w:cs="Arial" w:eastAsia="Arial" w:hAnsi="Arial"/>
          <w:sz w:val="16"/>
          <w:szCs w:val="16"/>
          <w:i w:val="1"/>
          <w:iCs w:val="1"/>
          <w:color w:val="auto"/>
        </w:rPr>
        <w:t>Krasnoff v. Budhraja, et al.</w:t>
      </w:r>
      <w:r>
        <w:rPr>
          <w:rFonts w:ascii="Arial" w:cs="Arial" w:eastAsia="Arial" w:hAnsi="Arial"/>
          <w:sz w:val="16"/>
          <w:szCs w:val="16"/>
          <w:color w:val="auto"/>
        </w:rPr>
        <w:t>, Docket No. 7171</w:t>
      </w:r>
      <w:r>
        <w:rPr>
          <w:rFonts w:ascii="Arial" w:cs="Arial" w:eastAsia="Arial" w:hAnsi="Arial"/>
          <w:sz w:val="16"/>
          <w:szCs w:val="16"/>
          <w:i w:val="1"/>
          <w:iCs w:val="1"/>
          <w:color w:val="auto"/>
        </w:rPr>
        <w:t>.</w:t>
      </w:r>
      <w:r>
        <w:rPr>
          <w:rFonts w:ascii="Arial" w:cs="Arial" w:eastAsia="Arial" w:hAnsi="Arial"/>
          <w:sz w:val="16"/>
          <w:szCs w:val="16"/>
          <w:color w:val="auto"/>
        </w:rPr>
        <w:t xml:space="preserve"> The allegations of the derivative complaints mirror the allegations made in the putative class action complaints described above. The plaintiffs purport to assert claims against the director defendants for breach of fiduciary duty, abuse of control, gross mismanagement, unjust enrichment and corporate waste. The plaintiffs seek unspecified damages on behalf of the Company, as well as an award of costs and expenses, including attorney’s fees.</w:t>
      </w:r>
    </w:p>
    <w:p>
      <w:pPr>
        <w:spacing w:after="0" w:line="127"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color w:val="auto"/>
        </w:rPr>
        <w:t>With respect to the above referenced litigation matters, an estimate of loss or range of loss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the Company is unable at this time to estimate possible losses. The Company believes that these litigations are without merit, and it intends to defend these actions vigorously. Therefore no adjustment has been made to the financial statements to reflect the outcome of these uncertainties.</w:t>
      </w:r>
    </w:p>
    <w:p>
      <w:pPr>
        <w:spacing w:after="0" w:line="147"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 xml:space="preserve">On September 13, 2011, the Company commenced a series of legal actions in China against Sinovel Wind Group Co. Ltd. (“Sinovel”). The Company’s Chinese subsidiary, Suzhou AMSC Superconductor Co. Ltd., filed a claim for arbitration with the Beijing Arbitration Commission in accordance with the terms of the Company’s supply contracts with Sinovel. The case is captioned </w:t>
      </w:r>
      <w:r>
        <w:rPr>
          <w:rFonts w:ascii="Arial" w:cs="Arial" w:eastAsia="Arial" w:hAnsi="Arial"/>
          <w:sz w:val="16"/>
          <w:szCs w:val="16"/>
          <w:i w:val="1"/>
          <w:iCs w:val="1"/>
          <w:color w:val="auto"/>
        </w:rPr>
        <w:t>(2011) Jin Zhong An Zi No. 0963</w:t>
      </w:r>
      <w:r>
        <w:rPr>
          <w:rFonts w:ascii="Arial" w:cs="Arial" w:eastAsia="Arial" w:hAnsi="Arial"/>
          <w:sz w:val="16"/>
          <w:szCs w:val="16"/>
          <w:color w:val="auto"/>
        </w:rPr>
        <w:t>. On March 31, 2011, Sinovel refused to accept contracted shipments of 1.5 megawatt (MW) and 3 MW wind turbine core electrical components and spare parts that the Company was prepared to deliver. The Company alleges that these actions constitute material breaches of its contracts because Sinovel did not give it notice that it intended to delay deliveries as required under the contracts. Moreover, the Company alleges that Sinovel has refused to pay past due amounts for prior shipments of core electrical components and spare parts. The Company is seeking compensation for past product shipments and retention (including interest) in the amount of approximately RMB 485 million ($76 million) due to Sinovel’s breaches of its contracts. The Company is also seeking specific performance of our existing contracts as well as reimbursement of all costs and reasonable expenses with respect to the arbitration. The value of the undelivered components under the existing contracts, including the deliveries refused by Sinovel in March 2011, amounts to approximately RMB 4.6 billion ($720 million).</w:t>
      </w:r>
    </w:p>
    <w:p>
      <w:pPr>
        <w:spacing w:after="0" w:line="12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On October 8, 2011, Sinovel filed with the Beijing Arbitration Commission an application under the caption </w:t>
      </w:r>
      <w:r>
        <w:rPr>
          <w:rFonts w:ascii="Arial" w:cs="Arial" w:eastAsia="Arial" w:hAnsi="Arial"/>
          <w:sz w:val="16"/>
          <w:szCs w:val="16"/>
          <w:i w:val="1"/>
          <w:iCs w:val="1"/>
          <w:color w:val="auto"/>
        </w:rPr>
        <w:t>(2011) Jing Zhong An Zi No. 0963,</w:t>
      </w:r>
      <w:r>
        <w:rPr>
          <w:rFonts w:ascii="Arial" w:cs="Arial" w:eastAsia="Arial" w:hAnsi="Arial"/>
          <w:sz w:val="16"/>
          <w:szCs w:val="16"/>
          <w:color w:val="auto"/>
        </w:rPr>
        <w:t xml:space="preserve"> for a counterclaim against the Company for breach of the same contracts under which the Company filed its original arbitration claim. Sinovel claimed, among other things, that the goods supplied by the Company do not conform to the standards specified in the contracts and claimed damages in the amount of approximately RMB 370 million ($58 million). On October 17, 2011, Sinovel filed with the Beijing Arbitration Commission a request for change of counterclaim to increase its damage claim to approximately RMB 1 billion ($157 million). On December 22, 2011, Sinovel filed with the Beijing Arbitration Commission an additional request for change of counterclaim to increase its damages claim to approximately RMB 1.2 billion ($190 million). On February 27, 2012, Sinovel filed with the Beijing Arbitration Commission an application under the caption </w:t>
      </w:r>
      <w:r>
        <w:rPr>
          <w:rFonts w:ascii="Arial" w:cs="Arial" w:eastAsia="Arial" w:hAnsi="Arial"/>
          <w:sz w:val="16"/>
          <w:szCs w:val="16"/>
          <w:i w:val="1"/>
          <w:iCs w:val="1"/>
          <w:color w:val="auto"/>
        </w:rPr>
        <w:t>(2012) Jing Zhong An Zi</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i w:val="1"/>
          <w:iCs w:val="1"/>
          <w:color w:val="auto"/>
        </w:rPr>
        <w:t xml:space="preserve">No. 0157, </w:t>
      </w:r>
      <w:r>
        <w:rPr>
          <w:rFonts w:ascii="Arial" w:cs="Arial" w:eastAsia="Arial" w:hAnsi="Arial"/>
          <w:sz w:val="16"/>
          <w:szCs w:val="16"/>
          <w:color w:val="auto"/>
        </w:rPr>
        <w:t>against the Company for breach of the same contracts under which the Company filed its original arbitration claim. Sinovel claimed,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things, that the goods supplied by the Company do not conform to the standards specified in the contracts and claimed damages in the amount of approximately RMB 105 million ($17 million). The Company believes that Sinovel’s claims are without merit and it intends to defend these actions vigorously. Since the proceedings in this matter are in relatively early stages, the Company cannot reasonably estimate possible losses or range of losses at this time.</w:t>
      </w:r>
    </w:p>
    <w:p>
      <w:pPr>
        <w:spacing w:after="0" w:line="113"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 xml:space="preserve">The Company also submitted a civil action application to the Beijing No. 1 Intermediate People’s Court under the caption </w:t>
      </w:r>
      <w:r>
        <w:rPr>
          <w:rFonts w:ascii="Arial" w:cs="Arial" w:eastAsia="Arial" w:hAnsi="Arial"/>
          <w:sz w:val="16"/>
          <w:szCs w:val="16"/>
          <w:i w:val="1"/>
          <w:iCs w:val="1"/>
          <w:color w:val="auto"/>
        </w:rPr>
        <w:t>(2011) Yi Zhong Min Chu Zi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15524, </w:t>
      </w:r>
      <w:r>
        <w:rPr>
          <w:rFonts w:ascii="Arial" w:cs="Arial" w:eastAsia="Arial" w:hAnsi="Arial"/>
          <w:sz w:val="16"/>
          <w:szCs w:val="16"/>
          <w:color w:val="auto"/>
        </w:rPr>
        <w:t>against Sinovel for software copyright infringement on September 13, 2011. The application alleges Sinovel’s unauthorized use of portions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wind turbine control software source code developed for Sinovel’s 1.5MW wind turbines and the binary code, or upper layer, of the Company’s software for the PM3000 power converters in 1.5MW wind turbines. In July 2011, a former employee of the Company’s Austrian subsidiary was arrested in Austria on charges of economic espionage and fraudulent manipulation of data. In September 2011, the former employee pled guilty to the charges, and was imprisoned. As a result of the Company’s internal investigation and a criminal investigation conducted by Austrian authorities, the Company believes that this former employee was contracted by Sinovel through an intermediary while employed by the Company and improperly obtained and transferred to Sinovel portions of its wind turbine control software source code developed for Sinovel’s 1.5MW wind turbines. Moreover, the Company believes the former employee illegally used source code to develop for Sinovel a software modification to circumvent the encryption and remove technical protection measures on the Company’s PM3000 power converters in 1.5MW wind turbines in the field. The Company is seeking a cease and desist order with respect to the unauthorized copying, installation and use of its software, monetary damages of approximately RMB 38 million ($6 million) for our economic losses and reimbursement of all costs and reasonable expenses. The No. 1 Intermediate People’s Court accepted the case, which was necessary in order for the case to proceed. In November 2011, Sinovel filed a motion to remove this case from the Beijing No. 1 Intermediate People’s Court and transfer the matter to the Beijing Arbitration Commission. On February 14, 2012, the court denied Sinovel’s motion to remove the case. On February 21, 2012, Sinovel filed an appeal of the Beijing No. 1 Intermediate People’s Court decision to the Beijing Higher People’s Court. On April 25, 2012, the Beijing Higher People’s Court issued a final Civil Ruling which supports the Beijing No. 1 Intermediate People’s Court’s civil ruling and rejected Sinovel’s appeal. Sinovel filed an appeal of the Beijing Higher People’s Court’s decision with China’s Supreme People’s Court. A hearing regarding this appeal was held at the Chinese Supreme People’s Court on October 26, 2012. On November 23, 2012, the China’s Supreme People’s Court issued a Civil Ruling, holding that (1) it will conduct a re-trial of Sinovel’s appeal, and (2) the lower court’s decision will be stayed pending the retrial.</w:t>
      </w:r>
    </w:p>
    <w:p>
      <w:pPr>
        <w:spacing w:after="0" w:line="13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Sinovel filed a new motion on June 18, 2012, to remove this case from the Beijing No. 1 Intermediate People’s Court to the court located in Gansu Province. On October 19, 2012, the Court disallowed Sinovel’s motion due to its late filing.</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Company submitted a civil action application to the Beijing Higher People’s Court against Sinovel and certain of its employees for trade secret infringement on September 13, 2011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xml:space="preserve">. The application alleges the defendants’ unauthorized use of portions of the Company’s wind turbine control software source code developed for Sinovel’s 1.5MW wind turbines as described above with respect to the Copyright Action. The Company is seeking monetary damages of RMB 2.9 billion ($453 million) for the trade secret infringement as well as reimbursement of all costs and reasonable expenses. The Beijing Higher People’s Court accepted the case, which was necessary in order for the case to proceed. On December 22, 2011, the Beijing Higher People’s Court transferred this case to the Beijing No. 1 Intermediate People’s Court under the caption </w:t>
      </w:r>
      <w:r>
        <w:rPr>
          <w:rFonts w:ascii="Arial" w:cs="Arial" w:eastAsia="Arial" w:hAnsi="Arial"/>
          <w:sz w:val="16"/>
          <w:szCs w:val="16"/>
          <w:i w:val="1"/>
          <w:iCs w:val="1"/>
          <w:color w:val="auto"/>
        </w:rPr>
        <w:t>(2011) Gao Min Chu Zi No. 4193</w:t>
      </w:r>
      <w:r>
        <w:rPr>
          <w:rFonts w:ascii="Arial" w:cs="Arial" w:eastAsia="Arial" w:hAnsi="Arial"/>
          <w:sz w:val="16"/>
          <w:szCs w:val="16"/>
          <w:color w:val="auto"/>
        </w:rPr>
        <w:t xml:space="preserve">. On June 7, 2012, the Company received an Acceptance Notice from the Beijing No. 1 Intermediate People’s Court under the caption </w:t>
      </w:r>
      <w:r>
        <w:rPr>
          <w:rFonts w:ascii="Arial" w:cs="Arial" w:eastAsia="Arial" w:hAnsi="Arial"/>
          <w:sz w:val="16"/>
          <w:szCs w:val="16"/>
          <w:i w:val="1"/>
          <w:iCs w:val="1"/>
          <w:color w:val="auto"/>
        </w:rPr>
        <w:t>(2012) Yi Zhong Min Chu Zi No.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6833. </w:t>
      </w:r>
      <w:r>
        <w:rPr>
          <w:rFonts w:ascii="Arial" w:cs="Arial" w:eastAsia="Arial" w:hAnsi="Arial"/>
          <w:sz w:val="16"/>
          <w:szCs w:val="16"/>
          <w:color w:val="auto"/>
        </w:rPr>
        <w:t>The Company is currently awaiting notice from the Beijing No. 1 Intermediate People’s Court regarding the first hearing date. In August 2012, Sinovel</w:t>
      </w:r>
      <w:r>
        <w:rPr>
          <w:rFonts w:ascii="Arial" w:cs="Arial" w:eastAsia="Arial" w:hAnsi="Arial"/>
          <w:sz w:val="16"/>
          <w:szCs w:val="16"/>
          <w:i w:val="1"/>
          <w:iCs w:val="1"/>
          <w:color w:val="auto"/>
        </w:rPr>
        <w:t xml:space="preserve"> </w:t>
      </w:r>
      <w:r>
        <w:rPr>
          <w:rFonts w:ascii="Arial" w:cs="Arial" w:eastAsia="Arial" w:hAnsi="Arial"/>
          <w:sz w:val="16"/>
          <w:szCs w:val="16"/>
          <w:color w:val="auto"/>
        </w:rPr>
        <w:t>filed a motion to remove this case from the Beijing No. 1 Intermediate People’s Court and transfer the matter to the Beijing Arbitration Commission.</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On September 16, 2011, the Company filed a civil copyright infringement complaint in the Hainan Province No. 1 Intermediate People’s Court against Dalian Guotong Electric Co. Ltd. (“Guotong”), a supplier of power converter products to Sinovel, and Huaneng Hainan Power, Inc. (“Huaneng”), a wind farm operator that has purchased Sinovel wind turbines containing Guotong power converter products. The case is captioned </w:t>
      </w:r>
      <w:r>
        <w:rPr>
          <w:rFonts w:ascii="Arial" w:cs="Arial" w:eastAsia="Arial" w:hAnsi="Arial"/>
          <w:sz w:val="16"/>
          <w:szCs w:val="16"/>
          <w:i w:val="1"/>
          <w:iCs w:val="1"/>
          <w:color w:val="auto"/>
        </w:rPr>
        <w:t>(2011) Hainan Yi Zhong Min Chu Zi</w:t>
      </w:r>
      <w:r>
        <w:rPr>
          <w:rFonts w:ascii="Arial" w:cs="Arial" w:eastAsia="Arial" w:hAnsi="Arial"/>
          <w:sz w:val="16"/>
          <w:szCs w:val="16"/>
          <w:color w:val="auto"/>
        </w:rPr>
        <w:t xml:space="preserve"> </w:t>
      </w:r>
      <w:r>
        <w:rPr>
          <w:rFonts w:ascii="Arial" w:cs="Arial" w:eastAsia="Arial" w:hAnsi="Arial"/>
          <w:sz w:val="16"/>
          <w:szCs w:val="16"/>
          <w:i w:val="1"/>
          <w:iCs w:val="1"/>
          <w:color w:val="auto"/>
        </w:rPr>
        <w:t>No. 62</w:t>
      </w:r>
      <w:r>
        <w:rPr>
          <w:rFonts w:ascii="Arial" w:cs="Arial" w:eastAsia="Arial" w:hAnsi="Arial"/>
          <w:sz w:val="16"/>
          <w:szCs w:val="16"/>
          <w:color w:val="auto"/>
        </w:rPr>
        <w:t>. The application alleges that the Company’s PM1000 converters in certain Sinovel wind turbines have been replaced by converters produced by Guotong.</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the Guotong converters are being used in wind turbines containing the Company’s wind turbine control software, the Company believes that its copyrighted software is being infringed. The Company is seeking a cease and desist order with respect to the unauthorized use of its software, monetary damages of RMB 1.2 million ($0.2 million) for its economic losses (with respect to Guotong only) and reimbursement of all costs and reasonable expenses. The court has accepted the case, which was necessary in order for the case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proceed. In addition, upon the request of the defendant Huaneng, Sinovel has been added by the court to this case as a defendant and Huaneng has been released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from this case. In December 2011, Sinovel filed a jurisdiction opposition motion requesting dismissal by the Hainan Province No. 1 Intermediate People’s Court,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saying the case should be governed by the Beijing Arbitration Commission. On February 3, 2012, the Company received the Civil Ruling from the court,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granted Sinovel’s motion, and dismissed the entire case. The Company appealed the court’s ruling to the Hainan Higher Court, which on April 5, 2012 upheld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decision of the Hainan Province No. 1 Intermediate People’s Court. On April 9, 2012, the Company filed an appeal of the Hainan Higher Court’s decision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China’s Supreme People’s Court. The Supreme Court accepted the appeal on May 23, 2012. The case is captioned, (2012) Min Shen Zi No. 630.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20, 2012, the China’s Supreme People’s Court issued a Civil ruling, holding that (1) it will conduct a re-trial of the Company’s appeal and (2) the lower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court’s decision will be stayed pending the re-trial.</w:t>
      </w:r>
    </w:p>
    <w:p>
      <w:pPr>
        <w:spacing w:after="0" w:line="16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Ghodawat Energy Pvt Ltd (“Ghodawat”), a company registered in India carrying on the business of wind power development, lodged a Request for Arbitration with the Secretariat of the ICC International Court of Arbitration on May 12, 2011 and named AMSC Windtec GmbH (“AMSC Austria”) as the Respondent. Under the Request for Arbitration, Ghodawat alleges that AMSC Austria breached an agreement dated March 19, 2008 pursuant to which AMSC Austria granted a license to Ghodawat to manufacture, use, sell, market, erect, commission and maintain certain wind turbines using its technical information and wind turbine design (the “License Agreement”). Under the Request for Arbitration, Ghodawat’s claims in this arbitration amount to approximately €18 million ($24 million). AMSC Austria filed an Answer to Request for Arbitration and Counterclaim (“Answer and Counterclaim”), in which AMSC Austria denied Ghodawat’s claims in their entirety. AMSC Austria has also submitted counterclaims under the License Agreement against Ghodawat in the amount of approximately €6 million ($9 million). Ghodawat has filed a Reply to Answer to Request for Arbitration and Counterclaim in which it denies AMSC Austria’s counterclaims. The arbitration proceedings are currently ongoing. The Company has recorded a loss contingency based on its assessment of probable losses on this claim; however this amount is immaterial to its consolidated financial statements.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2012, the Company had $9.2 million of restricted cash included in current assets, and $4.8 million of restricted cash included in long-term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assets. These amounts included in restricted cash represent deposits to secure letters of credit for various supply contracts, including those deemed as adverse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commitments, and are held in interest bearing accounts. The Company is working with its inventory suppliers to delay cash settlements and to reduce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gross liability associated with its adverse purchase commitments, which is approximately $1.8 million as of December 31, 2012. During the three and nine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December 31, 2012, the Company agreed to settle adverse purchase commitments with certain of its vendors. In conjunction with certain of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settlements, the Company agreed to provide letters of credit and bank guarantees in the amount of approximately $9.0 million with expirations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January 31, 2013. The letters of credit and bank guarantees were secured with cash collateral of approximately $8.5 million and were included in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 balance as of December 31, 2012. As of January 2013, these letters of credit had been cancelled and the cash collateral has been returned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unrestricted cash.</w:t>
      </w:r>
    </w:p>
    <w:p>
      <w:pPr>
        <w:spacing w:after="0" w:line="240" w:lineRule="exact"/>
        <w:rPr>
          <w:sz w:val="20"/>
          <w:szCs w:val="20"/>
          <w:color w:val="auto"/>
        </w:rPr>
      </w:pPr>
    </w:p>
    <w:p>
      <w:pPr>
        <w:ind w:left="460" w:right="9020" w:hanging="452"/>
        <w:spacing w:after="0" w:line="417" w:lineRule="auto"/>
        <w:tabs>
          <w:tab w:leader="none" w:pos="267"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Investments </w:t>
      </w:r>
      <w:r>
        <w:rPr>
          <w:rFonts w:ascii="Arial" w:cs="Arial" w:eastAsia="Arial" w:hAnsi="Arial"/>
          <w:sz w:val="15"/>
          <w:szCs w:val="15"/>
          <w:b w:val="1"/>
          <w:bCs w:val="1"/>
          <w:i w:val="1"/>
          <w:iCs w:val="1"/>
          <w:color w:val="auto"/>
        </w:rPr>
        <w:t>Investment in Tres Amigas</w:t>
      </w:r>
    </w:p>
    <w:p>
      <w:pPr>
        <w:spacing w:after="0" w:line="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October 9, 2009, the Company made an investment in Tres Amigas LLC, a Delaware limited liability company (“Tres Amigas”), focused on providing the first common interconnection of America’s three power grids to help the country achieve its renewable energy goals and facilitate the smooth, reliable and efficient transfer of green power from region to region, for $1.8 million, consisting of $0.8 million in cash and $1.0 million in AMSC common stock. On January 6, 2011 and May 20, 2011, the Company increased its minority position in Tres Amigas by investing an additional $1.8 million in cash on each date. As of December 31, 2012, the Company holds a 28% ownership interest in Tres Amigas.</w:t>
      </w:r>
    </w:p>
    <w:p>
      <w:pPr>
        <w:spacing w:after="0" w:line="116" w:lineRule="exact"/>
        <w:rPr>
          <w:sz w:val="20"/>
          <w:szCs w:val="20"/>
          <w:color w:val="auto"/>
        </w:rPr>
      </w:pPr>
    </w:p>
    <w:p>
      <w:pPr>
        <w:ind w:right="920" w:firstLine="456"/>
        <w:spacing w:after="0" w:line="370" w:lineRule="auto"/>
        <w:rPr>
          <w:sz w:val="20"/>
          <w:szCs w:val="20"/>
          <w:color w:val="auto"/>
        </w:rPr>
      </w:pPr>
      <w:r>
        <w:rPr>
          <w:rFonts w:ascii="Arial" w:cs="Arial" w:eastAsia="Arial" w:hAnsi="Arial"/>
          <w:sz w:val="15"/>
          <w:szCs w:val="15"/>
          <w:color w:val="auto"/>
        </w:rPr>
        <w:t>The Company’s investment in Tres Amigas is included in other assets on the unaudited condensed consolidated balance sheet and the equity in undistributed losses of Tres Amigas is included in other (expense) income, net, on the unaudited condensed consolidated statements of operations.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880" w:type="dxa"/>
            <w:vAlign w:val="bottom"/>
            <w:gridSpan w:val="2"/>
          </w:tcPr>
          <w:p>
            <w:pPr>
              <w:spacing w:after="0"/>
              <w:rPr>
                <w:sz w:val="20"/>
                <w:szCs w:val="20"/>
                <w:color w:val="auto"/>
              </w:rPr>
            </w:pPr>
            <w:r>
              <w:rPr>
                <w:rFonts w:ascii="Arial" w:cs="Arial" w:eastAsia="Arial" w:hAnsi="Arial"/>
                <w:sz w:val="18"/>
                <w:szCs w:val="18"/>
                <w:color w:val="auto"/>
                <w:w w:val="96"/>
              </w:rPr>
              <w:t>The net investment activity for the nine months ended December 31, 2012 is as follows (in thousands):</w:t>
            </w: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500" w:type="dxa"/>
            <w:vAlign w:val="bottom"/>
          </w:tcPr>
          <w:p>
            <w:pPr>
              <w:ind w:left="440"/>
              <w:spacing w:after="0"/>
              <w:rPr>
                <w:sz w:val="20"/>
                <w:szCs w:val="20"/>
                <w:color w:val="auto"/>
              </w:rPr>
            </w:pPr>
            <w:r>
              <w:rPr>
                <w:rFonts w:ascii="Arial" w:cs="Arial" w:eastAsia="Arial" w:hAnsi="Arial"/>
                <w:sz w:val="18"/>
                <w:szCs w:val="18"/>
                <w:color w:val="auto"/>
              </w:rPr>
              <w:t>Minority interest in net losses</w:t>
            </w:r>
          </w:p>
        </w:tc>
        <w:tc>
          <w:tcPr>
            <w:tcW w:w="6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64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in Blade Dynamics Ltd.</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August 12, 2010, the Company acquired (through its Austrian subsidiary), a minority ownership position in Blade Dynamics Ltd. (“Blade Dynamics”), a designer and manufacturer of advanced wind turbine blades based on proprietary materials and structural technologies, for $8.0 million in cash. During the three months ended December 31, 2012, an additional investor invested in Blade Dynamics and as of December 31, 2012, the Company now holds a 19% ownership interest in Blade Dynamics. As a result of the Company’s investment being reduced to less than 20%, and that the Company believes it no longer has the ability to significantly influence the operations of Blade Dynamics, the Company has therefore changed its accounting for this investment from the equity method to the cost method as of December 1, 2012.</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investment is carried at the acquisition cost, plus the Company’s equity in undistributed earnings or losses, through December 1, 2012 the date which the company no longer reports undistributed earnings or losses. The Company’s investment in Blade Dynamics is included in other assets on the unaudited condensed consolidated balance sheet and the equity in undistributed losses of Blade Dynamics is included in other income, net, on the unaudited condensed consolidated statements of operations.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460" w:type="dxa"/>
            <w:vAlign w:val="bottom"/>
            <w:gridSpan w:val="2"/>
          </w:tcPr>
          <w:p>
            <w:pPr>
              <w:spacing w:after="0"/>
              <w:rPr>
                <w:sz w:val="20"/>
                <w:szCs w:val="20"/>
                <w:color w:val="auto"/>
              </w:rPr>
            </w:pPr>
            <w:r>
              <w:rPr>
                <w:rFonts w:ascii="Arial" w:cs="Arial" w:eastAsia="Arial" w:hAnsi="Arial"/>
                <w:sz w:val="18"/>
                <w:szCs w:val="18"/>
                <w:color w:val="auto"/>
              </w:rPr>
              <w:t>The net investment activity for the nine months ended December 31, 2012 is as follows (in thousands):</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1, 2012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$ 6,083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80" w:type="dxa"/>
            <w:vAlign w:val="bottom"/>
          </w:tcPr>
          <w:p>
            <w:pPr>
              <w:ind w:left="440"/>
              <w:spacing w:after="0"/>
              <w:rPr>
                <w:sz w:val="20"/>
                <w:szCs w:val="20"/>
                <w:color w:val="auto"/>
              </w:rPr>
            </w:pPr>
            <w:r>
              <w:rPr>
                <w:rFonts w:ascii="Arial" w:cs="Arial" w:eastAsia="Arial" w:hAnsi="Arial"/>
                <w:sz w:val="18"/>
                <w:szCs w:val="18"/>
                <w:color w:val="auto"/>
              </w:rPr>
              <w:t>Minority interest in net losses</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foreign exchange rate impact</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ind w:left="1380"/>
              <w:spacing w:after="0"/>
              <w:rPr>
                <w:sz w:val="20"/>
                <w:szCs w:val="20"/>
                <w:color w:val="auto"/>
              </w:rPr>
            </w:pPr>
            <w:r>
              <w:rPr>
                <w:rFonts w:ascii="Arial" w:cs="Arial" w:eastAsia="Arial" w:hAnsi="Arial"/>
                <w:sz w:val="18"/>
                <w:szCs w:val="18"/>
                <w:color w:val="auto"/>
              </w:rPr>
              <w:t>Balance at December 31, 2012</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60" w:type="dxa"/>
            <w:vAlign w:val="bottom"/>
            <w:gridSpan w:val="2"/>
            <w:vMerge w:val="continue"/>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$ 4,755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reported its financial results in two reportable business segments: Wind and Grid.</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Through its Windtec Solutions, the Wind business segment enables manufacturers to field wind turbines with exceptional power output, reliability and affordability. The Company supplies advanced power electronics and control systems, licenses its highly engineered wind turbine designs, and provides extensive customer support services to wind turbine manufactures. Its design portfolio includes a broad range of drive trains and power ratings up to 10 megawatts. It provides a broad range of power electronics and software based control systems that are highly integrated and designed for optimized performance, efficiency, and grid compatibility.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Through its Gridtec Solutions, the Grid business segment enables electric utilities and renewable energy project developers to connect, transmit and distribute power with exceptional efficiency, reliability and affordability. The Company provides transmission planning services that allow it to identify power grid congestion, poor power quality and other risks, which help the Company determine how its solutions can improve network performance. These services often lead to sales of grid interconnection solutions for wind farms and solar power plants, power quality systems and transmission and distribution cable systems.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right"/>
              <w:ind w:right="97"/>
              <w:spacing w:after="0"/>
              <w:rPr>
                <w:sz w:val="20"/>
                <w:szCs w:val="20"/>
                <w:color w:val="auto"/>
              </w:rPr>
            </w:pPr>
            <w:r>
              <w:rPr>
                <w:rFonts w:ascii="Arial" w:cs="Arial" w:eastAsia="Arial" w:hAnsi="Arial"/>
                <w:sz w:val="14"/>
                <w:szCs w:val="14"/>
                <w:b w:val="1"/>
                <w:bCs w:val="1"/>
                <w:color w:val="auto"/>
                <w:w w:val="91"/>
              </w:rPr>
              <w:t>Three months ended</w:t>
            </w:r>
          </w:p>
        </w:tc>
        <w:tc>
          <w:tcPr>
            <w:tcW w:w="400" w:type="dxa"/>
            <w:vAlign w:val="bottom"/>
          </w:tcPr>
          <w:p>
            <w:pPr>
              <w:spacing w:after="0"/>
              <w:rPr>
                <w:sz w:val="14"/>
                <w:szCs w:val="14"/>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right"/>
              <w:ind w:right="297"/>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3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440"/>
              <w:spacing w:after="0"/>
              <w:rPr>
                <w:sz w:val="20"/>
                <w:szCs w:val="20"/>
                <w:color w:val="auto"/>
              </w:rPr>
            </w:pPr>
            <w:r>
              <w:rPr>
                <w:rFonts w:ascii="Arial" w:cs="Arial" w:eastAsia="Arial" w:hAnsi="Arial"/>
                <w:sz w:val="18"/>
                <w:szCs w:val="18"/>
                <w:color w:val="auto"/>
              </w:rPr>
              <w:t>Wind</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6,808</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$10,125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$35,321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Grid</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3"/>
              </w:rPr>
              <w:t>10,609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00" w:type="dxa"/>
            <w:vAlign w:val="bottom"/>
            <w:vMerge w:val="continue"/>
          </w:tcPr>
          <w:p>
            <w:pPr>
              <w:spacing w:after="0"/>
              <w:rPr>
                <w:sz w:val="19"/>
                <w:szCs w:val="19"/>
                <w:color w:val="auto"/>
              </w:rPr>
            </w:pPr>
          </w:p>
        </w:tc>
        <w:tc>
          <w:tcPr>
            <w:tcW w:w="3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17,417</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18,058</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67,000</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900" w:type="dxa"/>
            <w:vAlign w:val="bottom"/>
            <w:vMerge w:val="restart"/>
          </w:tcPr>
          <w:p>
            <w:pPr>
              <w:jc w:val="right"/>
              <w:ind w:right="1472"/>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8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8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(loss) income:</w:t>
            </w:r>
          </w:p>
        </w:tc>
        <w:tc>
          <w:tcPr>
            <w:tcW w:w="1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Wind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(5,365)</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 (14,014)</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 (10,514)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Grid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(6,705)</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(6,313)</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(18,620)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Unallocated corporate expenses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(8,546)</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(6,242)</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(12,580)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(36,790)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(20,616)</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(26,569)</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(41,714)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(116,020)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income.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income.</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Unallocated corporate expenses primarily consist of stock-based compensation expense of $1.9 million and $6.0 million, respectively and restructuring and impairment charges of $6.7 million and $6.8 million, respectively, for the three and nine months ended December 31, 2012. For the three and nine months ended December 31, 2011, unallocated corporate expenses primarily consist of restructuring and impairment charges of $4.1 million and $8.4 million, respectively, and stock-based compensation expense of $2.1 million and $7.7 million, respectively. In addition, the nine months ended December 31, 2011 includes expense of $20.6 million for the write-off of an advanced payment to The Switch.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assets for the two business segments are as follows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31,</w:t>
            </w:r>
          </w:p>
        </w:tc>
        <w:tc>
          <w:tcPr>
            <w:tcW w:w="58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65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Wind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70,054</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Grid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72,714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89,091</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83,384</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95,911</w:t>
            </w:r>
          </w:p>
        </w:tc>
        <w:tc>
          <w:tcPr>
            <w:tcW w:w="100" w:type="dxa"/>
            <w:vAlign w:val="bottom"/>
            <w:shd w:val="clear" w:color="auto" w:fill="CCEEFF"/>
          </w:tcPr>
          <w:p>
            <w:pPr>
              <w:spacing w:after="0"/>
              <w:rPr>
                <w:sz w:val="18"/>
                <w:szCs w:val="18"/>
                <w:color w:val="auto"/>
              </w:rPr>
            </w:pP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225,319</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255,056</w:t>
            </w:r>
          </w:p>
        </w:tc>
        <w:tc>
          <w:tcPr>
            <w:tcW w:w="10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customers who represented 10% or more of the Company’s total revenues for the three and nine months ended December 31, 2012 and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18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85"/>
              </w:rPr>
              <w:t>Three months ended</w:t>
            </w:r>
          </w:p>
        </w:tc>
        <w:tc>
          <w:tcPr>
            <w:tcW w:w="17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Nine months ended</w:t>
            </w:r>
          </w:p>
        </w:tc>
      </w:tr>
      <w:tr>
        <w:trPr>
          <w:trHeight w:val="161"/>
        </w:trPr>
        <w:tc>
          <w:tcPr>
            <w:tcW w:w="4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80" w:type="dxa"/>
            <w:vAlign w:val="bottom"/>
            <w:tcBorders>
              <w:bottom w:val="single" w:sz="8" w:color="auto"/>
            </w:tcBorders>
            <w:gridSpan w:val="3"/>
          </w:tcPr>
          <w:p>
            <w:pPr>
              <w:jc w:val="center"/>
              <w:ind w:left="284"/>
              <w:spacing w:after="0"/>
              <w:rPr>
                <w:sz w:val="20"/>
                <w:szCs w:val="20"/>
                <w:color w:val="auto"/>
              </w:rPr>
            </w:pPr>
            <w:r>
              <w:rPr>
                <w:rFonts w:ascii="Arial" w:cs="Arial" w:eastAsia="Arial" w:hAnsi="Arial"/>
                <w:sz w:val="14"/>
                <w:szCs w:val="14"/>
                <w:b w:val="1"/>
                <w:bCs w:val="1"/>
                <w:color w:val="auto"/>
                <w:w w:val="85"/>
              </w:rPr>
              <w:t>December 31,</w:t>
            </w:r>
          </w:p>
        </w:tc>
        <w:tc>
          <w:tcPr>
            <w:tcW w:w="3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left="279"/>
              <w:spacing w:after="0"/>
              <w:rPr>
                <w:sz w:val="20"/>
                <w:szCs w:val="20"/>
                <w:color w:val="auto"/>
              </w:rPr>
            </w:pPr>
            <w:r>
              <w:rPr>
                <w:rFonts w:ascii="Arial" w:cs="Arial" w:eastAsia="Arial" w:hAnsi="Arial"/>
                <w:sz w:val="14"/>
                <w:szCs w:val="14"/>
                <w:b w:val="1"/>
                <w:bCs w:val="1"/>
                <w:color w:val="auto"/>
                <w:w w:val="85"/>
              </w:rPr>
              <w:t>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34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3"/>
              </w:rPr>
              <w:t>2011</w:t>
            </w:r>
          </w:p>
        </w:tc>
        <w:tc>
          <w:tcPr>
            <w:tcW w:w="6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76"/>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CG Power Solutions UK Ltd.</w:t>
            </w:r>
          </w:p>
        </w:tc>
        <w:tc>
          <w:tcPr>
            <w:tcW w:w="2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&lt;10%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E.ON Climate &amp; Renewables</w:t>
            </w:r>
          </w:p>
        </w:tc>
        <w:tc>
          <w:tcPr>
            <w:tcW w:w="3360" w:type="dxa"/>
            <w:vAlign w:val="bottom"/>
            <w:gridSpan w:val="3"/>
          </w:tcPr>
          <w:p>
            <w:pPr>
              <w:jc w:val="right"/>
              <w:ind w:right="52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&lt;10%</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INOX Wind Limited</w:t>
            </w:r>
          </w:p>
        </w:tc>
        <w:tc>
          <w:tcPr>
            <w:tcW w:w="3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26.5%</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20.5%</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Beijing JINGCHENG New Energy Co., Ltd.</w:t>
            </w:r>
          </w:p>
        </w:tc>
        <w:tc>
          <w:tcPr>
            <w:tcW w:w="3360" w:type="dxa"/>
            <w:vAlign w:val="bottom"/>
            <w:gridSpan w:val="3"/>
          </w:tcPr>
          <w:p>
            <w:pPr>
              <w:jc w:val="right"/>
              <w:ind w:right="520"/>
              <w:spacing w:after="0"/>
              <w:rPr>
                <w:sz w:val="20"/>
                <w:szCs w:val="20"/>
                <w:color w:val="auto"/>
              </w:rPr>
            </w:pPr>
            <w:r>
              <w:rPr>
                <w:rFonts w:ascii="Arial" w:cs="Arial" w:eastAsia="Arial" w:hAnsi="Arial"/>
                <w:sz w:val="18"/>
                <w:szCs w:val="18"/>
                <w:color w:val="auto"/>
              </w:rPr>
              <w:t>&lt;10%</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&lt;10%</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&lt;10%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Doosan Heavy Industries &amp; Construction Co Ltd.</w:t>
            </w:r>
          </w:p>
        </w:tc>
        <w:tc>
          <w:tcPr>
            <w:tcW w:w="3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&lt;10%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12.1%</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&lt;10%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14.8%</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Ergon Energy Corporation Limited</w:t>
            </w:r>
          </w:p>
        </w:tc>
        <w:tc>
          <w:tcPr>
            <w:tcW w:w="2280" w:type="dxa"/>
            <w:vAlign w:val="bottom"/>
          </w:tcPr>
          <w:p>
            <w:pPr>
              <w:spacing w:after="0"/>
              <w:rPr>
                <w:sz w:val="19"/>
                <w:szCs w:val="19"/>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10.6%</w:t>
            </w:r>
          </w:p>
        </w:tc>
        <w:tc>
          <w:tcPr>
            <w:tcW w:w="11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&lt;10%</w:t>
            </w:r>
          </w:p>
        </w:tc>
      </w:tr>
      <w:tr>
        <w:trPr>
          <w:trHeight w:val="356"/>
        </w:trPr>
        <w:tc>
          <w:tcPr>
            <w:tcW w:w="4340" w:type="dxa"/>
            <w:vAlign w:val="bottom"/>
          </w:tcPr>
          <w:p>
            <w:pPr>
              <w:spacing w:after="0"/>
              <w:rPr>
                <w:sz w:val="24"/>
                <w:szCs w:val="24"/>
                <w:color w:val="auto"/>
              </w:rPr>
            </w:pPr>
          </w:p>
        </w:tc>
        <w:tc>
          <w:tcPr>
            <w:tcW w:w="2280" w:type="dxa"/>
            <w:vAlign w:val="bottom"/>
          </w:tcPr>
          <w:p>
            <w:pPr>
              <w:jc w:val="right"/>
              <w:ind w:right="1192"/>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Recent Accounting Pronouncements</w:t>
      </w:r>
    </w:p>
    <w:p>
      <w:pPr>
        <w:spacing w:after="0" w:line="9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 xml:space="preserve">In June 2011, the FASB issued Accounting Standards Update (ASU) No. 2011-05, </w:t>
      </w:r>
      <w:r>
        <w:rPr>
          <w:rFonts w:ascii="Arial" w:cs="Arial" w:eastAsia="Arial" w:hAnsi="Arial"/>
          <w:sz w:val="18"/>
          <w:szCs w:val="18"/>
          <w:i w:val="1"/>
          <w:iCs w:val="1"/>
          <w:color w:val="auto"/>
        </w:rPr>
        <w:t>Comprehensive Income (Topic 220): Presentation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ASU 2011-05 requires entities to present net income and other comprehensive income in either a single continuous statement or in two separate, but</w:t>
      </w:r>
      <w:r>
        <w:rPr>
          <w:rFonts w:ascii="Arial" w:cs="Arial" w:eastAsia="Arial" w:hAnsi="Arial"/>
          <w:sz w:val="18"/>
          <w:szCs w:val="18"/>
          <w:i w:val="1"/>
          <w:iCs w:val="1"/>
          <w:color w:val="auto"/>
        </w:rPr>
        <w:t xml:space="preserve"> </w:t>
      </w:r>
      <w:r>
        <w:rPr>
          <w:rFonts w:ascii="Arial" w:cs="Arial" w:eastAsia="Arial" w:hAnsi="Arial"/>
          <w:sz w:val="18"/>
          <w:szCs w:val="18"/>
          <w:color w:val="auto"/>
        </w:rPr>
        <w:t>consecutive, statements of net income and other comprehensive income. ASU 2011-05 is effective for fiscal years and interim periods beginning after December 15, 2011. The Company early adopted ASU 2011-05 and it did not have a material impact on the Company’s consolidated results of operations, financial condition, or cash flows.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September 2011, the FASB issued Accounting Standards Update No. 2011-08, </w:t>
      </w:r>
      <w:r>
        <w:rPr>
          <w:rFonts w:ascii="Arial" w:cs="Arial" w:eastAsia="Arial" w:hAnsi="Arial"/>
          <w:sz w:val="16"/>
          <w:szCs w:val="16"/>
          <w:i w:val="1"/>
          <w:iCs w:val="1"/>
          <w:color w:val="auto"/>
        </w:rPr>
        <w:t>Intangibles — Goodwill and Other (Topic 350)</w:t>
      </w:r>
      <w:r>
        <w:rPr>
          <w:rFonts w:ascii="Arial" w:cs="Arial" w:eastAsia="Arial" w:hAnsi="Arial"/>
          <w:sz w:val="16"/>
          <w:szCs w:val="16"/>
          <w:color w:val="auto"/>
        </w:rPr>
        <w:t>. ASU 2011-08 allows entities to first assess qualitatively whether it is necessary to perform the two-step goodwill impairment test. If an entity believes, as a result of its qualitative assessment, that it is more likely than not that the fair value of a reporting unit is less than its carrying amount, the quantitative two-step goodwill impairment test is required. An entity has the unconditional option to bypass the qualitative assessment and proceed directly to performing the first step of the goodwill impairment test. ASU 2011-08 is effective for our first quarter of fiscal 2013 but is eligible for early adoption. The Company does not believe adoption of this standard will have an impact on its consolidated results of operations, financial condition, or cash flows.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In December 2011, the FASB issued Accounting Standards Update No. 2011-11, </w:t>
      </w:r>
      <w:r>
        <w:rPr>
          <w:rFonts w:ascii="Arial" w:cs="Arial" w:eastAsia="Arial" w:hAnsi="Arial"/>
          <w:sz w:val="16"/>
          <w:szCs w:val="16"/>
          <w:i w:val="1"/>
          <w:iCs w:val="1"/>
          <w:color w:val="auto"/>
        </w:rPr>
        <w:t>Balance Sheet (Topic 210)-Disclosures about Offsetting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(ASU 2011-11). The update requires entities to disclose information about offsetting and related arrangements of financial instruments and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ASU 2011-11 is effective for our first quarter of fiscal 2014. The Company is currently evaluating the impact of adopting ASU 2011-11, but currently does not believe there will be a significant impact on its consolidated results of operations, financial condition, or cash flows.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does not believe that other recently issued accounting pronouncements will have a material impact on its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has performed an evaluation of subsequent events through the time of filing this Quarterly Report on Form 10-Q with the SEC, and has determined that there are no such events that are required to be disclosed.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Such factors include: Our success in addressing the wind energy market is dependent on the manufacturers that license our designs; we may not realize all of the sales expected from our backlog of orders and contracts; our business and operations would be adversely impacted in the event of a failure or security breach of our information technology infrastructure; our success is dependent upon attracting and retaining qualified personnel and our inability to do so could significantly damage our business and prospects; we rely upon third-party suppliers for the components and subassemblies of many of our Wind and Grid products, making us vulnerable to supply shortages and price fluctuations, which could harm our business; many of our revenue opportunities are dependent upon subcontractors and other business collaborators; we may require additional funding in the future and may be unable to raise capital when needed;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our contracts with the United States government are subject to audit, modification or termination by the United States government and include certain other provisions in favor of the government; the continued funding of such contracts remains subject to annual congressional appropriation which, if not approved, could reduce our revenue and lower or eliminate our profit; we may acquire additional complementary businesses or technologies, which may require us to incur substantial costs for which we may never realize the anticipated benefits; many of our customers outside of the United States are, either directly or indirectly, related to governmental entities, and we could be adversely affected by violations of the United States Foreign Corrupt Practices Act and similar worldwide anti-bribery laws outside the United States; we have limited experience in marketing and selling our superconductor products and system-level solutions, and our failure to effectively market and sell our products and solutions could lower our revenue and cash flow; we have a history of operating losses, and we may incur additional losses in the future; our operating results may fluctuate significantly from quarter to quarter and may fall below expectations in any particular fiscal quarter; our new debt obligations include certain covenants and other events of default. Should we not comply with the covenants or incur an event of default, we may be required to repay our debt obligations in cash, which could have an adverse effect on our liquidity; we have recorded a liability for adverse purchase commitments with certain of our vendors; should we be required to settle these liabilities in cash, our liquidity could be adversely affected; if we fail to maintain proper and effective internal controls over financial reporting, our ability to produce accurate and timely financial statements could be impaired and may lead investors and other users to lose confidence in our financial data; we may be required to issue performance bonds or provide letters of credit, which restricts our ability to access any cash used as collateral for the bonds or letters of credit; changes in exchange rates could adversely affect our results from operations; growth of the wind energy market depends largely on the availability and size of government subsidies and economic incentives; we depend on sales to customers in China, and global conditions could negatively affect our operating results or limit our ability to expand our operations outside of China; changes in China’s political, social, regulatory and economic environment may affect our financial performance; our products face intense competition, which could limit our ability to acquire or retain customers; our international operations are subject to risks that we do not face in the United States, which could have an adverse effect on our operating results; adverse changes in domestic and global economic conditions could adversely affect our operating results; we may be unable to adequately prevent disclosure of trade secrets and other proprietary information; our patents may not provide meaningful protection for our technology, which could result in us losing some or all of our market position; the commercial uses of superconductor products are limited today, and a widespread commercial market for our products may not develop;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we have not manufactured our Amperium wire in commercial quantities, and a failure to manufacture our Amperium wire in commercial quantities at acceptable cost and quality levels would substantially limit our future revenue and profit potential; third parties have or may acquire patents that cover the materials, processes and technologies we use or may use in the future to manufacture our Amperium products, and our success depends on our ability to license such patents or other proprietary rights; our technology and products could infringe intellectual property rights of others, which may require costly litigation and, if we are not successful, could cause us to pay substantial damages and disrupt our business; we have filed a demand for arbitration and other lawsuits against our former largest customer, Sinovel, regarding amounts we contend are overdue. We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cannot be certain as to the outcome of these proceedings; we have been named as a party to purported stockholder class actions and stockholder derivative complaints, and we may be named in additional litigation, all of which will require significant management time and attention, result in significant legal expenses and may result in an unfavorable outcome, which could have a material adverse effect on our business, operating results and financial condition; our 7% convertible note contains warrants and provisions that could limit our ability to repay the note in shares of common stock and should the note be repaid in stock, shareholders could experience significant dilution; our common stock has experienced, and may continue to experience, significant market price and volume fluctuations, which may prevent our stockholders from selling our common stock at a profit and could lead to costly litigation against us that could divert our management’s attention; and new regulations related to conflict-free minerals may force us to incur significant additional expenses. These and the important factors discussed under the caption “Risk Factors” in Part II. Item 1A and Part 1. Item 1A of our Form 10-K/A for the fiscal year ended March 31, 2012,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American Superconductor</w:t>
      </w:r>
      <w:r>
        <w:rPr>
          <w:rFonts w:ascii="Arial" w:cs="Arial" w:eastAsia="Arial" w:hAnsi="Arial"/>
          <w:sz w:val="11"/>
          <w:szCs w:val="11"/>
          <w:color w:val="auto"/>
        </w:rPr>
        <w:t>®</w:t>
      </w:r>
      <w:r>
        <w:rPr>
          <w:rFonts w:ascii="Arial" w:cs="Arial" w:eastAsia="Arial" w:hAnsi="Arial"/>
          <w:sz w:val="18"/>
          <w:szCs w:val="18"/>
          <w:color w:val="auto"/>
        </w:rPr>
        <w:t>, Amperium</w:t>
      </w:r>
      <w:r>
        <w:rPr>
          <w:rFonts w:ascii="Arial" w:cs="Arial" w:eastAsia="Arial" w:hAnsi="Arial"/>
          <w:sz w:val="11"/>
          <w:szCs w:val="11"/>
          <w:color w:val="auto"/>
        </w:rPr>
        <w:t>®</w:t>
      </w:r>
      <w:r>
        <w:rPr>
          <w:rFonts w:ascii="Arial" w:cs="Arial" w:eastAsia="Arial" w:hAnsi="Arial"/>
          <w:sz w:val="18"/>
          <w:szCs w:val="18"/>
          <w:color w:val="auto"/>
        </w:rPr>
        <w:t>, AMSC</w:t>
      </w:r>
      <w:r>
        <w:rPr>
          <w:rFonts w:ascii="Arial" w:cs="Arial" w:eastAsia="Arial" w:hAnsi="Arial"/>
          <w:sz w:val="11"/>
          <w:szCs w:val="11"/>
          <w:color w:val="auto"/>
        </w:rPr>
        <w:t>®</w:t>
      </w:r>
      <w:r>
        <w:rPr>
          <w:rFonts w:ascii="Arial" w:cs="Arial" w:eastAsia="Arial" w:hAnsi="Arial"/>
          <w:sz w:val="18"/>
          <w:szCs w:val="18"/>
          <w:color w:val="auto"/>
        </w:rPr>
        <w:t>, D-VAR</w:t>
      </w:r>
      <w:r>
        <w:rPr>
          <w:rFonts w:ascii="Arial" w:cs="Arial" w:eastAsia="Arial" w:hAnsi="Arial"/>
          <w:sz w:val="11"/>
          <w:szCs w:val="11"/>
          <w:color w:val="auto"/>
        </w:rPr>
        <w:t>®</w:t>
      </w:r>
      <w:r>
        <w:rPr>
          <w:rFonts w:ascii="Arial" w:cs="Arial" w:eastAsia="Arial" w:hAnsi="Arial"/>
          <w:sz w:val="18"/>
          <w:szCs w:val="18"/>
          <w:color w:val="auto"/>
        </w:rPr>
        <w:t>, PowerModule</w:t>
      </w:r>
      <w:r>
        <w:rPr>
          <w:rFonts w:ascii="Arial" w:cs="Arial" w:eastAsia="Arial" w:hAnsi="Arial"/>
          <w:sz w:val="11"/>
          <w:szCs w:val="11"/>
          <w:color w:val="auto"/>
        </w:rPr>
        <w:t>TM</w:t>
      </w:r>
      <w:r>
        <w:rPr>
          <w:rFonts w:ascii="Arial" w:cs="Arial" w:eastAsia="Arial" w:hAnsi="Arial"/>
          <w:sz w:val="18"/>
          <w:szCs w:val="18"/>
          <w:color w:val="auto"/>
        </w:rPr>
        <w:t>, PQ-IVR</w:t>
      </w:r>
      <w:r>
        <w:rPr>
          <w:rFonts w:ascii="Arial" w:cs="Arial" w:eastAsia="Arial" w:hAnsi="Arial"/>
          <w:sz w:val="11"/>
          <w:szCs w:val="11"/>
          <w:color w:val="auto"/>
        </w:rPr>
        <w:t>®</w:t>
      </w:r>
      <w:r>
        <w:rPr>
          <w:rFonts w:ascii="Arial" w:cs="Arial" w:eastAsia="Arial" w:hAnsi="Arial"/>
          <w:sz w:val="18"/>
          <w:szCs w:val="18"/>
          <w:color w:val="auto"/>
        </w:rPr>
        <w:t>, SeaTitan</w:t>
      </w:r>
      <w:r>
        <w:rPr>
          <w:rFonts w:ascii="Arial" w:cs="Arial" w:eastAsia="Arial" w:hAnsi="Arial"/>
          <w:sz w:val="11"/>
          <w:szCs w:val="11"/>
          <w:color w:val="auto"/>
        </w:rPr>
        <w:t>TM</w:t>
      </w:r>
      <w:r>
        <w:rPr>
          <w:rFonts w:ascii="Arial" w:cs="Arial" w:eastAsia="Arial" w:hAnsi="Arial"/>
          <w:sz w:val="18"/>
          <w:szCs w:val="18"/>
          <w:color w:val="auto"/>
        </w:rPr>
        <w:t>, Gridtec Solutions</w:t>
      </w:r>
      <w:r>
        <w:rPr>
          <w:rFonts w:ascii="Arial" w:cs="Arial" w:eastAsia="Arial" w:hAnsi="Arial"/>
          <w:sz w:val="11"/>
          <w:szCs w:val="11"/>
          <w:color w:val="auto"/>
        </w:rPr>
        <w:t>TM</w:t>
      </w:r>
      <w:r>
        <w:rPr>
          <w:rFonts w:ascii="Arial" w:cs="Arial" w:eastAsia="Arial" w:hAnsi="Arial"/>
          <w:sz w:val="18"/>
          <w:szCs w:val="18"/>
          <w:color w:val="auto"/>
        </w:rPr>
        <w:t>, Windtec Solutions</w:t>
      </w:r>
      <w:r>
        <w:rPr>
          <w:rFonts w:ascii="Arial" w:cs="Arial" w:eastAsia="Arial" w:hAnsi="Arial"/>
          <w:sz w:val="11"/>
          <w:szCs w:val="11"/>
          <w:color w:val="auto"/>
        </w:rPr>
        <w:t>TM</w:t>
      </w:r>
      <w:r>
        <w:rPr>
          <w:rFonts w:ascii="Arial" w:cs="Arial" w:eastAsia="Arial" w:hAnsi="Arial"/>
          <w:sz w:val="18"/>
          <w:szCs w:val="18"/>
          <w:color w:val="auto"/>
        </w:rPr>
        <w:t xml:space="preserve"> and Smarter, Cleaner… Better Energy</w:t>
      </w:r>
      <w:r>
        <w:rPr>
          <w:rFonts w:ascii="Arial" w:cs="Arial" w:eastAsia="Arial" w:hAnsi="Arial"/>
          <w:sz w:val="11"/>
          <w:szCs w:val="11"/>
          <w:color w:val="auto"/>
        </w:rPr>
        <w:t>TM</w:t>
      </w:r>
      <w:r>
        <w:rPr>
          <w:rFonts w:ascii="Arial" w:cs="Arial" w:eastAsia="Arial" w:hAnsi="Arial"/>
          <w:sz w:val="18"/>
          <w:szCs w:val="18"/>
          <w:color w:val="auto"/>
        </w:rPr>
        <w:t xml:space="preserve"> are trademarks or registered trademarks of American Superconductor Corporation or its subsidiaries. We reserve all of our rights with respect to our trademarks or registered trademarks regardless of whether they are so designated in this Quarterly Report on Form 10-Q by an </w:t>
      </w:r>
      <w:r>
        <w:rPr>
          <w:rFonts w:ascii="Arial" w:cs="Arial" w:eastAsia="Arial" w:hAnsi="Arial"/>
          <w:sz w:val="11"/>
          <w:szCs w:val="11"/>
          <w:color w:val="auto"/>
        </w:rPr>
        <w:t>®</w:t>
      </w:r>
      <w:r>
        <w:rPr>
          <w:rFonts w:ascii="Arial" w:cs="Arial" w:eastAsia="Arial" w:hAnsi="Arial"/>
          <w:sz w:val="18"/>
          <w:szCs w:val="18"/>
          <w:color w:val="auto"/>
        </w:rPr>
        <w:t xml:space="preserve"> or </w:t>
      </w:r>
      <w:r>
        <w:rPr>
          <w:rFonts w:ascii="Arial" w:cs="Arial" w:eastAsia="Arial" w:hAnsi="Arial"/>
          <w:sz w:val="11"/>
          <w:szCs w:val="11"/>
          <w:color w:val="auto"/>
        </w:rPr>
        <w:t>TM</w:t>
      </w:r>
      <w:r>
        <w:rPr>
          <w:rFonts w:ascii="Arial" w:cs="Arial" w:eastAsia="Arial" w:hAnsi="Arial"/>
          <w:sz w:val="18"/>
          <w:szCs w:val="18"/>
          <w:color w:val="auto"/>
        </w:rPr>
        <w:t xml:space="preserve"> symbol. All other brand names, product names, trademarks or service marks appearing in this Quarterly Report on Form 10-Q are the property of their respective 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American Superconductor Corporation was founded on April 9, 1987. We are a leading provider of megawatt-scale solutions that lower the cost of wind power and enhance the performance of the power grid. In the wind power market, we enable manufacturers to field highly competitive wind turbines through our advanced power electronics products, engineering, and support services. In the power grid market, we enable electric utilities and renewable energy project developers to connect, transmit and distribute power through our transmission planning services and power electronics and superconductor-based products. Our wind and power grid products and services provide exceptional reliability, security, efficiency and affordability to our customers.</w:t>
      </w:r>
    </w:p>
    <w:p>
      <w:pPr>
        <w:spacing w:after="0" w:line="116"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Our wind and power grid solutions help to improve energy efficiency, alleviate power grid capacity constraints and increase the adoption of renewable energy generation. Demand for our solutions is driven by the growing needs for renewable sources of electricity, such as wind and solar energy, and for modernized smart grids that improve power reliability and quality. Concerns about these factors have led to increased spending by corporations as well as supportive government regulations and initiatives on local, state, national and global levels, including renewable portfolio standards, tax incentives and international treaties.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manufacture products using two proprietary core technologies: PowerModule™ programmable power electronic converters and our Amperium</w:t>
      </w:r>
      <w:r>
        <w:rPr>
          <w:rFonts w:ascii="Arial" w:cs="Arial" w:eastAsia="Arial" w:hAnsi="Arial"/>
          <w:sz w:val="11"/>
          <w:szCs w:val="11"/>
          <w:color w:val="auto"/>
        </w:rPr>
        <w:t>®</w:t>
      </w:r>
      <w:r>
        <w:rPr>
          <w:rFonts w:ascii="Arial" w:cs="Arial" w:eastAsia="Arial" w:hAnsi="Arial"/>
          <w:sz w:val="18"/>
          <w:szCs w:val="18"/>
          <w:color w:val="auto"/>
        </w:rPr>
        <w:t xml:space="preserve"> HTS (High Temperature Superconductor) wires. These technologies and our system-level solutions are protected by a broad and deep intellectual property portfolio consisting of hundreds of patents and licenses worldwide.</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operate our business under two market-facing business units: Wind and Grid. We believe this market-centric structure enables us to more effectively anticipate and meet the needs of wind turbine manufacturers, power generation project developers and electric utilities.</w:t>
      </w:r>
    </w:p>
    <w:p>
      <w:pPr>
        <w:spacing w:after="0" w:line="51" w:lineRule="exact"/>
        <w:rPr>
          <w:sz w:val="20"/>
          <w:szCs w:val="20"/>
          <w:color w:val="auto"/>
        </w:rPr>
      </w:pPr>
    </w:p>
    <w:p>
      <w:pPr>
        <w:ind w:left="1480" w:hanging="446"/>
        <w:spacing w:after="0" w:line="294"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Wind. </w:t>
      </w:r>
      <w:r>
        <w:rPr>
          <w:rFonts w:ascii="Arial" w:cs="Arial" w:eastAsia="Arial" w:hAnsi="Arial"/>
          <w:sz w:val="16"/>
          <w:szCs w:val="16"/>
          <w:color w:val="auto"/>
        </w:rPr>
        <w:t>Through our Windtec Solutions, our Wind business segment enables manufacturers to field wind turbines with exceptional power</w:t>
      </w:r>
      <w:r>
        <w:rPr>
          <w:rFonts w:ascii="Arial" w:cs="Arial" w:eastAsia="Arial" w:hAnsi="Arial"/>
          <w:sz w:val="16"/>
          <w:szCs w:val="16"/>
          <w:i w:val="1"/>
          <w:iCs w:val="1"/>
          <w:color w:val="auto"/>
        </w:rPr>
        <w:t xml:space="preserve"> </w:t>
      </w:r>
      <w:r>
        <w:rPr>
          <w:rFonts w:ascii="Arial" w:cs="Arial" w:eastAsia="Arial" w:hAnsi="Arial"/>
          <w:sz w:val="16"/>
          <w:szCs w:val="16"/>
          <w:color w:val="auto"/>
        </w:rPr>
        <w:t>output, reliability and affordability. We supply advanced power electronics and control systems, license our highly engineered wind turbine designs, and provide extensive customer support services to wind turbine manufacturers. Our design portfolio includes a broad range of drive trains and power ratings up to 10 megawatts. We provide a broad range of power electronics and software based control systems that are highly integrated and redesigned for optimized performance, efficiency, and grid compatibility.</w:t>
      </w:r>
    </w:p>
    <w:p>
      <w:pPr>
        <w:spacing w:after="0" w:line="34" w:lineRule="exact"/>
        <w:rPr>
          <w:rFonts w:ascii="Arial" w:cs="Arial" w:eastAsia="Arial" w:hAnsi="Arial"/>
          <w:sz w:val="16"/>
          <w:szCs w:val="16"/>
          <w:color w:val="auto"/>
        </w:rPr>
      </w:pPr>
    </w:p>
    <w:p>
      <w:pPr>
        <w:ind w:left="1480" w:right="120" w:hanging="446"/>
        <w:spacing w:after="0" w:line="294"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Grid. </w:t>
      </w:r>
      <w:r>
        <w:rPr>
          <w:rFonts w:ascii="Arial" w:cs="Arial" w:eastAsia="Arial" w:hAnsi="Arial"/>
          <w:sz w:val="16"/>
          <w:szCs w:val="16"/>
          <w:color w:val="auto"/>
        </w:rPr>
        <w:t>Through our Gridtec Solutions, our Grid business segment enables electric utilities and renewable energy project developers to</w:t>
      </w:r>
      <w:r>
        <w:rPr>
          <w:rFonts w:ascii="Arial" w:cs="Arial" w:eastAsia="Arial" w:hAnsi="Arial"/>
          <w:sz w:val="16"/>
          <w:szCs w:val="16"/>
          <w:i w:val="1"/>
          <w:iCs w:val="1"/>
          <w:color w:val="auto"/>
        </w:rPr>
        <w:t xml:space="preserve"> </w:t>
      </w:r>
      <w:r>
        <w:rPr>
          <w:rFonts w:ascii="Arial" w:cs="Arial" w:eastAsia="Arial" w:hAnsi="Arial"/>
          <w:sz w:val="16"/>
          <w:szCs w:val="16"/>
          <w:color w:val="auto"/>
        </w:rPr>
        <w:t>connect, transmit and distribute power with exceptional efficiency, reliability and affordability. We provide transmission planning services that allow us to identify power grid congestion, poor power quality and other risks, which help us determine how our solutions can improve network performance. These services often lead to sales of grid interconnection solutions for wind farms and solar power plants, power quality systems and transmission and distribution cable systems.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fiscal year begins on April 1 and ends on March 31. This document refers to fiscal 2012, which is defined as the period beginning on April 1, 2012 and concluding on March 31, 2013. The third quarter of fiscal 2012 began on October 1, 2012 and concluded on December 31, 2012.</w:t>
      </w:r>
    </w:p>
    <w:p>
      <w:pPr>
        <w:spacing w:after="0" w:line="8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April 4, 2012 we completed a private placement of a $25.0 million of senior convertible note (the “Initial Note”) with Capital Ventures International (“CVI”), an affiliate of Heights Capital Management. On June 5, 2012, we entered into a $10.0 million Loan and Security Agreement (“Term Loan”) with Hercules Technology Growth Capital, Inc. On December 20, 2012, we entered into an Amendment and Exchange Agreement, (the “Amendment”), with CVI , pursuant to which we exchanged the Initial Note for a new unsecured, senior convertible note (the “Exchanged Note”), which had the same principal amount and accrued interest as the Initial Note at the time of the exchange. See Liquidity and Capital Resources below for further discussion of these debt arrangements.</w:t>
      </w:r>
    </w:p>
    <w:p>
      <w:pPr>
        <w:spacing w:after="0" w:line="11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In response to challenging conditions in the wind power market, on November 28, 2012 we reduced our global workforce by approximately 25%. In addition, we plan to consolidate certain of our office locations. These workforce reductions and planned office consolidations are expected to lower operating costs and enhance liquidity. We expect these reductions to result in a reduction of our annualized expenses of approximately $10 million.</w:t>
      </w:r>
    </w:p>
    <w:p>
      <w:pPr>
        <w:spacing w:after="0" w:line="10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Our cash requirements depend on numerous factors, including our ability to profitably grow revenues, fund and maintain compliance with the covenants and restrictions on our debt obligations, successful completion of our product development activities, ability to commercialize our product prototypes, rate of customer and market adoption of our products, and collecting receivables according to established terms. Significant deviations to our business plan with regard to these factors, which are important drivers to our business, could have a material adverse effect on our operating performance, financial condition, and future business prospects. We expect to pursue the expansion of our operations through internal growth, diversification of our customer base, and potential strategic alliances. Potential sources of additional capital include the sale of assets, or obtaining additional financing. With respect to additional financing, there can be no assurance that we will be able to sell assets, or that a financing will be available, with commercially acceptable terms or at all. See below for a discussion of liquidity and capital resources.</w:t>
      </w:r>
    </w:p>
    <w:p>
      <w:pPr>
        <w:spacing w:after="0" w:line="11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During March 2011, we engaged in discussions with Sinovel, formerly our largest customer, regarding the acceptance of its scheduled shipments, outstanding receivables, and the delivery of a custom solution desired by Sinovel for low voltage ride through (“LVRT”) that required a modification to our existing LVRT design. The custom design required modified software and additional hardware. Toward the end of March, Sinovel requested that we provide them with the additional hardware without additional cost. On March 31, 2011, we proposed to Sinovel that we would provide the additional hardware without additional cost if Sinovel would accept the scheduled shipments. Sinovel rejected this proposal due to what we were told was excess inventory of our components. Since Sinovel did not give us the requisite notice under our contracts that they intended to delay deliveries, we believe that these actions constitute material breaches of our contracts.</w:t>
      </w:r>
    </w:p>
    <w:p>
      <w:pPr>
        <w:spacing w:after="0" w:line="14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As of the date of this filing, we have not received payment from Sinovel for any outstanding receivables nor have we been notified as to when, if ever, Sinovel will accept contracted shipments that were scheduled for delivery after March 31, 2011. Additionally, based in part upon evidence obtained through an internal investigation and a criminal investigation conducted by Austrian authorities regarding the actions of a former employee of our Austrian subsidiary, we believe that Sinovel illegally obtained and used our intellectual property in violation of civil and criminal intellectual property laws. In July 2011, a former employee of our Austrian subsidiary was arrested in Austria on charges of economic espionage and fraudulent manipulation of data. In September 2011, the former employee pled guilty to the charges, and was imprisoned. The evidence presented during the court hearing showed that this former employee was contracted by Sinovel through an intermediary, while employed by us, and improperly obtained and transferred to Sinovel portions of our wind turbine control software source code developed for Sinovel’s 1.5MW wind turbines. Except for portions of this 1.5MW wind turbine software, we do not believe that the source code for any other turbines, such as the 3MW, 5MW and 6MW wind turbines, that were designed by and co-developed with us, have been transferred to Sinovel. Moreover, we believe the evidence shows this former employee illegally used source code to develop, for Sinovel, a software modification to circumvent the encryption and remove technical protection measures on the PM3000 power converters in 1.5MW wind turbines in the field. We believe that only the binary code, or upper layer, of the PM3000 software developed to circumvent the encryption and remove technical protection measures was transferred to Sinovel. We do not believe that any PM3000 source code was transferred to Sinovel. These actions potentially enable Sinovel to deploy, independent of us, wind turbine control software, including a low voltage ride through solution, on all of its 1.5MW wind turbines in the field. In addition, by having the wind turbine control source code, Sinovel could potentially modify the source code to allow the use of core electrical components, including power converters, from other manufacturers.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September 13, 2011, we commenced a series of legal actions in China against Sinovel. We filed a claim for arbitration in Beijing, China to compel Sinovel to pay us for past product shipments and to accept all contracted but not yet delivered core electrical components and spare parts under all existing contracts with us. The arbitration claim was filed with the Beijing Arbitration Commission in accordance with the terms of our supply contracts with Sinovel. We also filed civil and criminal complaints against Sinovel.</w:t>
      </w:r>
    </w:p>
    <w:p>
      <w:pPr>
        <w:spacing w:after="0" w:line="14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We cannot provide any assurance as to the outcome of these legal actions. See Part II, Item 1, Legal Proceedings below for additional information regarding these legal proceedings.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Except as stated below, there were no significant changes in the critical accounting policies during the nine months ended December 31, 2012 that were disclosed in our Form 10-K/A for fiscal 2011, which ended on March 31,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financial instruments consist principally of cash and cash equivalents, accounts receivable, accounts payable, accrued expenses, derivatives, warrants, convertible notes and a term loan. The estimated fair values have been determined through information obtained from market sources and management estimates. The carrying amounts of these instruments approximate fair value. We have identified all of the derivatives associated with the Exchanged Note which include holder change of control redemption rights, issuer optional redemption rights, sale redemption rights and a feature to covert the Convertible Note into equity at the holder’s option. The derivative liability is subject to revaluation at each balance sheet date, and any change in fair value will be recorded as a change in fair value in other income (expense) until the earlier of their exercise or expiration of the derivatives associated with the Exchanged Note. We rely on assumptions in a lattice model to determine the fair value of the derivative liability. We have appropriately valued the derivative liability within Level 3 of the valuation hierarchy. Warrants were issued in conjunction with the Exchanged Note and Term Loan. These warrants are subject to revaluation at each balance sheet date, and any change in fair value will be recorded as a change in fair value in other income (expense) until the earlier of the warrants’ exercise or expiration. We rely on assumptions used in a Black-Scholes model to determine the fair value of the warrants. We have appropriately valued the warrants within Level 3 of the valuation hierarchy.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December 31, 2012 compared to the three and nine months ended December 31,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Total revenues decreased by 4% to $17.4 million for the three months ended December 31, 2012, compared to $18.1 million for the three months ended December 31, 2011. Total revenues increased by 40% to $67.0 million for the nine months ended December 31, 2012, compared to $47.9 million for the nine months ended December 31, 2011. Our revenues are summarized as follows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right"/>
              <w:ind w:right="97"/>
              <w:spacing w:after="0"/>
              <w:rPr>
                <w:sz w:val="20"/>
                <w:szCs w:val="20"/>
                <w:color w:val="auto"/>
              </w:rPr>
            </w:pPr>
            <w:r>
              <w:rPr>
                <w:rFonts w:ascii="Arial" w:cs="Arial" w:eastAsia="Arial" w:hAnsi="Arial"/>
                <w:sz w:val="14"/>
                <w:szCs w:val="14"/>
                <w:b w:val="1"/>
                <w:bCs w:val="1"/>
                <w:color w:val="auto"/>
                <w:w w:val="91"/>
              </w:rPr>
              <w:t>Three months ended</w:t>
            </w:r>
          </w:p>
        </w:tc>
        <w:tc>
          <w:tcPr>
            <w:tcW w:w="400" w:type="dxa"/>
            <w:vAlign w:val="bottom"/>
          </w:tcPr>
          <w:p>
            <w:pPr>
              <w:spacing w:after="0"/>
              <w:rPr>
                <w:sz w:val="14"/>
                <w:szCs w:val="14"/>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Nine months ended</w:t>
            </w: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right"/>
              <w:ind w:right="297"/>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5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3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440"/>
              <w:spacing w:after="0"/>
              <w:rPr>
                <w:sz w:val="20"/>
                <w:szCs w:val="20"/>
                <w:color w:val="auto"/>
              </w:rPr>
            </w:pPr>
            <w:r>
              <w:rPr>
                <w:rFonts w:ascii="Arial" w:cs="Arial" w:eastAsia="Arial" w:hAnsi="Arial"/>
                <w:sz w:val="18"/>
                <w:szCs w:val="18"/>
                <w:color w:val="auto"/>
              </w:rPr>
              <w:t>Wind</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6,808</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$10,125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$35,321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Grid</w:t>
            </w: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3"/>
              </w:rPr>
              <w:t>10,609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00" w:type="dxa"/>
            <w:vAlign w:val="bottom"/>
            <w:vMerge w:val="continue"/>
          </w:tcPr>
          <w:p>
            <w:pPr>
              <w:spacing w:after="0"/>
              <w:rPr>
                <w:sz w:val="19"/>
                <w:szCs w:val="19"/>
                <w:color w:val="auto"/>
              </w:rPr>
            </w:pPr>
          </w:p>
        </w:tc>
        <w:tc>
          <w:tcPr>
            <w:tcW w:w="3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17,417</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18,058</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67,000</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900" w:type="dxa"/>
            <w:vAlign w:val="bottom"/>
            <w:vMerge w:val="restart"/>
          </w:tcPr>
          <w:p>
            <w:pPr>
              <w:jc w:val="right"/>
              <w:ind w:right="1472"/>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Wind business unit accounted for 39% and 53% of total revenues for the three and nine months ended December 31, 2012, respectively, compared to 56% and 58% for the three and nine months ended December 31, 2011, respectively. Revenues in the Wind business unit decreased 33% and increased 27% to $6.8 million and $35.3 million in the three and nine months ended December 31, 2012, respectively, from $10.1 million and $27.8 million in the three and nine months ended December 31, 2011, respectively. The decrease in the Wind business unit revenues in the three months ended December 31, 2012, compared to the same prior year period was primarily due to decreased shipments of electrical control systems to customers in India and Korea amid a challenging global market environment in the wind industry. Wind business unit revenues increased in the nine months ended December 31, 2012, as compared to the prior year period primarily due to increased shipments of electrical control systems to customers in China and India.</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Grid business unit accounted for 61% and 47% of total revenues for the three and nine months ended December 31, 2012, respectively, compared to 44% and 42% for the three and nine months ended December 31, 2011, respectively. Our Grid business unit revenues increased 34% and 58% to $10.6 million and $31.7 million in the three and nine months ended December 31, 2012, respectively, from $7.9 million and $20.1 million for the three and nine months ended December 31, 2011, respectively. For the three months ended December 31, 2012, Grid business unit revenues increased primarily due to increased D-VAR shipments to customers in the United Kingdom. For the nine months ended December 31, 2012, Grid business unit revenues increased primarily due to increased D-VAR revenues to customers in Australia and the United Kingdom.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from significant government-funded contracts are summarized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62"/>
              <w:spacing w:after="0"/>
              <w:rPr>
                <w:sz w:val="20"/>
                <w:szCs w:val="20"/>
                <w:color w:val="auto"/>
              </w:rPr>
            </w:pPr>
            <w:r>
              <w:rPr>
                <w:rFonts w:ascii="Arial" w:cs="Arial" w:eastAsia="Arial" w:hAnsi="Arial"/>
                <w:sz w:val="14"/>
                <w:szCs w:val="14"/>
                <w:b w:val="1"/>
                <w:bCs w:val="1"/>
                <w:color w:val="auto"/>
                <w:w w:val="85"/>
              </w:rPr>
              <w:t>Revenue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2"/>
              <w:spacing w:after="0"/>
              <w:rPr>
                <w:sz w:val="20"/>
                <w:szCs w:val="20"/>
                <w:color w:val="auto"/>
              </w:rPr>
            </w:pPr>
            <w:r>
              <w:rPr>
                <w:rFonts w:ascii="Arial" w:cs="Arial" w:eastAsia="Arial" w:hAnsi="Arial"/>
                <w:sz w:val="14"/>
                <w:szCs w:val="14"/>
                <w:b w:val="1"/>
                <w:bCs w:val="1"/>
                <w:color w:val="auto"/>
                <w:w w:val="87"/>
              </w:rPr>
              <w:t>earned</w:t>
            </w:r>
          </w:p>
        </w:tc>
        <w:tc>
          <w:tcPr>
            <w:tcW w:w="300" w:type="dxa"/>
            <w:vAlign w:val="bottom"/>
          </w:tcPr>
          <w:p>
            <w:pPr>
              <w:spacing w:after="0"/>
              <w:rPr>
                <w:sz w:val="14"/>
                <w:szCs w:val="14"/>
                <w:color w:val="auto"/>
              </w:rPr>
            </w:pPr>
          </w:p>
        </w:tc>
        <w:tc>
          <w:tcPr>
            <w:tcW w:w="1320" w:type="dxa"/>
            <w:vAlign w:val="bottom"/>
            <w:gridSpan w:val="5"/>
          </w:tcPr>
          <w:p>
            <w:pPr>
              <w:jc w:val="right"/>
              <w:spacing w:after="0"/>
              <w:rPr>
                <w:sz w:val="20"/>
                <w:szCs w:val="20"/>
                <w:color w:val="auto"/>
              </w:rPr>
            </w:pPr>
            <w:r>
              <w:rPr>
                <w:rFonts w:ascii="Arial" w:cs="Arial" w:eastAsia="Arial" w:hAnsi="Arial"/>
                <w:sz w:val="14"/>
                <w:szCs w:val="14"/>
                <w:b w:val="1"/>
                <w:bCs w:val="1"/>
                <w:color w:val="auto"/>
                <w:w w:val="88"/>
              </w:rPr>
              <w:t>Three months ended</w:t>
            </w:r>
          </w:p>
        </w:tc>
        <w:tc>
          <w:tcPr>
            <w:tcW w:w="280" w:type="dxa"/>
            <w:vAlign w:val="bottom"/>
          </w:tcPr>
          <w:p>
            <w:pPr>
              <w:spacing w:after="0"/>
              <w:rPr>
                <w:sz w:val="14"/>
                <w:szCs w:val="14"/>
                <w:color w:val="auto"/>
              </w:rPr>
            </w:pPr>
          </w:p>
        </w:tc>
        <w:tc>
          <w:tcPr>
            <w:tcW w:w="14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through</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jc w:val="right"/>
              <w:ind w:right="196"/>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14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27"/>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0"/>
              </w:rPr>
              <w:t>Project name</w:t>
            </w:r>
          </w:p>
        </w:tc>
        <w:tc>
          <w:tcPr>
            <w:tcW w:w="538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gridSpan w:val="3"/>
            <w:vMerge w:val="restart"/>
          </w:tcPr>
          <w:p>
            <w:pPr>
              <w:spacing w:after="0" w:line="136" w:lineRule="exact"/>
              <w:rPr>
                <w:sz w:val="20"/>
                <w:szCs w:val="20"/>
                <w:color w:val="auto"/>
              </w:rPr>
            </w:pPr>
            <w:r>
              <w:rPr>
                <w:rFonts w:ascii="Arial" w:cs="Arial" w:eastAsia="Arial" w:hAnsi="Arial"/>
                <w:sz w:val="14"/>
                <w:szCs w:val="14"/>
                <w:b w:val="1"/>
                <w:bCs w:val="1"/>
                <w:color w:val="auto"/>
                <w:w w:val="85"/>
              </w:rPr>
              <w:t>Expected total</w:t>
            </w:r>
          </w:p>
        </w:tc>
        <w:tc>
          <w:tcPr>
            <w:tcW w:w="260" w:type="dxa"/>
            <w:vAlign w:val="bottom"/>
          </w:tcPr>
          <w:p>
            <w:pPr>
              <w:spacing w:after="0"/>
              <w:rPr>
                <w:sz w:val="2"/>
                <w:szCs w:val="2"/>
                <w:color w:val="auto"/>
              </w:rPr>
            </w:pPr>
          </w:p>
        </w:tc>
        <w:tc>
          <w:tcPr>
            <w:tcW w:w="800" w:type="dxa"/>
            <w:vAlign w:val="bottom"/>
            <w:gridSpan w:val="2"/>
            <w:vMerge w:val="restart"/>
          </w:tcPr>
          <w:p>
            <w:pPr>
              <w:jc w:val="center"/>
              <w:spacing w:after="0" w:line="136" w:lineRule="exact"/>
              <w:rPr>
                <w:sz w:val="20"/>
                <w:szCs w:val="20"/>
                <w:color w:val="auto"/>
              </w:rPr>
            </w:pPr>
            <w:r>
              <w:rPr>
                <w:rFonts w:ascii="Arial" w:cs="Arial" w:eastAsia="Arial" w:hAnsi="Arial"/>
                <w:sz w:val="14"/>
                <w:szCs w:val="14"/>
                <w:b w:val="1"/>
                <w:bCs w:val="1"/>
                <w:color w:val="auto"/>
                <w:w w:val="85"/>
              </w:rPr>
              <w:t>December 31,</w:t>
            </w:r>
          </w:p>
        </w:tc>
        <w:tc>
          <w:tcPr>
            <w:tcW w:w="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820" w:type="dxa"/>
            <w:vAlign w:val="bottom"/>
            <w:vMerge w:val="continue"/>
          </w:tcPr>
          <w:p>
            <w:pPr>
              <w:spacing w:after="0"/>
              <w:rPr>
                <w:sz w:val="7"/>
                <w:szCs w:val="7"/>
                <w:color w:val="auto"/>
              </w:rPr>
            </w:pPr>
          </w:p>
        </w:tc>
        <w:tc>
          <w:tcPr>
            <w:tcW w:w="53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53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86"/>
              </w:rPr>
              <w:t>contract value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22"/>
              <w:spacing w:after="0" w:line="148"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9"/>
              <w:spacing w:after="0" w:line="148" w:lineRule="exact"/>
              <w:rPr>
                <w:sz w:val="20"/>
                <w:szCs w:val="20"/>
                <w:color w:val="auto"/>
              </w:rPr>
            </w:pPr>
            <w:r>
              <w:rPr>
                <w:rFonts w:ascii="Arial" w:cs="Arial" w:eastAsia="Arial" w:hAnsi="Arial"/>
                <w:sz w:val="14"/>
                <w:szCs w:val="14"/>
                <w:b w:val="1"/>
                <w:bCs w:val="1"/>
                <w:color w:val="auto"/>
                <w:w w:val="83"/>
              </w:rPr>
              <w:t>2012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56"/>
              <w:spacing w:after="0" w:line="148" w:lineRule="exact"/>
              <w:rPr>
                <w:sz w:val="20"/>
                <w:szCs w:val="20"/>
                <w:color w:val="auto"/>
              </w:rPr>
            </w:pPr>
            <w:r>
              <w:rPr>
                <w:rFonts w:ascii="Arial" w:cs="Arial" w:eastAsia="Arial" w:hAnsi="Arial"/>
                <w:sz w:val="14"/>
                <w:szCs w:val="14"/>
                <w:b w:val="1"/>
                <w:bCs w:val="1"/>
                <w:color w:val="auto"/>
                <w:w w:val="83"/>
              </w:rPr>
              <w:t>2011</w:t>
            </w:r>
          </w:p>
        </w:tc>
        <w:tc>
          <w:tcPr>
            <w:tcW w:w="780" w:type="dxa"/>
            <w:vAlign w:val="bottom"/>
            <w:gridSpan w:val="2"/>
          </w:tcPr>
          <w:p>
            <w:pPr>
              <w:jc w:val="right"/>
              <w:ind w:right="22"/>
              <w:spacing w:after="0" w:line="148" w:lineRule="exact"/>
              <w:rPr>
                <w:sz w:val="20"/>
                <w:szCs w:val="20"/>
                <w:color w:val="auto"/>
              </w:rPr>
            </w:pPr>
            <w:r>
              <w:rPr>
                <w:rFonts w:ascii="Arial" w:cs="Arial" w:eastAsia="Arial" w:hAnsi="Arial"/>
                <w:sz w:val="14"/>
                <w:szCs w:val="14"/>
                <w:b w:val="1"/>
                <w:bCs w:val="1"/>
                <w:color w:val="auto"/>
              </w:rPr>
              <w:t>2012</w:t>
            </w:r>
          </w:p>
        </w:tc>
        <w:tc>
          <w:tcPr>
            <w:tcW w:w="800" w:type="dxa"/>
            <w:vAlign w:val="bottom"/>
            <w:gridSpan w:val="2"/>
          </w:tcPr>
          <w:p>
            <w:pPr>
              <w:jc w:val="right"/>
              <w:ind w:right="32"/>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HYDRA</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29,043</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13,815</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549</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511</w:t>
            </w: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$1,658</w:t>
            </w: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$1,208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LIPA I and II</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40,141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40,141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DOE-FCL</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77,082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61,492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574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722</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$ 3,117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These significant projects represented 5% and 7% of the Grid business unit revenues for the three and nine months ended December 31, 2012, respectively, compared to 9% and 16% of the Grid business unit revenues for the three and nine months ended December 31, 2011, respectively.</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Project HYDRA is a project with Consolidated Edison, Inc. that is being partially funded by the Department of Homeland Security (“DHS”). DHS is expected to invest up to a total of $29.0 million in the development of a new HTS power grid technology called FaultBlocker cable systems. FaultBlocker cable systems are designed to utilize customized Amperium</w:t>
      </w:r>
      <w:r>
        <w:rPr>
          <w:rFonts w:ascii="Arial" w:cs="Arial" w:eastAsia="Arial" w:hAnsi="Arial"/>
          <w:sz w:val="11"/>
          <w:szCs w:val="11"/>
          <w:color w:val="auto"/>
        </w:rPr>
        <w:t>®</w:t>
      </w:r>
      <w:r>
        <w:rPr>
          <w:rFonts w:ascii="Arial" w:cs="Arial" w:eastAsia="Arial" w:hAnsi="Arial"/>
          <w:sz w:val="18"/>
          <w:szCs w:val="18"/>
          <w:color w:val="auto"/>
        </w:rPr>
        <w:t xml:space="preserve"> HTS wires, and ancillary controls to deliver more power through the grid while also being able to suppress power surges that can disrupt service. Of the total $29.0 million in funding expected from DHS, it has committed funding of $18.9 million to us as of December 31, 2012. On January 7, 2013, DHS committed an additional $1.6 million in funding to us for Project HYDRA. Consolidated Edison and Southwire Company are our subcontractors on this project.</w:t>
      </w:r>
    </w:p>
    <w:p>
      <w:pPr>
        <w:spacing w:after="0" w:line="14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LIPA II is a project to install an HTS power cable using our Amperium</w:t>
      </w:r>
      <w:r>
        <w:rPr>
          <w:rFonts w:ascii="Arial" w:cs="Arial" w:eastAsia="Arial" w:hAnsi="Arial"/>
          <w:sz w:val="11"/>
          <w:szCs w:val="11"/>
          <w:color w:val="auto"/>
        </w:rPr>
        <w:t>®</w:t>
      </w:r>
      <w:r>
        <w:rPr>
          <w:rFonts w:ascii="Arial" w:cs="Arial" w:eastAsia="Arial" w:hAnsi="Arial"/>
          <w:sz w:val="18"/>
          <w:szCs w:val="18"/>
          <w:color w:val="auto"/>
        </w:rPr>
        <w:t xml:space="preserve"> wire for the Long Island Power Authority. DOE-FCL is a project to develop and demonstrate a transmission voltage SuperLimiter fault current limiter (“FCL”).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customers who represented 10% or more of our total revenues for the three and nine months ended December 31,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18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85"/>
              </w:rPr>
              <w:t>Three months ended</w:t>
            </w:r>
          </w:p>
        </w:tc>
        <w:tc>
          <w:tcPr>
            <w:tcW w:w="17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4"/>
              </w:rPr>
              <w:t>Nine months ended</w:t>
            </w:r>
          </w:p>
        </w:tc>
      </w:tr>
      <w:tr>
        <w:trPr>
          <w:trHeight w:val="149"/>
        </w:trPr>
        <w:tc>
          <w:tcPr>
            <w:tcW w:w="43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80" w:type="dxa"/>
            <w:vAlign w:val="bottom"/>
            <w:gridSpan w:val="3"/>
          </w:tcPr>
          <w:p>
            <w:pPr>
              <w:jc w:val="center"/>
              <w:ind w:left="284"/>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3"/>
          </w:tcPr>
          <w:p>
            <w:pPr>
              <w:jc w:val="center"/>
              <w:ind w:left="279"/>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434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2011</w:t>
            </w:r>
          </w:p>
        </w:tc>
        <w:tc>
          <w:tcPr>
            <w:tcW w:w="6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76"/>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CG Power Solutions UK Ltd.</w:t>
            </w:r>
          </w:p>
        </w:tc>
        <w:tc>
          <w:tcPr>
            <w:tcW w:w="2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&lt;10%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E.ON Climate &amp; Renewables</w:t>
            </w:r>
          </w:p>
        </w:tc>
        <w:tc>
          <w:tcPr>
            <w:tcW w:w="3360" w:type="dxa"/>
            <w:vAlign w:val="bottom"/>
            <w:gridSpan w:val="3"/>
          </w:tcPr>
          <w:p>
            <w:pPr>
              <w:jc w:val="right"/>
              <w:ind w:right="52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&lt;10%</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INOX Wind Limited</w:t>
            </w:r>
          </w:p>
        </w:tc>
        <w:tc>
          <w:tcPr>
            <w:tcW w:w="3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26.5%</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20.5%</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Beijing JINGCHENG New Energy Co., Ltd.</w:t>
            </w:r>
          </w:p>
        </w:tc>
        <w:tc>
          <w:tcPr>
            <w:tcW w:w="3360" w:type="dxa"/>
            <w:vAlign w:val="bottom"/>
            <w:gridSpan w:val="3"/>
          </w:tcPr>
          <w:p>
            <w:pPr>
              <w:jc w:val="right"/>
              <w:ind w:right="520"/>
              <w:spacing w:after="0"/>
              <w:rPr>
                <w:sz w:val="20"/>
                <w:szCs w:val="20"/>
                <w:color w:val="auto"/>
              </w:rPr>
            </w:pPr>
            <w:r>
              <w:rPr>
                <w:rFonts w:ascii="Arial" w:cs="Arial" w:eastAsia="Arial" w:hAnsi="Arial"/>
                <w:sz w:val="18"/>
                <w:szCs w:val="18"/>
                <w:color w:val="auto"/>
              </w:rPr>
              <w:t>&lt;10%</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&lt;10%</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&lt;10%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Doosan Heavy Industries &amp; Construction Co Ltd.</w:t>
            </w:r>
          </w:p>
        </w:tc>
        <w:tc>
          <w:tcPr>
            <w:tcW w:w="3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&lt;10%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12.1%</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&lt;10%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14.8%</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Ergon Energy Corporation Limited</w:t>
            </w:r>
          </w:p>
        </w:tc>
        <w:tc>
          <w:tcPr>
            <w:tcW w:w="2280" w:type="dxa"/>
            <w:vAlign w:val="bottom"/>
          </w:tcPr>
          <w:p>
            <w:pPr>
              <w:spacing w:after="0"/>
              <w:rPr>
                <w:sz w:val="19"/>
                <w:szCs w:val="19"/>
                <w:color w:val="auto"/>
              </w:rPr>
            </w:pPr>
          </w:p>
        </w:tc>
        <w:tc>
          <w:tcPr>
            <w:tcW w:w="118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10.6%</w:t>
            </w:r>
          </w:p>
        </w:tc>
        <w:tc>
          <w:tcPr>
            <w:tcW w:w="11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&lt;10%</w:t>
            </w:r>
          </w:p>
        </w:tc>
      </w:tr>
      <w:tr>
        <w:trPr>
          <w:trHeight w:val="356"/>
        </w:trPr>
        <w:tc>
          <w:tcPr>
            <w:tcW w:w="4340" w:type="dxa"/>
            <w:vAlign w:val="bottom"/>
          </w:tcPr>
          <w:p>
            <w:pPr>
              <w:spacing w:after="0"/>
              <w:rPr>
                <w:sz w:val="24"/>
                <w:szCs w:val="24"/>
                <w:color w:val="auto"/>
              </w:rPr>
            </w:pPr>
          </w:p>
        </w:tc>
        <w:tc>
          <w:tcPr>
            <w:tcW w:w="2280" w:type="dxa"/>
            <w:vAlign w:val="bottom"/>
          </w:tcPr>
          <w:p>
            <w:pPr>
              <w:jc w:val="right"/>
              <w:ind w:right="1192"/>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Cost of revenues was $16.5 million and $53.8 million for the three and nine months ended December 31, 2012, respectively, compared to $18.9 million and $57.8 million for the three and nine months ended December 31, 2011, respectively. Gross margin was 5% and 20% for the three and nine months ended December 31, 2012, respectively, compared to (5%) and (21%) for the three and nine months ended December 31, 2011, respectively. The increases in gross margin for both the three and nine months ended December 31, 2012 as compared to the same periods in fiscal 2011, were primarily due to settlements of certain adverse purchase order liabilities resulting in a benefit to cost of revenues of $0.1 million and $8.4 million in the three and nine months ended December 31, 2012, respectively, and $0.8 million due to the expiration of warranty liabilities, primarily with customers in China, as well as higher revenues, primarily in the nine months ended December 31, 2012, which included approximately $3.3 million of revenue from Chinese customers representing payment for past shipments for which revenue was recognized upon cash collection. Costs associated with this revenue were recorded in prior periods.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A portion of our R&amp;D expenditures related to externally funded development contracts has been classified as cost of revenues (rather than as R&amp;D expenses). Additionally, a portion of R&amp;D expenses was offset by cost-sharing funding. Our R&amp;D expenditures are summarized as follows (in thousands):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ind w:left="100"/>
              <w:spacing w:after="0"/>
              <w:rPr>
                <w:sz w:val="20"/>
                <w:szCs w:val="20"/>
                <w:color w:val="auto"/>
              </w:rPr>
            </w:pPr>
            <w:r>
              <w:rPr>
                <w:rFonts w:ascii="Arial" w:cs="Arial" w:eastAsia="Arial" w:hAnsi="Arial"/>
                <w:sz w:val="14"/>
                <w:szCs w:val="14"/>
                <w:b w:val="1"/>
                <w:bCs w:val="1"/>
                <w:color w:val="auto"/>
                <w:w w:val="92"/>
              </w:rPr>
              <w:t>Three months ended</w:t>
            </w:r>
          </w:p>
        </w:tc>
        <w:tc>
          <w:tcPr>
            <w:tcW w:w="400" w:type="dxa"/>
            <w:vAlign w:val="bottom"/>
          </w:tcPr>
          <w:p>
            <w:pPr>
              <w:spacing w:after="0"/>
              <w:rPr>
                <w:sz w:val="14"/>
                <w:szCs w:val="14"/>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Nine months ended</w:t>
            </w:r>
          </w:p>
        </w:tc>
      </w:t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R&amp;D expenses per condensed consolidated statements of operations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$3,948</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$ 5,928</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$11,480</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$21,339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R&amp;D expenditures reclassified as cost of revenues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3,044</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2,480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10,184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9,782</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R&amp;D expenditures offset by cost-sharing funding</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Aggregated R&amp;D expenses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7,033</w:t>
            </w:r>
          </w:p>
        </w:tc>
        <w:tc>
          <w:tcPr>
            <w:tcW w:w="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$ 8,450</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21,807</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31,244</w:t>
            </w:r>
          </w:p>
        </w:tc>
        <w:tc>
          <w:tcPr>
            <w:tcW w:w="10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R&amp;D expenses (exclusive of amounts classified as cost of revenues and amounts offset by cost-sharing funding) decreased by 33% and 46% to $3.9 million and $11.5 million for the three and nine months ended December 31, 2012, respectively, compared to $5.9 million and $21.3 million for the three and nine months ended December 31, 2011, respectively. The decreases in R&amp;D expenses were driven primarily by the realization of savings from actions to reduce personnel and other costs that were implemented in fiscal 2011 as well as partial savings from the action to reduce personnel and other costs undertaken in the third quarter of fiscal 2012. The increases in R&amp;D expenditures reclassified to costs of revenue during the three and nine months ended December 31, 2012 were a result of increased license and development revenue in our Wind segment partially offset by a decrease in activity in our government funded contracts in our Grid business unit compared to the prior year period. Aggregated R&amp;D expenses, which include amounts classified as cost of revenues and amounts offset by cost-sharing funding, decreased 17% and 30% to $7.0 million and $21.8 million for the three and nine months ended December 31, 2012, respectively, compared to $8.5 million and $31.2 million for the three and nine months ended December 31, 2011, respectively.</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present aggregated R&amp;D, which is a non-GAAP measure, because we believe this presentation provides useful information on our aggregate R&amp;D spending and because R&amp;D expenses as reported on the unaudited condensed consolidated statements of income have been, and may in the future be, subject to significant fluctuations solely as a result of changes in the level of externally funded contract development work, resulting in significant changes in the amount of the costs recorded as costs of revenues rather than as R&amp;D expenses, as discussed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SG&amp;A expenses decreased by 30% and 34% to $10.8 million and $36.3 million in the three and nine months ended December 31, 2012, respectively, compared to $15.4 million and $55.0 million in the three and nine months ended December 31, 2011, respectively. The decreases in SG&amp;A expenses during the three and nine month periods ended December 31, 2012, as compared to the prior year periods, were due primarily to the realization of savings from our actions to reduce personnel and other costs during fiscal 2011 and partial realization of savings from the action to reduce personnel and other costs undertaken in the three months ended December 31, 2012, and with respect to the nine months ended December 31, 2012, costs associated with the severance of our former chief executive officer that were incurred during the comparable period of the prior year.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We recorded amortization expense related to our core technology and know-how, trade names and trademark intangible assets of $0.1 million and $0.2 million in the three and nine months ended December 31, 2012, respectively, compared to $0.3 million and $0.9 million in the three and nine months ended December 31, 2011, respectively. These intangible assets are primarily as a result of our Windtec acquisition in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Impairments</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recorded restructuring and impairment charges $6.7 million and $6.8 million in the three and nine months ended December 31, 2012, respectively, compared to $4.1 million and $8.4 million in the three and nine months ended December 31, 2011. These amounts consist primarily of a long-lived asset impairment charge of $4.5 million recorded in the three months ended December 31, 2012, as well as employee severance and benefit costs related to the restructuring plan of $2.2 million and $2.3 million in the three and nine months ended December 31, 2012, respectively. For the three and nine months ended December 31, 2011, these amounts include employee severance and benefit costs related to the restructuring plan of $2.2 million and $5.4 million, respectively, and impairment charges on long-lived assets for which there is no remaining future economic benefit as of December 31, 2011 of $0.1 million and $1.1 million, respectively. Finally, for the nine months ended December 31, 2011, the Company recorded facility exit costs of $0.1 million associated with portions of the leased space in Klagenfurt, Austria.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operating (loss) income is summarized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8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8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(loss) income:</w:t>
            </w:r>
          </w:p>
        </w:tc>
        <w:tc>
          <w:tcPr>
            <w:tcW w:w="1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Wind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(5,365)</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 (14,014)</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 (10,514)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Grid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(6,705)</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(6,313)</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(18,620)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Unallocated corporate expenses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(8,546)</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(6,242)</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(12,580)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(36,790)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(20,616)</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(26,569)</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(41,714)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(116,020)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Wind segment generated operating losses of $5.4 million and $10.5 million in the three and nine months ended December 31, 2012, respectively, compared to operating losses of $14.0 million and $54.7 million in the three and nine months ended December 31, 2011, respectively. The decreases in Wind business unit operating losses were primarily due to the settlement of certain adverse purchase order liabilities, the expiration of warranty liabilities with certain Chinese customers, and the realization of savings from actions to reduce personnel and other costs that were implemented in fiscal 2011.</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Grid segment operating losses increased to $6.7 million in the three months ended December 31, 2012, compared to $6.3 million in the three months ended December 31, 2011. Our Grid segment operating losses decreased to $18.6 million in the nine months ended December 31, 2012, from $24.5 million in the nine months ended December 31, 2011. The increase in Grid business unit operating losses for the three month period was primarily due to higher operating expenses, primarily as a result of higher corporate allocations, partially offset by higher revenues. The decrease in Grid business unit operating losses for the nine month period was primarily due to the realization of savings from actions to reduce personnel and other costs that were implemented in fiscal 2011 and increased revenues from D-VAR shipments to customers in United Kingdom and Australia.</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Unallocated corporate expenses for the three and nine months ended December 31, 2012, consist primarily of stock-based compensation expense of $1.9 million and $6.0 million, respectively, restructuring and impairment charges of $6.7 million and $6.8 million, respectively. Unallocated corporate expenses in both the three and nine months ended December 31, 2011, primarily consisted of restructuring and impairment charges of $4.1 million and $8.4 million, respectively, and stock based compensation expense of $2.1 million and $7.7 million respectively. For the nine months ended December 31, 2011, unallocated corporate expenses also included the write-off of the advanced payment to The Switch of $20.6 million.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derivatives and warrants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a result of our completed debt financings during the nine months ended December 31, 2012, we recognized a liability for derivative features embedded within the financing agreements, including the convertible feature of the convertible note and warrants issued in conjunction with the Exchanged Note and Term Loan. We are required to value the derivative liabilities and warrants at fair value each quarter and recognize a gain or loss on the change in fair value of these instruments.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fair value of the derivative liabilities and warrants decreased by $5.2 million and $6.1 million and resulted in a gain to our consolidated statements of operations for the three and nine months ended December 31, 2012, respectively. The primary driver of the gain was the decrease in our stock price during these periods.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90"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Interest expense, net, was $4.6 million and $10.2 million in the three and nine months ended December 31, 2012, respectively, compared to interest expense of less than $0.1 million and interest income of $0.2 million for the three and nine months ended December 31, 2011, respectively. The increase in interest expense was due to the debt financings completed during the nine months ended December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Other expense, net, was $0.1 million and $1.3 million in the three and nine months ended December 31, 2012, respectively, compared to other income of $0.4 million and $1.3 million for the three and nine months ended December 31, 2011, respectively. The increase in other expense, net primarily relates to lower foreign currency translation gains.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the three and nine months ended December 31, 2012, we recorded income tax expense of $0.1 million and an income tax benefit of $0.7 million, respectively. For the three and nine months ended December 31, 2011, we recorded income tax expense of $0.1 million and $1.2 million, respectively. The income tax expense for the three months ended December 31, 2012, and the three and nine months ended December 31, 2011, was primarily due to income taxes in foreign jurisdictions. The income tax benefit for the nine months ended December 31, 2012, is primarily due to a refund of income taxes paid in China. We have provided a valuation allowance against all existing and newly created deferred tax assets as of December 31, 2012, as it is more likely than not that our deferred tax assets are not currently realizable due to the net operating losses we have incurred since our inception.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10-Q, however, should be considered in addition to, and not as a substitute for, or superior to, the comparable measure prepared in accordance with GAAP.</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define non-GAAP net (loss) income as net (loss) income before adverse purchase commitment (recoveries) losses, net, stock-based compensation, amortization of acquisition-related intangibles, restructuring and impairment charges, changes in fair value of derivatives and warrants, non-cash interest expense, and the other non-cash or unusual items indicated in the table below. We believe non-GAAP net (loss) income assists management and investors in comparing our performance across reporting periods on a consistent basis by excluding these non-cash or non-recurring charges that we do not believe are indicative of our core operating performance. We also regard non-GAAP net (loss) income as a useful measure of operating performance which more closely aligns net (loss) income with cash used in/provided by continuing operations. In addition, we use non-GAAP net (loss) income as a factor in evaluating management’s performance when determining incentive compensation and to evaluate the effectiveness of our business strategies. A reconciliation of non-GAAP to GAAP net (loss) income is set forth in the table below (in thousands, except per share data):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4"/>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(20,135)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(26,271)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(46,360)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(115,660)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Adverse purchase commitment (recoveries) losses, net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(8,428)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Amortization of acquisition-related intangibles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Executive severance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Sinovel litigation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Consumption of zero cost-basis inventory</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(1,389)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derivatives and warrants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(5,217)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Non-cash interest expense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3,867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8,404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Write-off of advance payment</w:t>
            </w:r>
          </w:p>
        </w:tc>
        <w:tc>
          <w:tcPr>
            <w:tcW w:w="1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gridSpan w:val="2"/>
          </w:tcPr>
          <w:p>
            <w:pPr>
              <w:spacing w:after="0"/>
              <w:rPr>
                <w:sz w:val="20"/>
                <w:szCs w:val="20"/>
                <w:color w:val="auto"/>
              </w:rPr>
            </w:pPr>
            <w:r>
              <w:rPr>
                <w:rFonts w:ascii="Arial" w:cs="Arial" w:eastAsia="Arial" w:hAnsi="Arial"/>
                <w:sz w:val="18"/>
                <w:szCs w:val="18"/>
                <w:color w:val="auto"/>
              </w:rPr>
              <w:t>Non-GAAP net loss</w:t>
            </w:r>
          </w:p>
        </w:tc>
        <w:tc>
          <w:tcPr>
            <w:tcW w:w="1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(13,506)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(17,491)</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(40,421)*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(70,405)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Non-GAAP loss earnings per share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4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52,792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50,933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51,966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0" w:right="180" w:hanging="212"/>
        <w:spacing w:after="0" w:line="306" w:lineRule="auto"/>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Non-GAAP net loss for the nine months ended December 31, 2012 includes a correction of the Non-GAAP net loss for the first and second quarters of fiscal 2012 relating to the presentation of the effect of the consumption of zero-cost based inventory. Had Non-GAAP net loss been properly reported in those periods, Non-GAAP net loss would have increased by $0.8 million in each of the first and second quarters of fiscal 2012.</w:t>
      </w:r>
    </w:p>
    <w:p>
      <w:pPr>
        <w:spacing w:after="0" w:line="107"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We incurred non-GAAP net losses of $13.5 million and $40.4 million or ($0.26) and ($0.78) per share, for the three and nine months ended December 31, 2012, respectively, compared to a non-GAAP net losses of $17.5 million and $70.4 million, or ($0.34) and ($1.39) per share, for the three and nine months ended December 31, 2011, respectively. The decreases in the non-GAAP net losses were driven primarily by the factors that resulted in a lower net loss, including the savings from cost reduction actions undertaken in fiscal 2011 and increased revenues, particularly during the nine months ended December 31, 2012.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At December 31, 2012, we had cash, cash equivalents, marketable securities and restricted cash of $56.4 million, compared to $66.2 million at March 31, 2012, a decrease of $9.8 million. Our cash and cash equivalents, marketable securities and restricted cash are summarized as follows (in thousands):</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1280" w:type="dxa"/>
            <w:vAlign w:val="bottom"/>
            <w:gridSpan w:val="3"/>
          </w:tcPr>
          <w:p>
            <w:pPr>
              <w:ind w:left="58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1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42,457</w:t>
            </w:r>
          </w:p>
        </w:tc>
        <w:tc>
          <w:tcPr>
            <w:tcW w:w="5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$ 46,279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5,304</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w:t>
            </w:r>
          </w:p>
        </w:tc>
        <w:tc>
          <w:tcPr>
            <w:tcW w:w="5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w:t>
            </w:r>
          </w:p>
        </w:tc>
        <w:tc>
          <w:tcPr>
            <w:tcW w:w="100" w:type="dxa"/>
            <w:vAlign w:val="bottom"/>
            <w:shd w:val="clear" w:color="auto" w:fill="CCEEFF"/>
          </w:tcPr>
          <w:p>
            <w:pPr>
              <w:spacing w:after="0"/>
              <w:rPr>
                <w:sz w:val="18"/>
                <w:szCs w:val="18"/>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Total cash, cash equivalents, marketable securities and restricted cash</w:t>
            </w:r>
          </w:p>
        </w:tc>
        <w:tc>
          <w:tcPr>
            <w:tcW w:w="180" w:type="dxa"/>
            <w:vAlign w:val="bottom"/>
            <w:gridSpan w:val="2"/>
          </w:tcPr>
          <w:p>
            <w:pPr>
              <w:jc w:val="right"/>
              <w:ind w:right="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56,431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$ 66,209</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respect to the unaudited condensed consolidated statement of cash flows, for the nine months ended December 31, 2012, net cash used in operating activities was $40.7 million compared to $133.3 million for the nine months ended December 31, 2011. The decrease in net cash used in operations is due primarily to the $69.3 million decrease in net loss and a decrease in cash used for working capital of $53.0 million, partially offset by a decrease in non-cash items of $29.7 million primarily relating to the write-off of the advance payment to the Switch of $20.6 million during the nine months ended December 31, 2011 and during the nine months ended December 31, 2012, non-cash gains from the recoveries of adverse purchase commitments of $8.4 million and a gain from the change in fair value of derivatives and warrants of $6.1 million.</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the nine months ended December 31, 2012, net cash provided by investing activities was $4.7 million compared to net cash provided by investing activities of $68.3 million for the nine months ended December 31, 2011. The decrease in net cash provided by investing activities for the nine months ended December 31, 2012 was driven primarily by a decrease in the proceeds from the maturity of marketable securities of $105.4 million, partially offset by a decrease in capital expenditures of $8.1 million, the decrease in restricted cash of $6.7 million, and the $20.6 million advance payment to The Switch, the $3.9 million of purchased intangible assets and the additional minority investment in Tres Amigas of $1.8 million during the nine months ended December 31, 2011, none of which recurred.</w:t>
      </w:r>
    </w:p>
    <w:p>
      <w:pPr>
        <w:spacing w:after="0" w:line="14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For the nine months ended December 31, 2012, net cash provided by financing activities was $32.3 million compared to cash used in financing activities of $0.1 million in the nine months ended December 31, 2011. The increase in net cash provided by financing activities is primarily due to the net proceeds from our financings of $32.9 million during the nine months ended December 31,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December 31, 2012, we had $9.2 million of restricted cash included in current assets, and $4.8 million of restricted cash included in long-term assets. These amounts included in restricted cash represent deposits to secure letters of credit for various supply contracts and are held in interest bearing accounts. We are working with our inventory suppliers to delay cash settlements and to reduce the gross liability associated with our adverse purchase commitments, which is approximately $1.8 million as of December 31, 2012. In conjunction with certain of these settlements, we agreed to provide letters of credit and bank guarantees in the amount of approximately $9.0 million with expirations through January 31, 2013. The letters of credit and bank guarantees were secured with cash collateral of $8.5 million and were included in our restricted cash balance as of December 31, 2012. As of January 2013, these letters of credit had been cancelled and the cash collateral has been returned to unrestricted cash. During the three and nine months ended December 31, 2012, we agreed to settle adverse purchase commitments with certain of our vendors and reduced the gross liability associated with our adverse purchase commitments, which had a direct benefit to our cost of sales of $0.1 million and $8.4 million, respectively.</w:t>
      </w:r>
    </w:p>
    <w:p>
      <w:pPr>
        <w:spacing w:after="0" w:line="12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On May 16, 2012, we entered into an agreement with one of our vendors to settle certain of our adverse purchase commitments. The agreement was amended on November 6, 2012 (as amended, the “Settlement Agreement”). In conjunction with the Settlement Agreement, we agreed to pay the vendor approximately €2.2 million (the “Settlement Amount”). Under the Settlement Agreement, we had the option, at our sole discretion, to pay the settlement amount in cash, shares of our common stock, or a combination of cash and common stock. Accordingly, during the three months ended December 31, 2012, we issued 765,301 shares of our common stock to the vendor and filed a registration statement on Form S-3 to register the vendor’s resale of such shares of common stock. If the net proceeds from the vendor’s resale of the shares of common stock during a specified period plus any other cash payments made by us subsequent to the date of the Settlement Agreement were less than the Settlement Amount, we agreed to make an additional payment equal to the shortfall in cash to the vendor no later than December 31, 2012, as of December 31, 2012 we paid $0.8 million as a result of such a shortfall. As security for our obligations, we have provided the vendor with a letter of credit in the amount of €2.2 million, approximately $3.0 million, with an expiration of December 31, 2012 and was included in our restricted cash balance as of December 31, 2012. As of December 31, 2012, we had not been formally released from the letter of credit. We received that release in January 2013.</w:t>
      </w:r>
    </w:p>
    <w:p>
      <w:pPr>
        <w:spacing w:after="0" w:line="12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On April 4, 2012, we entered into a Securities Purchase Agreement with Capital Ventures International (“CVI”), an affiliate of Heights Capital Management (the “Purchase Agreement”) and completed a private placement of $25.0 million of 7% senior convertible notes (the “Initial Note”). After fees and expenses, the net proceeds were $23.2 million. The Initial Note had an initial conversion price of $4.85 per share, representing a premium of approximately 20% over our closing price on April 3, 2012. The Initial Note was payable in monthly installments beginning four months from issuance and ending on October 4, 2014. Monthly payments were payable in cash or shares of our common stock at our option, subject to certain trading volume, stock price and other conditions. CVI could also elect to defer receipt of monthly installment payments at its option. Any deferred installment payments would continue to accrue interest. We registered 10,262,311 shares of our common stock which may be used as payment for principal and interest in lieu of cash for resale under the Securities Act as required under a Registration Rights Agreement with CVI.</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December 20, 2012, we entered into an Amendment and Exchange Agreement, (the “Amendment”) with CVI, which amended the Purchase Agreement. Pursuant to the Amendment, the Company and CVI exchanged the Initial Note for a new unsecured, senior convertible note, (the “Exchanged Note”). At the time of the exchange, the Exchanged Note had the same principal amount and accrued interest as the Initial Note. The Exchanged Note is convertible into our common stock and has the same scheduled monthly installment payments as the Initial Note. The Exchanged Note provides us with additional flexibility to make monthly installment payments in shares of our common stock. We retain the ability to repay the Exchanged Note in cash. Specifically, the amendments to the Exchanged Note:</w:t>
      </w:r>
    </w:p>
    <w:p>
      <w:pPr>
        <w:spacing w:after="0" w:line="63" w:lineRule="exact"/>
        <w:rPr>
          <w:sz w:val="20"/>
          <w:szCs w:val="20"/>
          <w:color w:val="auto"/>
        </w:rPr>
      </w:pPr>
    </w:p>
    <w:p>
      <w:pPr>
        <w:ind w:left="900" w:right="80" w:hanging="325"/>
        <w:spacing w:after="0" w:line="294"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Allow us to convert, subject to the satisfaction of certain conditions set forth in the Exchanged Note, (a) at least $2.5 million of the approximately $5.3 million installment amount payable with respect to the January 2013 installment date (including approximately $4.2 million of deferred installment amounts from the period September 4, 2012 to December 3, 2012) into shares of the Company’s common stock, (On December 21, 2012 we converted $3.8 million in deferred installment amount principal and interest and issued 1,715,443 shares of common stock), and (b) the balance of the January 2013 installment amount in equal amounts on each of the February and March 2013 installment dates;</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the price failure equity condition with respect to a particular date of determination from $2.50 to $1.00;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Reduce the aggregate daily dollar trading volume equity condition required for at least 25 of the 30 consecutive trading days immediately preceding a date of determination from $1,500,000 to $850,000 per trading day. In addition, if the aggregate daily dollar trading volume is between $50,000 and $850,000, the Company may still convert into common stock a portion of an installment amount payable with respect to an installment date equal to the quotient of (x) the aggregate daily dollar trading volume, divided by (y) $850,000;</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CVI’s beneficial ownership limitation under the Exchanged Note from 4.99% to 9.99%; and</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conversion price, from $4.85 per share our common stock to $3.19 per share of our common stock, subject to certain price-based and other anti-dilution adjustments.</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June 5, 2012, we entered into a Term Loan with Hercules Technology Growth Capital, Inc., under which we borrowed $10.0 million. After the closing fees and expenses, the net proceeds were $9.7 million. The Term Loan bears an interest rate equal to 11% plus the percentage, if any, in which the prime rate as reported by The Wall Street Journal exceeds 3.75%. We made interest only payments from July 1, 2012 through October 31, 2012, after which we began paying the Term Loan in equal monthly installments ending on December 1, 2014. The Term Loan is secured by substantially all of our existing and future assets, including a mortgage on real property owned by our wholly owned subsidiary, ASC Devens LLC, and located at 64 Jackson Road, Devens, Massachusetts. The Term Loan contains certain covenants that restrict our ability to, among other things, incur or assume certain debt, merge or consolidate, materially change the nature of our business, make certain investments, acquire or dispose of certain assets, make guaranties or grant liens on its assets, make certain loans, advances or investments, declare dividends or make distributions or enter into transactions with affiliates. In addition, the Term Loan contains a covenant which requires us to maintain a minimum unrestricted cash balance in the United States of at least $10.0 million at the inception of the Term Loan, which will decrease starting November 1, 2012 and monthly thereafter by the amount of principal paid. The events of default under the Term Loan include, but are not limited to, failure to pay amounts due, breaches of covenants, bankruptcy events, cross defaults under other material indebtedness and the occurrence of a material adverse effect and/or change in control. In the case of a continuing event of default, the lender may, among other remedies, declare due all unpaid principal amounts outstanding and any accrued but unpaid interest and foreclose on all collateral granted to the lender as security under the Term Loan.</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Although we believe we are in and expect to remain in compliance with covenants and restrictions included in the agreements governing these debt arrangements as of the date of this Quarterly Report on Form 10-Q, there can be no assurance that we will continue to be in compliance. If we fail to stay in compliance with our covenants or suffer some other event of default, we may be forced to repay the outstanding principal of one or both of our debt obligations. In the case of the Exchanged Note, such an event of default would also include the requirement to pay a penalty as defined in the agreement. Should this occur, our liquidity would be adversely affected.</w:t>
      </w:r>
    </w:p>
    <w:p>
      <w:pPr>
        <w:spacing w:after="0" w:line="14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At December 31, 2012, we had cash and cash equivalents, of $42.5 million, all of which was unrestricted. We experienced a substantial decline in revenues, incurred a net loss of $136.8 million and used $141.0 million of cash for operations during the fiscal year ended March 31, 2012. As a result, we reduced our global workforce by approximately 50% and consolidated certain business operations in three locations to reduce facility costs. During the third quarter of fiscal 2012, in response to challenging conditions in the wind power market, we undertook an action to again reduce our global workforce by approximately 25%, including a plan to consolidate certain of our office locations. As of December 31, 2012, we had a global workforce of approximately 373 persons.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used $40.7 million in cash for operations during the nine months ended December 31, 2012, compared to $133.3 million during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We expect that our cost reduction efforts will result in a substantial reduction in cash used for operations during the fiscal year ending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2013. We plan to closely monitor our expenses and, if required, expect to further reduce operating costs and capital spending to enhance liquidity.</w:t>
      </w:r>
    </w:p>
    <w:p>
      <w:pPr>
        <w:spacing w:after="0" w:line="18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believe that our available cash, together with additional reductions in operating costs and capital expenditures that we expect to make, if necessary, will be sufficient to fund our operations, capital expenditures and any scheduled cash payments under our debt obligations through December 31, 2013, on the assumption that we continue to be able to make installment payments on the Exchanged Note in shares of common stock. Our ability to pay required monthly installment payments under the Exchanged Note in equity instead of cash is based on certain stock price and trading volume conditions that are outside of our control. If one or both of these equity conditions are not met (absent a waiver from the lender, which has been provided in the past) we may be required to make required monthly installment payments in cash. As of the date of this report, we have only made payments to the lender in shares of common stock. Should a scenario arise that we are required to make future scheduled installment payments entirely in cash, then there may not be sufficient available cash to fund operations, capital expenditures and scheduled cash payments under our other debt obligations through December 31, 2013. Further, our liquidity is highly dependent on our ability to profitably grow revenues through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both the acquisition of new customers and growth from our existing customers, fund and maintain compliance with the covenants and restrictions on our debt obligations, and raise additional capital, as required. Potential sources of additional capital include sales of assets and obtaining additional financing (with the agreement of its lenders if required). With respect to sales of assets or additional financing, there can be no assurance that such sales can be completed on acceptable terms or at all or that financing will be available on commercially acceptable terms or at all.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are involved in legal and administrative proceedings and claims of various types. See Part II, Item 1, “Legal Proceedings,” for additional information.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a liability and the amounts of loss can be reasonably estimated, we estimate and disclose the possible loss or range of loss. If the loss is not probable or cannot be reasonably estimated, a liability is not recorded in its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occasionally enter into construction contracts that include a performance bond. As these contracts progress, we continually assess the probability of a payout from the performance bond. Should we determine that such a payout is probable, we would record a liability.</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we have various contractual arrangements in which minimum quantities of goods or services have been committed to be purchased on an annual basis.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In June 2011, the FASB issued Accounting Standards Update (ASU) No. 2011-05, </w:t>
      </w:r>
      <w:r>
        <w:rPr>
          <w:rFonts w:ascii="Arial" w:cs="Arial" w:eastAsia="Arial" w:hAnsi="Arial"/>
          <w:sz w:val="18"/>
          <w:szCs w:val="18"/>
          <w:i w:val="1"/>
          <w:iCs w:val="1"/>
          <w:color w:val="auto"/>
        </w:rPr>
        <w:t>Comprehensive Income (Topic 220): Presentation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ASU 2011-05 requires entities to present net income and other comprehensive income in either a single continuous statement or in two separate, but</w:t>
      </w:r>
      <w:r>
        <w:rPr>
          <w:rFonts w:ascii="Arial" w:cs="Arial" w:eastAsia="Arial" w:hAnsi="Arial"/>
          <w:sz w:val="18"/>
          <w:szCs w:val="18"/>
          <w:i w:val="1"/>
          <w:iCs w:val="1"/>
          <w:color w:val="auto"/>
        </w:rPr>
        <w:t xml:space="preserve"> </w:t>
      </w:r>
      <w:r>
        <w:rPr>
          <w:rFonts w:ascii="Arial" w:cs="Arial" w:eastAsia="Arial" w:hAnsi="Arial"/>
          <w:sz w:val="18"/>
          <w:szCs w:val="18"/>
          <w:color w:val="auto"/>
        </w:rPr>
        <w:t>consecutive, statements of net income and other comprehensive income. ASU 2011-05 is effective for fiscal years and interim periods beginning after December 15, 2011. We early adopted ASU 2011-05 and it did not have a material impact on our consolidated results of operations, financial condition, or cash flows.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September 2011, the FASB issued Accounting Standards Update No. 2011-08, </w:t>
      </w:r>
      <w:r>
        <w:rPr>
          <w:rFonts w:ascii="Arial" w:cs="Arial" w:eastAsia="Arial" w:hAnsi="Arial"/>
          <w:sz w:val="16"/>
          <w:szCs w:val="16"/>
          <w:i w:val="1"/>
          <w:iCs w:val="1"/>
          <w:color w:val="auto"/>
        </w:rPr>
        <w:t>Intangibles — Goodwill and Other (Topic 350)</w:t>
      </w:r>
      <w:r>
        <w:rPr>
          <w:rFonts w:ascii="Arial" w:cs="Arial" w:eastAsia="Arial" w:hAnsi="Arial"/>
          <w:sz w:val="16"/>
          <w:szCs w:val="16"/>
          <w:color w:val="auto"/>
        </w:rPr>
        <w:t>. ASU 2011-08 allows entities to first assess qualitatively whether it is necessary to perform the two-step goodwill impairment test. If an entity believes, as a result of its qualitative assessment, that it is more likely than not that the fair value of a reporting unit is less than its carrying amount, the quantitative two-step goodwill impairment test is required. An entity has the unconditional option to bypass the qualitative assessment and proceed directly to performing the first step of the goodwill impairment test. ASU 2011-08 is effective for our first quarter of fiscal 2013 but is eligible for early adoption. We do not believe adoption of this standard will have an impact on our consolidated results of operations, financial condition, or cash flows.</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In December 2011, the FASB issued Accounting Standards Update No. 2011-11, </w:t>
      </w:r>
      <w:r>
        <w:rPr>
          <w:rFonts w:ascii="Arial" w:cs="Arial" w:eastAsia="Arial" w:hAnsi="Arial"/>
          <w:sz w:val="16"/>
          <w:szCs w:val="16"/>
          <w:i w:val="1"/>
          <w:iCs w:val="1"/>
          <w:color w:val="auto"/>
        </w:rPr>
        <w:t>Balance Sheet (Topic 210)-Disclosures about Offsetting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(ASU 2011-11). The update requires entities to disclose information about offsetting and related arrangements of financial instruments and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ASU 2011-11 is effective for our first quarter of fiscal 2014. We are currently evaluating the impact of adopting ASU 2011-11, but currently believe there will be no significant impact on our consolidated results of operations, financial condition, or cash flows.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believe that other recently issued accounting pronouncements will have a material impact on our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exposure to interest rate risk through financial instruments includes our Term Loan that carries a variable interest rate. Our Term Loan bears an interest rate equal to 11% plus the percentage, if any, by which the prime rate as reported by The Wall Street Journal exceeds 3.75%. We do not believe that a 10% change in interest rates would have a material impact on our financial position or results of operations. Our Exchanged Note bears a fixed interest rate of 7%; however upon the occurrence on an event of default pursuant to the Exchanged Note, the interest rate would increase to 15%.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functional currency of each of our foreign subsidiaries is the U.S. dollar, except for AMSC Austria, for which the local currency (Euro) is the functional currency, and AMSC China, for which the local currency (Renminbi) is the functional currency. The assets and liabilities of AMSC Austria and AMSC China are translated into U.S. dollars at the exchange rate in effect at the balance sheet date and income and expense items are translated at average rates for the period. Cumulative translation adjustments are excluded from net income (loss) and shown as a separate component of stockholders’ equity.</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face exposure to movements in foreign currency exchange rates whenever we, or any of our subsidiaries, enter into transactions with third parties that are denominated in currencies other than our functional currency. Intercompany transactions between entities that use different functional currencies also expose us to foreign currency risk. Gross margins of products we manufacture in the U.S. and sell in currencies other than the U.S. dollar are also affected by foreign currency exchange rate movements. In addition, a portion of our earnings is generated by our foreign subsidiaries, whose functional currencies are other than the U.S. dollar, and our revenues and earnings could be materially impacted by movements in foreign currency exchange rates upon the translation of the earnings of such subsidiaries into the U.S. dollar.</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Foreign currency impacts included in our net loss were a loss of $0.2 million and a gain of $0.2 million for the three and nine months ended December 31, 2012, and gains of $0.7 million and $2.9 million for the three and nine months ended December 31, 2011,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Price and Dollar Trading Volume Risk</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ability to pay required monthly installment payments under the Exchanged Note in equity instead of cash is based on certain stock price and trading volume conditions that are outside of our control. In order to make monthly installment payments under the Exchanged Note entirely in stock, the price of our common stock must remain above $1.00 per share and the average aggregate daily dollar trading volume of our common stock must be above $850,000. We may still pay a portion of the monthly installment payments under the Exchanged Note in stock, if the aggregate daily dollar trading volume is between $50,000 and $850,000, in an amount equal to the quotient of (x) the aggregate daily dollar trading volume, divided by (y) $850,000. We currently intend to make payments in equity whenever the equity conditions are met. If either of these equity conditions are not met (absent a waiver from the lender, which has been provided in the past) we may be required to make required monthly installment payments in cash, which could adversely impact our liquidity. As of the date of this filing, we have only made payments to the lender in shares of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2012.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of our disclosure controls and procedures as of December 31, 2012, our Chief Executive Officer and Chief Financial Officer concluded that, as of such date, our disclosure controls and procedures were effective at the reasonable assurance level.</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2012 that have materially affected, or are reasonably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Between April 6, 2011 and May 12, 2011, seven putative securities class action complaints were filed against us and two of our officers in the United States District Court for the District of Massachusetts; one complaint additionally asserted claims against the underwriters who participated in our November 12, 2010 securities offering. On June 7, 2011, the United States District Court for the District of Massachusetts consolidated these actions under the caption </w:t>
      </w:r>
      <w:r>
        <w:rPr>
          <w:rFonts w:ascii="Arial" w:cs="Arial" w:eastAsia="Arial" w:hAnsi="Arial"/>
          <w:sz w:val="16"/>
          <w:szCs w:val="16"/>
          <w:i w:val="1"/>
          <w:iCs w:val="1"/>
          <w:color w:val="auto"/>
        </w:rPr>
        <w:t>Lenartz v.</w:t>
      </w:r>
      <w:r>
        <w:rPr>
          <w:rFonts w:ascii="Arial" w:cs="Arial" w:eastAsia="Arial" w:hAnsi="Arial"/>
          <w:sz w:val="16"/>
          <w:szCs w:val="16"/>
          <w:color w:val="auto"/>
        </w:rPr>
        <w:t xml:space="preserve"> </w:t>
      </w:r>
      <w:r>
        <w:rPr>
          <w:rFonts w:ascii="Arial" w:cs="Arial" w:eastAsia="Arial" w:hAnsi="Arial"/>
          <w:sz w:val="16"/>
          <w:szCs w:val="16"/>
          <w:i w:val="1"/>
          <w:iCs w:val="1"/>
          <w:color w:val="auto"/>
        </w:rPr>
        <w:t>American Superconductor Corporation, et al.</w:t>
      </w:r>
      <w:r>
        <w:rPr>
          <w:rFonts w:ascii="Arial" w:cs="Arial" w:eastAsia="Arial" w:hAnsi="Arial"/>
          <w:sz w:val="16"/>
          <w:szCs w:val="16"/>
          <w:color w:val="auto"/>
        </w:rPr>
        <w:t>, Docket No. 1:11-cv-10582-WGY. On August 31, 2011, Lead Plaintiff, the Plumbers and Pipefitters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Pension Fund, filed a consolidated amended complaint against us, our officers and directors, and the underwriters who participated in our November 12, 2010 securities offering, asserting claims under sections 10(b) and 20(a) of the Securities Exchange Act of 1934 and Rule 10b-5 promulgated under the Securities Exchange Act of 1934 (the “Exchange Act”), as well as under sections 11, 12(a)(2) and 15 of the Securities Act of 1933 (the “Securities Act”). The complaint alleges that during the relevant class period, we and our officers omitted to state material facts and made materially false and misleading statements relating to, among other things, our projected and recognized revenues and earnings, as well as our relationship with Sinovel Wind Group Co., Ltd. that artificially inflated the value of our stock price. The complaint further alleges that our November 12, 2010 securities offering contained untrue statements of material facts and omitted to state material facts required to be stated therein. The plaintiffs seek unspecified damages, rescindment of our November 12, 2010 securities offering, and an award of costs and expenses, including attorney’s fees. All defendants moved to dismiss the consolidated amended complaint. On December 16, 2011, the district court issued a summary order declining to dismiss the Securities Act claims against us and our officers, and taking under advisement the motion to dismiss the Exchange Act claims against us and our officers and the motion to dismiss the Securities Act claims made against the underwriters. On July 26, 2012, the district court dismissed the Exchange Act claims against us and our officers and denied the motion to dismiss the Securities Act claims made against the underwriters.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Between May 4, 2011 and June 17, 2011, four putative shareholder derivative complaints were filed against us (as a nominal defendant) and certain of our directors in the United States District Court for the District of Massachusetts. On July 5, 2011, the District Court consolidated three of these actions, and that matter is now captioned </w:t>
      </w:r>
      <w:r>
        <w:rPr>
          <w:rFonts w:ascii="Arial" w:cs="Arial" w:eastAsia="Arial" w:hAnsi="Arial"/>
          <w:sz w:val="16"/>
          <w:szCs w:val="16"/>
          <w:i w:val="1"/>
          <w:iCs w:val="1"/>
          <w:color w:val="auto"/>
        </w:rPr>
        <w:t>In re American Superconductor Corporation Derivative Litigation</w:t>
      </w:r>
      <w:r>
        <w:rPr>
          <w:rFonts w:ascii="Arial" w:cs="Arial" w:eastAsia="Arial" w:hAnsi="Arial"/>
          <w:sz w:val="16"/>
          <w:szCs w:val="16"/>
          <w:color w:val="auto"/>
        </w:rPr>
        <w:t xml:space="preserve">, Docket No. 1:11-cv-10784-WGY. On June 1, 2011, the plaintiff in the fourth action, </w:t>
      </w:r>
      <w:r>
        <w:rPr>
          <w:rFonts w:ascii="Arial" w:cs="Arial" w:eastAsia="Arial" w:hAnsi="Arial"/>
          <w:sz w:val="16"/>
          <w:szCs w:val="16"/>
          <w:i w:val="1"/>
          <w:iCs w:val="1"/>
          <w:color w:val="auto"/>
        </w:rPr>
        <w:t>Marlborough Family Revocable Trust v. Yurek,</w:t>
      </w:r>
      <w:r>
        <w:rPr>
          <w:rFonts w:ascii="Arial" w:cs="Arial" w:eastAsia="Arial" w:hAnsi="Arial"/>
          <w:sz w:val="16"/>
          <w:szCs w:val="16"/>
          <w:color w:val="auto"/>
        </w:rPr>
        <w:t xml:space="preserve"> et al., moved to voluntarily dismiss its complaint and refiled its complaint in Superior Court for the Commonwealth of Massachusetts, Middlesex County. On September 7, 2011, the Marlborough action and another putative shareholder derivative complaint filed in Superior Court for the Commonwealth of Massachusetts were consolidated. That consolidated matter is captioned </w:t>
      </w:r>
      <w:r>
        <w:rPr>
          <w:rFonts w:ascii="Arial" w:cs="Arial" w:eastAsia="Arial" w:hAnsi="Arial"/>
          <w:sz w:val="16"/>
          <w:szCs w:val="16"/>
          <w:i w:val="1"/>
          <w:iCs w:val="1"/>
          <w:color w:val="auto"/>
        </w:rPr>
        <w:t>In re American Superconductor Corporation</w:t>
      </w:r>
      <w:r>
        <w:rPr>
          <w:rFonts w:ascii="Arial" w:cs="Arial" w:eastAsia="Arial" w:hAnsi="Arial"/>
          <w:sz w:val="16"/>
          <w:szCs w:val="16"/>
          <w:color w:val="auto"/>
        </w:rPr>
        <w:t xml:space="preserve"> </w:t>
      </w:r>
      <w:r>
        <w:rPr>
          <w:rFonts w:ascii="Arial" w:cs="Arial" w:eastAsia="Arial" w:hAnsi="Arial"/>
          <w:sz w:val="16"/>
          <w:szCs w:val="16"/>
          <w:i w:val="1"/>
          <w:iCs w:val="1"/>
          <w:color w:val="auto"/>
        </w:rPr>
        <w:t>Shareholder Derivative Litigation</w:t>
      </w:r>
      <w:r>
        <w:rPr>
          <w:rFonts w:ascii="Arial" w:cs="Arial" w:eastAsia="Arial" w:hAnsi="Arial"/>
          <w:sz w:val="16"/>
          <w:szCs w:val="16"/>
          <w:color w:val="auto"/>
        </w:rPr>
        <w:t>, Docket No. 11-1961. On January 12, 2012, an additional shareholder derivative complaint was filed in the Court of Chancery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the State of Delaware. That matter is captioned </w:t>
      </w:r>
      <w:r>
        <w:rPr>
          <w:rFonts w:ascii="Arial" w:cs="Arial" w:eastAsia="Arial" w:hAnsi="Arial"/>
          <w:sz w:val="16"/>
          <w:szCs w:val="16"/>
          <w:i w:val="1"/>
          <w:iCs w:val="1"/>
          <w:color w:val="auto"/>
        </w:rPr>
        <w:t>Krasnoff v. Budhraja</w:t>
      </w:r>
      <w:r>
        <w:rPr>
          <w:rFonts w:ascii="Arial" w:cs="Arial" w:eastAsia="Arial" w:hAnsi="Arial"/>
          <w:sz w:val="16"/>
          <w:szCs w:val="16"/>
          <w:color w:val="auto"/>
        </w:rPr>
        <w:t>, et al., Docket No. 7171. The allegations of the derivative complaints mirror the allegations made in the putative class action complaints described above. The plaintiffs purport to assert claims against the director defendants for breach of fiduciary duty, abuse of control, gross mismanagement, unjust enrichment and corporate waste. The plaintiffs seek unspecified damages on behalf of us, as well as an award of costs and expenses, including attorney’s fees.</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matter is both probable to result in liability and the amounts of loss can be reasonably estimated, we estimate and disclose the possible loss or range of loss. With respect to the above referenced litigation matters, such an estimate cannot be made. There are numerous factors that make it difficult to meaningfully estimate possible loss or range of loss at this stage of these litigation matters, including that: the proceedings are in relatively early stages, there are significant factual and legal issues to be resolved, information obtained or rulings made during the lawsuits could affect the methodology for calculation of rescission and the related statutory interest rate. In addition, with respect to claims where damages are the requested relief, no amount of loss or damages has been specified. Therefore, we are unable at this time to estimate possible losses. We believe that these litigations are without merit, and we intend to defend these actions vigorously. Therefore no adjustment has been made to the financial statements to reflect the outcome of these uncertainties.</w:t>
      </w:r>
    </w:p>
    <w:p>
      <w:pPr>
        <w:spacing w:after="0" w:line="118"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color w:val="auto"/>
        </w:rPr>
        <w:t xml:space="preserve">On September 13, 2011, we commenced a series of legal actions in China against Sinovel Wind Group Co. Ltd. (“Sinovel”). Our Chinese subsidiary, Suzhou AMSC Superconductor Co. Ltd., filed a claim for arbitration with the Beijing Arbitration Commission in accordance with the terms of our supply contracts with Sinovel. The case is captioned </w:t>
      </w:r>
      <w:r>
        <w:rPr>
          <w:rFonts w:ascii="Arial" w:cs="Arial" w:eastAsia="Arial" w:hAnsi="Arial"/>
          <w:sz w:val="18"/>
          <w:szCs w:val="18"/>
          <w:i w:val="1"/>
          <w:iCs w:val="1"/>
          <w:color w:val="auto"/>
        </w:rPr>
        <w:t>(2011) Jin Zhong An Zi No. 0963</w:t>
      </w:r>
      <w:r>
        <w:rPr>
          <w:rFonts w:ascii="Arial" w:cs="Arial" w:eastAsia="Arial" w:hAnsi="Arial"/>
          <w:sz w:val="18"/>
          <w:szCs w:val="18"/>
          <w:color w:val="auto"/>
        </w:rPr>
        <w:t>. On March 31, 2011, Sinovel refused to accept contracted shipments of 1.5 megawatt (MW) and 3 MW wind turbine core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electrical components and spare parts that we were prepared to deliver. We allege that these actions constitute material breaches of our contracts because Sinovel did not give us notice that it intended to delay deliveries as required under the contracts. Moreover, we allege that Sinovel has refused to pay past due amounts for prior shipments of core electrical components and spare parts. We are seeking compensation for past product shipments and retention (including interest) in the amount of approximately RMB 485 million ($76 million) due to Sinovel’s breaches of our contracts. We are also seeking specific performance of our existing contracts as well as reimbursement of all costs and reasonable expenses with respect to the arbitration. The value of the undelivered components under the existing contracts, including the deliveries refused by Sinovel in March 2011, amounts to approximately RMB 4.6 billion ($720 million).</w:t>
      </w:r>
    </w:p>
    <w:p>
      <w:pPr>
        <w:spacing w:after="0" w:line="12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On October 8, 2011, Sinovel filed with the Beijing Arbitration Commission an application under the caption </w:t>
      </w:r>
      <w:r>
        <w:rPr>
          <w:rFonts w:ascii="Arial" w:cs="Arial" w:eastAsia="Arial" w:hAnsi="Arial"/>
          <w:sz w:val="16"/>
          <w:szCs w:val="16"/>
          <w:i w:val="1"/>
          <w:iCs w:val="1"/>
          <w:color w:val="auto"/>
        </w:rPr>
        <w:t>(2011) Jing Zhong An Zi No. 0963,</w:t>
      </w:r>
      <w:r>
        <w:rPr>
          <w:rFonts w:ascii="Arial" w:cs="Arial" w:eastAsia="Arial" w:hAnsi="Arial"/>
          <w:sz w:val="16"/>
          <w:szCs w:val="16"/>
          <w:color w:val="auto"/>
        </w:rPr>
        <w:t xml:space="preserve"> for a counterclaim against us for breach of the same contracts under which we filed our original arbitration claim. Sinovel claimed, among other things, that the goods supplied by us do not conform to the standards specified in the contracts and claimed damages in the amount of approximately RMB 370 million ($58 million). On October 17, 2011, Sinovel filed with the Beijing Arbitration Commission a request for change of counterclaim to increase its damage claim to approximately RMB 1 billion ($157 million). On December 22, 2011, Sinovel filed with the Beijing Arbitration Commission an additional request for change of counterclaim to increase its damages claim to approximately RMB 1.2 billion ($190 million). On February 27, 2012, Sinovel filed with the Beijing Arbitration Commission an application under the caption </w:t>
      </w:r>
      <w:r>
        <w:rPr>
          <w:rFonts w:ascii="Arial" w:cs="Arial" w:eastAsia="Arial" w:hAnsi="Arial"/>
          <w:sz w:val="16"/>
          <w:szCs w:val="16"/>
          <w:i w:val="1"/>
          <w:iCs w:val="1"/>
          <w:color w:val="auto"/>
        </w:rPr>
        <w:t>(2012) Jing Zhong An Zi No. 0157,</w:t>
      </w:r>
      <w:r>
        <w:rPr>
          <w:rFonts w:ascii="Arial" w:cs="Arial" w:eastAsia="Arial" w:hAnsi="Arial"/>
          <w:sz w:val="16"/>
          <w:szCs w:val="16"/>
          <w:color w:val="auto"/>
        </w:rPr>
        <w:t xml:space="preserve"> against us for breach of the same contracts under which we filed our original arbitration claim. Sinovel claimed, among other things, that the goods supplied by us do not conform to the standards specified in the contracts and claimed damages in the amount of approximately RMB 105 million ($17 million). We believe that Sinovel’s claims are without merit and we intend to defend these actions vigorously. Since the proceedings in this matter are in relatively early stages, we cannot reasonably estimate possible losses or range of losses at this time.</w:t>
      </w:r>
    </w:p>
    <w:p>
      <w:pPr>
        <w:spacing w:after="0" w:line="12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We also submitted a civil action application to the Beijing No. 1 Intermediate People’s Court under the caption </w:t>
      </w:r>
      <w:r>
        <w:rPr>
          <w:rFonts w:ascii="Arial" w:cs="Arial" w:eastAsia="Arial" w:hAnsi="Arial"/>
          <w:sz w:val="16"/>
          <w:szCs w:val="16"/>
          <w:i w:val="1"/>
          <w:iCs w:val="1"/>
          <w:color w:val="auto"/>
        </w:rPr>
        <w:t>(2011) Yi Zhong Min Chu Zi No. 15524,</w:t>
      </w:r>
      <w:r>
        <w:rPr>
          <w:rFonts w:ascii="Arial" w:cs="Arial" w:eastAsia="Arial" w:hAnsi="Arial"/>
          <w:sz w:val="16"/>
          <w:szCs w:val="16"/>
          <w:color w:val="auto"/>
        </w:rPr>
        <w:t xml:space="preserve"> against Sinovel for software copyright infringement on September 13, 2011. The application alleges Sinovel’s unauthorized use of portions of our wind turbine control software source code developed for Sinovel’s 1.5MW wind turbines and the binary code, or upper layer, of our software for our PM3000 power converters in 1.5MW wind turbines. In July 2011, a former employee of our Austrian subsidiary was arrested in Austria on charges of economic espionage and fraudulent manipulation of data. In September 2011, the former employee pled guilty to the charges, and was imprisoned. As a result of our internal investigation and a criminal investigation conducted by Austrian authorities, we believe that this former employee was contracted by Sinovel through an intermediary while employed by us and improperly obtained and transferred to Sinovel portions of our wind turbine control software source code developed for Sinovel’s 1.5MW wind turbines. Moreover, we believe the former employee illegally used source code to develop for Sinovel a software modification to circumvent the encryption and remove technical protection measures on the PM3000 power converters in 1.5MW wind turbines in the field. We are seeking a cease and desist order with respect to the unauthorized copying, installation and use of our software, monetary damages of approximately RMB 38 million ($6 million) for our economic losses and reimbursement of all costs and reasonable expenses. The Beijing No. 1 Intermediate People’s Court accepted the case, which was necessary in order for the case to proceed. In November 2011, Sinovel filed a motion to remove this case from the Beijing No. 1 Intermediate People’s Court and to transfer the matter to the Beijing Arbitration Commission. On February 14, 2012, the court denied Sinovel’s motion to remove the case. On February 21, 2012, Sinovel filed an appeal of the Beijing No. 1 Intermediate People’s Court decision to the Beijing Higher People’s Court. On April 25, 2012, the Beijing Higher People’s Court issued a final Civil Ruling which supports the Beijing No.1 Intermediate People’s Court’s civil ruling and rejected Sinovel’s appeal. Sinovel filed an appeal of the Beijing Higher People’s Court’s decision with China’s Supreme People’s Court. A hearing regarding this appeal was held at the Chinese Supreme People’s Court on October 26, 2012. On November 23, 2012, the China’s Supreme People’s Court issued a Civil Ruling, holding that (1) it will conduct a re-trial of Sinovel’s appeal, and (2) the lower court’s decision will be stayed pending the re-trial.</w:t>
      </w:r>
    </w:p>
    <w:p>
      <w:pPr>
        <w:spacing w:after="0" w:line="13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Sinovel filed a new motion on June 18, 2012, to remove this case from the Beijing No. 1 Intermediate People’s Court to the court located in Gansu Province. On October 19, 2012, the Court disallowed Sinovel’s motion due to its late filing.</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We submitted a civil action application to the Beijing Higher People’s Court against Sinovel and certain of its employees for trade secret infringement on September 13 2011 under the caption </w:t>
      </w:r>
      <w:r>
        <w:rPr>
          <w:rFonts w:ascii="Arial" w:cs="Arial" w:eastAsia="Arial" w:hAnsi="Arial"/>
          <w:sz w:val="18"/>
          <w:szCs w:val="18"/>
          <w:i w:val="1"/>
          <w:iCs w:val="1"/>
          <w:color w:val="auto"/>
        </w:rPr>
        <w:t>(2011) Gao Min Chu Zi No. 4193</w:t>
      </w:r>
      <w:r>
        <w:rPr>
          <w:rFonts w:ascii="Arial" w:cs="Arial" w:eastAsia="Arial" w:hAnsi="Arial"/>
          <w:sz w:val="18"/>
          <w:szCs w:val="18"/>
          <w:color w:val="auto"/>
        </w:rPr>
        <w:t>. The application alleges the defendants’ unauthorized use of portions of our wind turbine control software source code developed for Sinovel’s 1.5MW wind turbines as described above with respect to the Copyright Action. We are seeking monetary damages of RMB 2.9 billion ($453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million) for the trade secret infringement as well as reimbursement of all costs and reasonable expenses. The Beijing Higher People’s Court has accepted the case, which was necessary in order for the case to proceed. On December 22, 2011 the Beijing Higher People’s Court transferred the case to the Beijing No. 1 Intermediate People’s Court under the caption (2011) Gao Min Chu Zi No. 4193. On June 7, 2012, we received the Acceptance Notice form the Beijing No. 1 Intermediate People’s Court under the caption (2012) Yi Zhong Min Chu Zi No. 6833. We are currently awaiting notice from the Beijing No. 1 Intermediate People’s Court regarding the first hearing date. In August 2012, Sinovel filed a motion to remove this case from the Beijing No. 1 Intermediate People’s Court and transfer the matter to the Beijing Arbitration Commission.</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On September 16, 2011, we filed a civil copyright infringement complaint in the Hainan Province No. 1 Intermediate People’s Court against Dalian Guotong Electric Co. Ltd. (“Guotong”), a supplier of power converter products to Sinovel, and Huaneng Hainan Power, Inc. (“Huaneng”), a wind farm operator that has purchased Sinovel wind turbines containing Guotong power converter products. The case is captioned </w:t>
      </w:r>
      <w:r>
        <w:rPr>
          <w:rFonts w:ascii="Arial" w:cs="Arial" w:eastAsia="Arial" w:hAnsi="Arial"/>
          <w:sz w:val="16"/>
          <w:szCs w:val="16"/>
          <w:i w:val="1"/>
          <w:iCs w:val="1"/>
          <w:color w:val="auto"/>
        </w:rPr>
        <w:t>(2011) Hainan Yi Zhong Min Chu Zi No. 62</w:t>
      </w:r>
      <w:r>
        <w:rPr>
          <w:rFonts w:ascii="Arial" w:cs="Arial" w:eastAsia="Arial" w:hAnsi="Arial"/>
          <w:sz w:val="16"/>
          <w:szCs w:val="16"/>
          <w:color w:val="auto"/>
        </w:rPr>
        <w:t>. The application alleges that our PM1000 converters in certain Sinovel wind turbines have been replaced by converters produced by Guotong. Because the Guotong converters are being used in wind turbines containing our wind turbine control software, we believe that our copyrighted software is being infringed. We are seeking a cease and desist order with respect to the unauthorized use of our software, monetary damages of RMB 1.2 million ($0.2 million) for our economic losses (with respect to Guotong only) and reimbursement of all costs and reasonable expenses. The court has accepted the case, which was necessary in order for the case to proceed. In addition, upon the request of the defendant Huaneng, Sinovel has been added by the court to this case as a defendant and Huaneng has been released from this case. In December 2011, Sinovel filed a jurisdiction opposition motion requesting dismissal by the Hainan Province No. 1 Intermediate People’s Court, saying the case should be governed by the Beijing Arbitration Commission. On February 3, 2012, we received the Civil Ruling from the court, which granted Sinovel’s motion, and dismissed the entire case. We appealed the court’s ruling to the Hainan Higher Court, which on April 5, 2012 upheld the decision of the Hainan Province No. 1 Intermediate People’s Court. On April 9, 2012, we filed an appeal of the Hainan Higher Court’s decision with China’s Supreme People’s Court. The Supreme Court accepted the appeal on May 23, 2012. The case is captioned, (2012) Min Shen Zi No. 630. On December 20, 2012, the China’s Supreme People’s Court issued a Civil Ruling, holding that (1) it will conduct a re-trial of our appeal, and (2) the lower court’s decision will be stayed pending the re-trial.</w:t>
      </w:r>
    </w:p>
    <w:p>
      <w:pPr>
        <w:spacing w:after="0" w:line="12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Ghodawat Energy Pvt Ltd (“Ghodawat”), a company registered in India carrying on the business of wind power development, lodged a Request for Arbitration with the Secretariat of the ICC International Court of Arbitration on May 12, 2011 and named AMSC Windtec GmbH (“AMSC Austria”) as the Respondent. Under the Request for Arbitration, Ghodawat alleges that AMSC Austria breached an agreement dated March 19, 2008 pursuant to which AMSC Austria granted a license to Ghodawat to manufacture, use, sell, market, erect, commission and maintain certain wind turbines using its technical information and wind turbine design (the “License Agreement”). Under the Request for Arbitration, Ghodawat’s claims in this arbitration amount to approximately €18 million ($24 million). AMSC Austria filed an Answer to Request for Arbitration and Counterclaim (“Answer and Counterclaim”), in which AMSC Austria denied Ghodawat’s claims in their entirety. AMSC Austria has also submitted counterclaims under the License Agreement against Ghodawat in the amount of approximately €6 million ($9.0 million). Ghodawat has filed a Reply to Answer to Request for Arbitration and Counterclaim in which it denies AMSC Austria’s counterclaims. The arbitration proceedings are currently ongoing. We have recorded a loss contingency based on our assessment of probable losses on this claim; however, this amount is immaterial to our consolidated financial statements.</w:t>
      </w:r>
    </w:p>
    <w:p>
      <w:pPr>
        <w:spacing w:after="0" w:line="2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Investing in our common stock involves a high degree of risk. In addition to the updated risk factor set forth below and the other information set forth in this Quarterly Report on Form 10-Q, you should carefully consider important factors discussed in Part I, “Item 1A. Risk Factors” in our Annual Report on Form 10-K/A for the year ended March 31, 2012, which could materially affect our business, financial condition or future results. To the best of our knowledge, as of the date of this report there has been no material change in the risk factors described in our Annual Report on Form 10-K/A, except for the following: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regulations related to conflict-free minerals may force us to incur significant additional expenses.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Dodd-Frank Wall Street Reform and Consumer Protection Act contains provisions to improve transparency and accountability concerning the supply of minerals originating from the conflict zones of the Democratic Republic of Congo (DRC) and adjoining countries. As a result, in August 2012 the SEC established new annual disclosure and reporting requirements for those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companies who use “conflict” minerals mined from the DRC and adjoining countries in their products. These new requirements will require due diligence efforts for the 2013 calendar year, with initial disclosure requirements beginning in May 2014. These new requirements could affect the sourcing and availability of minerals used in the manufacture of our products. As a result, we may not be able to obtain materials at competitive prices and there will likely be significant additional costs associated with implementing new due diligence procedures that satisfy the new regulation. In addition, as our supply chain is complex, we may face reputational challenges with our customers and other stakeholders if we are unable to sufficiently verify the origins of all minerals used in our products through the due diligence procedures that we implement, and we may incur additional costs as a result of changes to product, processes or sources of supply as a consequence of these new requirements.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which Exhibit Index is incorporated herein by this reference.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AMERICAN SUPERCONDUCTOR CORPORATION</w:t>
      </w:r>
    </w:p>
    <w:p>
      <w:pPr>
        <w:spacing w:after="0" w:line="219" w:lineRule="exact"/>
        <w:rPr>
          <w:sz w:val="20"/>
          <w:szCs w:val="20"/>
          <w:color w:val="auto"/>
        </w:rPr>
      </w:pPr>
    </w:p>
    <w:p>
      <w:pPr>
        <w:spacing w:after="0"/>
        <w:tabs>
          <w:tab w:leader="none" w:pos="5900" w:val="left"/>
          <w:tab w:leader="none" w:pos="7960" w:val="left"/>
        </w:tabs>
        <w:rPr>
          <w:sz w:val="20"/>
          <w:szCs w:val="20"/>
          <w:color w:val="auto"/>
        </w:rPr>
      </w:pPr>
      <w:r>
        <w:rPr>
          <w:rFonts w:ascii="Arial" w:cs="Arial" w:eastAsia="Arial" w:hAnsi="Arial"/>
          <w:sz w:val="18"/>
          <w:szCs w:val="18"/>
          <w:color w:val="auto"/>
        </w:rPr>
        <w:t>Date: February 11, 2013</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14605</wp:posOffset>
            </wp:positionV>
            <wp:extent cx="35674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David A. Henry</w:t>
      </w:r>
    </w:p>
    <w:p>
      <w:pPr>
        <w:spacing w:after="0" w:line="15"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(Principal Financial and Accounting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60" w:type="dxa"/>
            <w:vAlign w:val="bottom"/>
            <w:gridSpan w:val="3"/>
          </w:tcPr>
          <w:p>
            <w:pPr>
              <w:ind w:left="42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12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512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440" w:type="dxa"/>
            <w:vAlign w:val="bottom"/>
          </w:tcPr>
          <w:p>
            <w:pPr>
              <w:spacing w:after="0"/>
              <w:rPr>
                <w:sz w:val="24"/>
                <w:szCs w:val="24"/>
                <w:color w:val="auto"/>
              </w:rPr>
            </w:pPr>
          </w:p>
        </w:tc>
      </w:tr>
      <w:tr>
        <w:trPr>
          <w:trHeight w:val="316"/>
        </w:trPr>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4.1</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Exchanged Note dated as of December 20, 2012 between the Registrant and Capital Ventures International</w:t>
            </w:r>
          </w:p>
        </w:tc>
      </w:tr>
      <w:tr>
        <w:trPr>
          <w:trHeight w:val="324"/>
        </w:trPr>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10.1</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87"/>
              </w:rPr>
              <w:t>Amendment and Exchange Agreement, dated as of December 20, 2012, by and between the Registrant and Capital Ventures International (1)</w:t>
            </w:r>
          </w:p>
        </w:tc>
      </w:tr>
      <w:tr>
        <w:trPr>
          <w:trHeight w:val="318"/>
        </w:trPr>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31.1</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1"/>
              </w:rPr>
              <w:t>Chief Executive Officer — Certification pursuant to Rule 13a-14(a) or Rule 15d-14(a) of the Securities Exchange Act of 1934, as adopted</w:t>
            </w:r>
          </w:p>
        </w:tc>
      </w:tr>
      <w:tr>
        <w:trPr>
          <w:trHeight w:val="222"/>
        </w:trPr>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31.2</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1"/>
              </w:rPr>
              <w:t>Chief Financial Officer — Certification pursuant to Rule 13a-14(a) or Rule 15d-14(a) of the Securities Exchange Act of 1934, as adopted</w:t>
            </w:r>
          </w:p>
        </w:tc>
      </w:tr>
      <w:tr>
        <w:trPr>
          <w:trHeight w:val="222"/>
        </w:trPr>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318"/>
        </w:trPr>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32.1</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89"/>
              </w:rPr>
              <w:t>Chief Executive Officer — Certification pursuant to Rule 13a-14(b) or Rule 15d-14(b) of the Securities Exchange Act of 1934 and 18 U.S.C.</w:t>
            </w:r>
          </w:p>
        </w:tc>
      </w:tr>
      <w:tr>
        <w:trPr>
          <w:trHeight w:val="222"/>
        </w:trPr>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318"/>
        </w:trPr>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32.2</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w w:val="90"/>
              </w:rPr>
              <w:t>Chief Financial Officer — Certification pursuant to Rule 13a-14(b) or Rule 15d-14(b) of the Securities Exchange Act of 1934 and 18 U.S.C.</w:t>
            </w:r>
          </w:p>
        </w:tc>
      </w:tr>
      <w:tr>
        <w:trPr>
          <w:trHeight w:val="222"/>
        </w:trPr>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XBRL Instance Document.**</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3"/>
          </w:tcPr>
          <w:p>
            <w:pPr>
              <w:ind w:left="34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196" w:lineRule="exact"/>
        <w:rPr>
          <w:sz w:val="20"/>
          <w:szCs w:val="20"/>
          <w:color w:val="auto"/>
        </w:rPr>
      </w:pPr>
    </w:p>
    <w:p>
      <w:pPr>
        <w:ind w:left="460" w:right="2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Exhibit 10.1 to the Registrant’s Current Report on Form 8-K filed with the Commission on December 21, 2012 (Commission file No. 000-19672).</w:t>
      </w:r>
    </w:p>
    <w:p>
      <w:pPr>
        <w:spacing w:after="0" w:line="5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71"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Attached as Exhibits 101 to this report are the following formatted in XBRL (Extensible Business Reporting Language): (i) Condensed Consolidated Statements of Income for the three and nine months ended December 31, 2012 and 2011, (ii) Condensed Consolidated Balance Sheets as of December 31, 2012 and March 31, 2012, (iii) Condensed Consolidated Statements of Comprehensive (Loss) Income for the three and nine months ended December 31, 2012 and 2011,</w:t>
      </w:r>
    </w:p>
    <w:p>
      <w:pPr>
        <w:spacing w:after="0" w:line="1" w:lineRule="exact"/>
        <w:rPr>
          <w:sz w:val="20"/>
          <w:szCs w:val="20"/>
          <w:color w:val="auto"/>
        </w:rPr>
      </w:pPr>
    </w:p>
    <w:p>
      <w:pPr>
        <w:ind w:right="360" w:firstLine="8"/>
        <w:spacing w:after="0" w:line="261" w:lineRule="auto"/>
        <w:tabs>
          <w:tab w:leader="none" w:pos="2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nine months ended December 31, 2012 and 2011, and (v) Notes to Condensed Consolidated Financial Statements.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00"/>
          </w:cols>
          <w:pgMar w:left="240" w:top="459" w:right="3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4.1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[EXCHANGED NOTE]</w:t>
      </w:r>
    </w:p>
    <w:p>
      <w:pPr>
        <w:spacing w:after="0" w:line="17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b w:val="1"/>
          <w:bCs w:val="1"/>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TRANSFERRED IN THE ABSENCE OF AN EFFECTIVE REGISTRATION STATEMENT FOR THE SECURITIES UNDER THE SECURITIES ACT OF 1933, AS AMENDED, OR AN EXEMPTION THEREFROM. PRIOR TO THE REGISTRATION OF ANY TRANSFER IN ACCORDANCE WITH THE FOREGOING, THE COMPANY RESERVES THE RIGHT TO REQUIRE THE DELIVERY OF SUCH LEGAL OPINIONS (UNLESS SUCH SECURITIES ARE ELIGIBLE TO BE SOLD WITHOUT RESTRICTION OR HAVE BEEN SOLD PURSUANT TO RULE 144 OR RULE 144A UNDER SAID ACT), CERTIFICATIONS OR OTHER EVIDENCE AS MAY REASONABLY BE REQUIRED IN ORDER TO DETERMINE THAT THE PROPOSED TRANSFER IS BEING MADE IN COMPLIANCE WITH THE SECURITIES ACT AND APPLICABLE STATE SECURITIES LAWS. “TRANSFER” MEANS ANY SALE, ASSIGNMENT OR OTHER TRANSFER. NOTWITHSTANDING THE FOREGOING, THE SECURITIES MAY BE PLEDGED IN CONNECTION WITH A BONA FIDE MARGIN ACCOUNT OR OTHER LOAN OR FINANCING ARRANGEMENT SECURED BY THE SECURITIES. ANY TRANSFEREE OF THIS NOTE SHOULD CAREFULLY REVIEW THE TERMS OF THIS NOTE, INCLUDING SECTIONS 3(c)(iii) AND 19(a)</w:t>
      </w:r>
    </w:p>
    <w:p>
      <w:pPr>
        <w:spacing w:after="0" w:line="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b w:val="1"/>
          <w:bCs w:val="1"/>
          <w:color w:val="auto"/>
        </w:rPr>
        <w:t>HEREOF. THE PRINCIPAL AMOUNT REPRESENTED BY THIS NOTE AND, ACCORDINGLY, THE SECURITIES ISSUABLE UPON CONVERSION HEREOF MAY BE LESS THAN THE AMOUNTS SET FORTH ON THE FACE HEREOF PURSUANT TO SECTION 3(c)(iii) OF THIS NOTE.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UPERCONDUCTOR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ENIOR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ONVERTIBLE</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OTE</w:t>
      </w: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Exchange Date: December 20, 2012</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Original Issuance Date: April 4, 2012</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Original Principal Amount: U.S. $25,000,000</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Principal as of the Exchange Date: U.S. $24,616,919.39</w:t>
      </w:r>
    </w:p>
    <w:p>
      <w:pPr>
        <w:spacing w:after="0" w:line="193" w:lineRule="exact"/>
        <w:rPr>
          <w:sz w:val="20"/>
          <w:szCs w:val="20"/>
          <w:color w:val="auto"/>
        </w:rPr>
      </w:pPr>
    </w:p>
    <w:p>
      <w:pPr>
        <w:sectPr>
          <w:pgSz w:w="11900" w:h="16838" w:orient="portrait"/>
          <w:cols w:equalWidth="0" w:num="2">
            <w:col w:w="5340" w:space="720"/>
            <w:col w:w="5360"/>
          </w:cols>
          <w:pgMar w:left="240" w:top="125" w:right="239" w:bottom="1440" w:gutter="0" w:footer="0" w:header="0"/>
          <w:type w:val="continuous"/>
        </w:sect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FOR VALUE RECEIVED, </w:t>
      </w:r>
      <w:r>
        <w:rPr>
          <w:rFonts w:ascii="Arial" w:cs="Arial" w:eastAsia="Arial" w:hAnsi="Arial"/>
          <w:sz w:val="16"/>
          <w:szCs w:val="16"/>
          <w:color w:val="auto"/>
        </w:rPr>
        <w:t>American Superconductor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promises to pay to the order of</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VENTURES INTERNATIONAL or its registered assigns (“</w:t>
      </w:r>
      <w:r>
        <w:rPr>
          <w:rFonts w:ascii="Arial" w:cs="Arial" w:eastAsia="Arial" w:hAnsi="Arial"/>
          <w:sz w:val="16"/>
          <w:szCs w:val="16"/>
          <w:b w:val="1"/>
          <w:bCs w:val="1"/>
          <w:color w:val="auto"/>
        </w:rPr>
        <w:t>Holder</w:t>
      </w:r>
      <w:r>
        <w:rPr>
          <w:rFonts w:ascii="Arial" w:cs="Arial" w:eastAsia="Arial" w:hAnsi="Arial"/>
          <w:sz w:val="16"/>
          <w:szCs w:val="16"/>
          <w:color w:val="auto"/>
        </w:rPr>
        <w:t>”) the amount set forth above as the Original Principal Amount (as reduced pursuant to the terms hereof pursuant to redemption, conversion or otherwise, the “</w:t>
      </w:r>
      <w:r>
        <w:rPr>
          <w:rFonts w:ascii="Arial" w:cs="Arial" w:eastAsia="Arial" w:hAnsi="Arial"/>
          <w:sz w:val="16"/>
          <w:szCs w:val="16"/>
          <w:b w:val="1"/>
          <w:bCs w:val="1"/>
          <w:color w:val="auto"/>
        </w:rPr>
        <w:t>Principal</w:t>
      </w:r>
      <w:r>
        <w:rPr>
          <w:rFonts w:ascii="Arial" w:cs="Arial" w:eastAsia="Arial" w:hAnsi="Arial"/>
          <w:sz w:val="16"/>
          <w:szCs w:val="16"/>
          <w:color w:val="auto"/>
        </w:rPr>
        <w:t>”) when due, whether on the Maturity Date or any Installment Date with respect to the corresponding Installment Amount due (each as defined below), or upon acceleration, redemption or otherwise (in each case in accordance with the terms hereof) and to pay interest (“</w:t>
      </w:r>
      <w:r>
        <w:rPr>
          <w:rFonts w:ascii="Arial" w:cs="Arial" w:eastAsia="Arial" w:hAnsi="Arial"/>
          <w:sz w:val="16"/>
          <w:szCs w:val="16"/>
          <w:b w:val="1"/>
          <w:bCs w:val="1"/>
          <w:color w:val="auto"/>
        </w:rPr>
        <w:t>Interest</w:t>
      </w:r>
      <w:r>
        <w:rPr>
          <w:rFonts w:ascii="Arial" w:cs="Arial" w:eastAsia="Arial" w:hAnsi="Arial"/>
          <w:sz w:val="16"/>
          <w:szCs w:val="16"/>
          <w:color w:val="auto"/>
        </w:rPr>
        <w:t>”) on any outstanding Principal at the applicable Interest Rate (as defined below) from the date set forth above as the Issuance Date (the “</w:t>
      </w:r>
      <w:r>
        <w:rPr>
          <w:rFonts w:ascii="Arial" w:cs="Arial" w:eastAsia="Arial" w:hAnsi="Arial"/>
          <w:sz w:val="16"/>
          <w:szCs w:val="16"/>
          <w:b w:val="1"/>
          <w:bCs w:val="1"/>
          <w:color w:val="auto"/>
        </w:rPr>
        <w:t>Issuance Date</w:t>
      </w:r>
      <w:r>
        <w:rPr>
          <w:rFonts w:ascii="Arial" w:cs="Arial" w:eastAsia="Arial" w:hAnsi="Arial"/>
          <w:sz w:val="16"/>
          <w:szCs w:val="16"/>
          <w:color w:val="auto"/>
        </w:rPr>
        <w:t>”) until the same becomes due and payable, whether upon the Maturity Date, on any Installment Date with respect to the Installment Amount due on such Installment Date, acceleration, conversion, redemption or otherwise (in each case in accordance with the terms hereof).</w:t>
      </w:r>
    </w:p>
    <w:p>
      <w:pPr>
        <w:sectPr>
          <w:pgSz w:w="11900" w:h="16838" w:orient="portrait"/>
          <w:cols w:equalWidth="0" w:num="1">
            <w:col w:w="11420"/>
          </w:cols>
          <w:pgMar w:left="240" w:top="125" w:right="239" w:bottom="1440" w:gutter="0" w:footer="0" w:header="0"/>
          <w:type w:val="continuous"/>
        </w:sectPr>
      </w:pPr>
    </w:p>
    <w:bookmarkStart w:id="46" w:name="page47"/>
    <w:bookmarkEnd w:id="46"/>
    <w:p>
      <w:pPr>
        <w:ind w:right="18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Senior Convertible Note (including all Senior Convertible Notes issued in exchange, transfer or replacement hereof, this “</w:t>
      </w:r>
      <w:r>
        <w:rPr>
          <w:rFonts w:ascii="Arial" w:cs="Arial" w:eastAsia="Arial" w:hAnsi="Arial"/>
          <w:sz w:val="16"/>
          <w:szCs w:val="16"/>
          <w:b w:val="1"/>
          <w:bCs w:val="1"/>
          <w:color w:val="auto"/>
        </w:rPr>
        <w:t>Note</w:t>
      </w:r>
      <w:r>
        <w:rPr>
          <w:rFonts w:ascii="Arial" w:cs="Arial" w:eastAsia="Arial" w:hAnsi="Arial"/>
          <w:sz w:val="16"/>
          <w:szCs w:val="16"/>
          <w:color w:val="auto"/>
        </w:rPr>
        <w:t>”) is being issued pursuant to the terms of the Amendment and Exchange Agreement between the Company and the Holder, dated as of December , 2012, in exchange for the Senior Convertible Note dated April 4, 2012 in the original principal amount of $25,000,000 (the “</w:t>
      </w:r>
      <w:r>
        <w:rPr>
          <w:rFonts w:ascii="Arial" w:cs="Arial" w:eastAsia="Arial" w:hAnsi="Arial"/>
          <w:sz w:val="16"/>
          <w:szCs w:val="16"/>
          <w:b w:val="1"/>
          <w:bCs w:val="1"/>
          <w:color w:val="auto"/>
        </w:rPr>
        <w:t>Original Note</w:t>
      </w:r>
      <w:r>
        <w:rPr>
          <w:rFonts w:ascii="Arial" w:cs="Arial" w:eastAsia="Arial" w:hAnsi="Arial"/>
          <w:sz w:val="16"/>
          <w:szCs w:val="16"/>
          <w:color w:val="auto"/>
        </w:rPr>
        <w:t>”) originally issued pursuant to the Securities Purchase Agreement (as defined below) on the Initial Closing Date (as defined below). All outstanding Principal and accrued but unpaid Interest (including Deferral Amounts) under the Original Note shall be the outstanding Principal and accrued but unpaid Interest (and Deferral Amounts) under this Note as if this Note is merely an amendment of the Original Note. Certain capitalized terms used herein are defined in Section 31.</w:t>
      </w:r>
    </w:p>
    <w:p>
      <w:pPr>
        <w:spacing w:after="0" w:line="117" w:lineRule="exact"/>
        <w:rPr>
          <w:sz w:val="20"/>
          <w:szCs w:val="20"/>
          <w:color w:val="auto"/>
        </w:rPr>
      </w:pPr>
    </w:p>
    <w:p>
      <w:pPr>
        <w:ind w:right="160" w:firstLine="464"/>
        <w:spacing w:after="0" w:line="298"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PAYMENTS OF PRINCIPAL</w:t>
      </w:r>
      <w:r>
        <w:rPr>
          <w:rFonts w:ascii="Arial" w:cs="Arial" w:eastAsia="Arial" w:hAnsi="Arial"/>
          <w:sz w:val="16"/>
          <w:szCs w:val="16"/>
          <w:color w:val="auto"/>
        </w:rPr>
        <w:t>. On each Installment Date (which includes the Maturity Date), the Company shall pay to the Holder an amount equal to the Installment Amount due on such Installment Date in accordance with Section 8. On the Maturity Date, the Company shall pay to the Holder an amount in cash, shares of Common Stock or a combination thereof in accordance with Section 8 representing all outstanding Principal and accrued and unpaid Interest. Other than as specifically permitted by this Note, the Company may not prepay any portion of the outstanding Principal, accrued and unpaid Interest.</w:t>
      </w:r>
    </w:p>
    <w:p>
      <w:pPr>
        <w:spacing w:after="0" w:line="112" w:lineRule="exact"/>
        <w:rPr>
          <w:rFonts w:ascii="Arial" w:cs="Arial" w:eastAsia="Arial" w:hAnsi="Arial"/>
          <w:sz w:val="16"/>
          <w:szCs w:val="16"/>
          <w:color w:val="auto"/>
        </w:rPr>
      </w:pPr>
    </w:p>
    <w:p>
      <w:pPr>
        <w:ind w:left="640" w:hanging="17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INTEREST; INTEREST RATE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59" w:lineRule="auto"/>
        <w:tabs>
          <w:tab w:leader="none" w:pos="1137"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Interest on this Note shall commence accruing on the Issuance Date and shall (i) be computed on the basis of a 360-day year and twelve 30-day months, (ii) shall compound each month and (iii) shall be payable on each Installment Date in accordance with Section 8 below or otherwise in accordance with the terms of this Note.</w:t>
      </w:r>
    </w:p>
    <w:p>
      <w:pPr>
        <w:spacing w:after="0" w:line="59" w:lineRule="exact"/>
        <w:rPr>
          <w:rFonts w:ascii="Arial" w:cs="Arial" w:eastAsia="Arial" w:hAnsi="Arial"/>
          <w:sz w:val="18"/>
          <w:szCs w:val="18"/>
          <w:color w:val="auto"/>
        </w:rPr>
      </w:pPr>
    </w:p>
    <w:p>
      <w:pPr>
        <w:ind w:left="460" w:right="40" w:firstLine="443"/>
        <w:spacing w:after="0" w:line="290" w:lineRule="auto"/>
        <w:tabs>
          <w:tab w:leader="none" w:pos="1147" w:val="left"/>
        </w:tabs>
        <w:numPr>
          <w:ilvl w:val="1"/>
          <w:numId w:val="14"/>
        </w:numPr>
        <w:rPr>
          <w:rFonts w:ascii="Arial" w:cs="Arial" w:eastAsia="Arial" w:hAnsi="Arial"/>
          <w:sz w:val="16"/>
          <w:szCs w:val="16"/>
          <w:color w:val="auto"/>
        </w:rPr>
      </w:pPr>
      <w:r>
        <w:rPr>
          <w:rFonts w:ascii="Arial" w:cs="Arial" w:eastAsia="Arial" w:hAnsi="Arial"/>
          <w:sz w:val="16"/>
          <w:szCs w:val="16"/>
          <w:color w:val="auto"/>
        </w:rPr>
        <w:t>Prior to the payment of Interest on an Installment Date, Interest on this Note shall accrue at the Interest Rate and be payable by way of inclusion of the Interest in the Conversion Amount on each Conversion Date in accordance with Section 3(b)(i), on each Installment Date in accordance with Section 8 below or upon any redemption in accordance with Section 11. From and after the occurrence and during the continuance of an Event of Default (as defined below), the Interest Rate shall be increased to fifteen percent (15.0%). In the event that such Event of Default is subsequently cured, the automatic increase to the Interest Rate referred to in the preceding sentence shall cease to be effective as of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such cure of such Event of Default.</w:t>
      </w:r>
    </w:p>
    <w:p>
      <w:pPr>
        <w:spacing w:after="0" w:line="118" w:lineRule="exact"/>
        <w:rPr>
          <w:rFonts w:ascii="Arial" w:cs="Arial" w:eastAsia="Arial" w:hAnsi="Arial"/>
          <w:sz w:val="16"/>
          <w:szCs w:val="16"/>
          <w:color w:val="auto"/>
        </w:rPr>
      </w:pPr>
    </w:p>
    <w:p>
      <w:pPr>
        <w:ind w:right="400" w:firstLine="464"/>
        <w:spacing w:after="0" w:line="268" w:lineRule="auto"/>
        <w:tabs>
          <w:tab w:leader="none" w:pos="63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CONVERSION OF NOTES</w:t>
      </w:r>
      <w:r>
        <w:rPr>
          <w:rFonts w:ascii="Arial" w:cs="Arial" w:eastAsia="Arial" w:hAnsi="Arial"/>
          <w:sz w:val="18"/>
          <w:szCs w:val="18"/>
          <w:color w:val="auto"/>
        </w:rPr>
        <w:t>. This Note shall be convertible into validly issued, fully paid and non-assessable shares of Common Stock (as defined below), on the terms and conditions set forth in this Section 3.</w:t>
      </w:r>
    </w:p>
    <w:p>
      <w:pPr>
        <w:spacing w:after="0" w:line="50" w:lineRule="exact"/>
        <w:rPr>
          <w:rFonts w:ascii="Arial" w:cs="Arial" w:eastAsia="Arial" w:hAnsi="Arial"/>
          <w:sz w:val="18"/>
          <w:szCs w:val="18"/>
          <w:color w:val="auto"/>
        </w:rPr>
      </w:pPr>
    </w:p>
    <w:p>
      <w:pPr>
        <w:ind w:left="460" w:right="340" w:firstLine="443"/>
        <w:spacing w:after="0" w:line="306" w:lineRule="auto"/>
        <w:tabs>
          <w:tab w:leader="none" w:pos="1137"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Conversion Right</w:t>
      </w:r>
      <w:r>
        <w:rPr>
          <w:rFonts w:ascii="Arial" w:cs="Arial" w:eastAsia="Arial" w:hAnsi="Arial"/>
          <w:sz w:val="16"/>
          <w:szCs w:val="16"/>
          <w:color w:val="auto"/>
        </w:rPr>
        <w:t>. Subject to the provisions of Section 3(d), at any time or times on or after the Issuance Date, the Holder shall be entitled to convert any portion of the outstanding and unpaid Conversion Amount (as defined below) into validly issued, fully paid and non-assessable shares of Common Stock in accordance with Section 3(c), at the Conversion Rate (as defined below). The Company shall not issue any fractional</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47" w:name="page48"/>
    <w:bookmarkEnd w:id="47"/>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of Common Stock upon conversion of any portion of the outstanding and unpaid Conversion Amount. If any fractional share of Common Stock would be issuable upon the conversion of any portion of the outstanding Conversion Amount, the Company shall round such fractional share of Common Stock to the nearest whole share. The Company shall pay any and all transfer, stamp, issuance and similar taxes that may be payable with respect to the issuance of stock certificates, if any, in respect of shares of Common Stock deliverable upon conversion of any Conversion Amount. The Company shall not, however, be required to pay any such tax which may be payable in respect of any transfer involved in the issuance and delivery of Common Stock in any name other than that of the Holder of this Note.</w:t>
      </w:r>
    </w:p>
    <w:p>
      <w:pPr>
        <w:spacing w:after="0" w:line="39" w:lineRule="exact"/>
        <w:rPr>
          <w:sz w:val="20"/>
          <w:szCs w:val="20"/>
          <w:color w:val="auto"/>
        </w:rPr>
      </w:pPr>
    </w:p>
    <w:p>
      <w:pPr>
        <w:ind w:firstLine="443"/>
        <w:spacing w:after="0" w:line="268" w:lineRule="auto"/>
        <w:tabs>
          <w:tab w:leader="none" w:pos="68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Conversion Rate</w:t>
      </w:r>
      <w:r>
        <w:rPr>
          <w:rFonts w:ascii="Arial" w:cs="Arial" w:eastAsia="Arial" w:hAnsi="Arial"/>
          <w:sz w:val="18"/>
          <w:szCs w:val="18"/>
          <w:color w:val="auto"/>
        </w:rPr>
        <w:t>. The number of shares of Common Stock issuable upon conversion of any Conversion Amount pursuant to Section 3(a) shall be determined by dividing (x) such Conversion Amount by (y) the Conversion Price (the “</w:t>
      </w:r>
      <w:r>
        <w:rPr>
          <w:rFonts w:ascii="Arial" w:cs="Arial" w:eastAsia="Arial" w:hAnsi="Arial"/>
          <w:sz w:val="18"/>
          <w:szCs w:val="18"/>
          <w:b w:val="1"/>
          <w:bCs w:val="1"/>
          <w:color w:val="auto"/>
        </w:rPr>
        <w:t>Conversion Rate</w:t>
      </w:r>
      <w:r>
        <w:rPr>
          <w:rFonts w:ascii="Arial" w:cs="Arial" w:eastAsia="Arial" w:hAnsi="Arial"/>
          <w:sz w:val="18"/>
          <w:szCs w:val="18"/>
          <w:color w:val="auto"/>
        </w:rPr>
        <w:t>”).</w:t>
      </w:r>
    </w:p>
    <w:p>
      <w:pPr>
        <w:spacing w:after="0" w:line="44" w:lineRule="exact"/>
        <w:rPr>
          <w:rFonts w:ascii="Arial" w:cs="Arial" w:eastAsia="Arial" w:hAnsi="Arial"/>
          <w:sz w:val="18"/>
          <w:szCs w:val="18"/>
          <w:color w:val="auto"/>
        </w:rPr>
      </w:pPr>
    </w:p>
    <w:p>
      <w:pPr>
        <w:ind w:left="460" w:right="20" w:firstLine="421"/>
        <w:spacing w:after="0" w:line="275" w:lineRule="auto"/>
        <w:tabs>
          <w:tab w:leader="none" w:pos="1089"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Amount</w:t>
      </w:r>
      <w:r>
        <w:rPr>
          <w:rFonts w:ascii="Arial" w:cs="Arial" w:eastAsia="Arial" w:hAnsi="Arial"/>
          <w:sz w:val="18"/>
          <w:szCs w:val="18"/>
          <w:color w:val="auto"/>
        </w:rPr>
        <w:t>” means the portion of the Principal to be converted, redeemed or otherwise with respect to which this determination is being made, plus all accrued and unpaid Interest with respect to such portion of the Principal.</w:t>
      </w:r>
    </w:p>
    <w:p>
      <w:pPr>
        <w:spacing w:after="0" w:line="38" w:lineRule="exact"/>
        <w:rPr>
          <w:rFonts w:ascii="Arial" w:cs="Arial" w:eastAsia="Arial" w:hAnsi="Arial"/>
          <w:sz w:val="18"/>
          <w:szCs w:val="18"/>
          <w:color w:val="auto"/>
        </w:rPr>
      </w:pPr>
    </w:p>
    <w:p>
      <w:pPr>
        <w:ind w:left="460" w:right="120" w:firstLine="421"/>
        <w:spacing w:after="0" w:line="275" w:lineRule="auto"/>
        <w:tabs>
          <w:tab w:leader="none" w:pos="1138"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means, as of any Conversion Date (as defined below) or other date of determination, $3.19, subject to adjustment as provided herein.</w:t>
      </w:r>
    </w:p>
    <w:p>
      <w:pPr>
        <w:spacing w:after="0" w:line="44" w:lineRule="exact"/>
        <w:rPr>
          <w:rFonts w:ascii="Arial" w:cs="Arial" w:eastAsia="Arial" w:hAnsi="Arial"/>
          <w:sz w:val="18"/>
          <w:szCs w:val="18"/>
          <w:color w:val="auto"/>
        </w:rPr>
      </w:pPr>
    </w:p>
    <w:p>
      <w:pPr>
        <w:ind w:left="680" w:hanging="237"/>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460" w:right="100" w:firstLine="421"/>
        <w:spacing w:after="0" w:line="287" w:lineRule="auto"/>
        <w:tabs>
          <w:tab w:leader="none" w:pos="1089"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Optional Conversion</w:t>
      </w:r>
      <w:r>
        <w:rPr>
          <w:rFonts w:ascii="Arial" w:cs="Arial" w:eastAsia="Arial" w:hAnsi="Arial"/>
          <w:sz w:val="16"/>
          <w:szCs w:val="16"/>
          <w:color w:val="auto"/>
        </w:rPr>
        <w:t>. To convert any Conversion Amount into shares of Common Stock on any date (a “</w:t>
      </w:r>
      <w:r>
        <w:rPr>
          <w:rFonts w:ascii="Arial" w:cs="Arial" w:eastAsia="Arial" w:hAnsi="Arial"/>
          <w:sz w:val="16"/>
          <w:szCs w:val="16"/>
          <w:b w:val="1"/>
          <w:bCs w:val="1"/>
          <w:color w:val="auto"/>
        </w:rPr>
        <w:t>Conversion Date</w:t>
      </w:r>
      <w:r>
        <w:rPr>
          <w:rFonts w:ascii="Arial" w:cs="Arial" w:eastAsia="Arial" w:hAnsi="Arial"/>
          <w:sz w:val="16"/>
          <w:szCs w:val="16"/>
          <w:color w:val="auto"/>
        </w:rPr>
        <w:t xml:space="preserve">”), the Holder shall deliver (whether via facsimile or otherwise), for receipt on or prior to 5:00 p.m., New York City time, on such date, a copy of an executed notice of conversion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b w:val="1"/>
          <w:bCs w:val="1"/>
          <w:color w:val="auto"/>
        </w:rPr>
        <w:t>Conversion Notice</w:t>
      </w:r>
      <w:r>
        <w:rPr>
          <w:rFonts w:ascii="Arial" w:cs="Arial" w:eastAsia="Arial" w:hAnsi="Arial"/>
          <w:sz w:val="16"/>
          <w:szCs w:val="16"/>
          <w:color w:val="auto"/>
        </w:rPr>
        <w:t>”) to the Company. On or before the first (1</w:t>
      </w:r>
      <w:r>
        <w:rPr>
          <w:rFonts w:ascii="Arial" w:cs="Arial" w:eastAsia="Arial" w:hAnsi="Arial"/>
          <w:sz w:val="10"/>
          <w:szCs w:val="10"/>
          <w:color w:val="auto"/>
        </w:rPr>
        <w:t>st</w:t>
      </w:r>
      <w:r>
        <w:rPr>
          <w:rFonts w:ascii="Arial" w:cs="Arial" w:eastAsia="Arial" w:hAnsi="Arial"/>
          <w:sz w:val="16"/>
          <w:szCs w:val="16"/>
          <w:color w:val="auto"/>
        </w:rPr>
        <w:t xml:space="preserve">) Trading Day following the date of receipt of a Conversion Notice, the Company shall transmit by facsimile an acknowledgment of confirmation, in the form attached hereto as </w:t>
      </w:r>
      <w:r>
        <w:rPr>
          <w:rFonts w:ascii="Arial" w:cs="Arial" w:eastAsia="Arial" w:hAnsi="Arial"/>
          <w:sz w:val="16"/>
          <w:szCs w:val="16"/>
          <w:u w:val="single" w:color="auto"/>
          <w:color w:val="auto"/>
        </w:rPr>
        <w:t>Exhibit II</w:t>
      </w:r>
      <w:r>
        <w:rPr>
          <w:rFonts w:ascii="Arial" w:cs="Arial" w:eastAsia="Arial" w:hAnsi="Arial"/>
          <w:sz w:val="16"/>
          <w:szCs w:val="16"/>
          <w:color w:val="auto"/>
        </w:rPr>
        <w:t>, of receipt of such Conversion Notice to the Holder and the Transfer Agent. On or before the third (3</w:t>
      </w:r>
      <w:r>
        <w:rPr>
          <w:rFonts w:ascii="Arial" w:cs="Arial" w:eastAsia="Arial" w:hAnsi="Arial"/>
          <w:sz w:val="10"/>
          <w:szCs w:val="10"/>
          <w:color w:val="auto"/>
        </w:rPr>
        <w:t>rd</w:t>
      </w:r>
      <w:r>
        <w:rPr>
          <w:rFonts w:ascii="Arial" w:cs="Arial" w:eastAsia="Arial" w:hAnsi="Arial"/>
          <w:sz w:val="16"/>
          <w:szCs w:val="16"/>
          <w:color w:val="auto"/>
        </w:rPr>
        <w:t>) Trading Day following the date of receipt of a Conversion Notice, the Company shall (1) provided that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Company’s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credit such aggregate number of shares of Common Stock to which the Holder shall be entitled to the Holder’s or its designee’s balance account with DTC through its Deposit/Withdrawal at Custodian system or (2) otherwise issue and deliver (via reputable overnight courier) to the address as specified in the Conversion Notice, a certificate, registered in the name of the Holder or its designee, for the number of shares of Common Stock to which the Holder shall be entitled. If required by Section 3(c)(ii), within three (3) Trading Days following a conversion of this Note as</w:t>
      </w:r>
    </w:p>
    <w:p>
      <w:pPr>
        <w:spacing w:after="0" w:line="11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700" w:top="280" w:right="299" w:bottom="1440" w:gutter="0" w:footer="0" w:header="0"/>
        </w:sectPr>
      </w:pPr>
    </w:p>
    <w:bookmarkStart w:id="48" w:name="page49"/>
    <w:bookmarkEnd w:id="48"/>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aforesaid, the Holder shall surrender this Note (or an indemnification undertaking with respect to this Note in the case of its loss, theft or destruction as contemplated by Section 19(b)) to the Company. If this Note is physically surrendered for conversion and the outstanding Principal of this Note is greater than the Principal portion of the Conversion Amount being converted, then the Company shall as soon as practicable and in no event later than three (3) Business Days after receipt of this Note and at its own expense, issue and deliver to the Holder (or its designee) a new Note (in accordance with Section 19(d)) representing the outstanding Principal not converted. Subject to Section 3(d)(i), the Person or Persons entitled to receive the shares of Common Stock issuable upon a conversion of this Note shall be treated for all purposes as the record holder or holders of such shares of Common Stock on the Conversion Date. In the event of a partial conversion of this Note pursuant hereto, the Principal amount converted shall be deducted from the Installment Amount(s) relating to the Installment Date(s) as set forth in the applicable Conversion Notice.</w:t>
      </w:r>
    </w:p>
    <w:p>
      <w:pPr>
        <w:spacing w:after="0" w:line="37" w:lineRule="exact"/>
        <w:rPr>
          <w:sz w:val="20"/>
          <w:szCs w:val="20"/>
          <w:color w:val="auto"/>
        </w:rPr>
      </w:pPr>
    </w:p>
    <w:p>
      <w:pPr>
        <w:ind w:left="680" w:hanging="259"/>
        <w:spacing w:after="0"/>
        <w:tabs>
          <w:tab w:leader="none" w:pos="680"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Convert</w:t>
      </w:r>
      <w:r>
        <w:rPr>
          <w:rFonts w:ascii="Arial" w:cs="Arial" w:eastAsia="Arial" w:hAnsi="Arial"/>
          <w:sz w:val="16"/>
          <w:szCs w:val="16"/>
          <w:color w:val="auto"/>
        </w:rPr>
        <w:t>. If the Company shall fail, for any reason or for no reason, to issue to the Holder within three</w:t>
      </w:r>
    </w:p>
    <w:p>
      <w:pPr>
        <w:spacing w:after="0" w:line="38" w:lineRule="exact"/>
        <w:rPr>
          <w:rFonts w:ascii="Arial" w:cs="Arial" w:eastAsia="Arial" w:hAnsi="Arial"/>
          <w:sz w:val="16"/>
          <w:szCs w:val="16"/>
          <w:color w:val="auto"/>
        </w:rPr>
      </w:pPr>
    </w:p>
    <w:p>
      <w:pPr>
        <w:ind w:firstLine="1"/>
        <w:spacing w:after="0" w:line="300" w:lineRule="auto"/>
        <w:tabs>
          <w:tab w:leader="none" w:pos="245" w:val="left"/>
        </w:tabs>
        <w:numPr>
          <w:ilvl w:val="0"/>
          <w:numId w:val="17"/>
        </w:numPr>
        <w:rPr>
          <w:rFonts w:ascii="Arial" w:cs="Arial" w:eastAsia="Arial" w:hAnsi="Arial"/>
          <w:sz w:val="15"/>
          <w:szCs w:val="15"/>
          <w:color w:val="auto"/>
        </w:rPr>
      </w:pPr>
      <w:r>
        <w:rPr>
          <w:rFonts w:ascii="Arial" w:cs="Arial" w:eastAsia="Arial" w:hAnsi="Arial"/>
          <w:sz w:val="15"/>
          <w:szCs w:val="15"/>
          <w:color w:val="auto"/>
        </w:rPr>
        <w:t>Trading Days after the Company’s receipt of a Conversion Notice (whether via facsimile or otherwise) (the “</w:t>
      </w:r>
      <w:r>
        <w:rPr>
          <w:rFonts w:ascii="Arial" w:cs="Arial" w:eastAsia="Arial" w:hAnsi="Arial"/>
          <w:sz w:val="15"/>
          <w:szCs w:val="15"/>
          <w:b w:val="1"/>
          <w:bCs w:val="1"/>
          <w:color w:val="auto"/>
        </w:rPr>
        <w:t>Share Delivery Deadline</w:t>
      </w:r>
      <w:r>
        <w:rPr>
          <w:rFonts w:ascii="Arial" w:cs="Arial" w:eastAsia="Arial" w:hAnsi="Arial"/>
          <w:sz w:val="15"/>
          <w:szCs w:val="15"/>
          <w:color w:val="auto"/>
        </w:rPr>
        <w:t>”), a certificate for the number of shares of Common Stock to which the Holder is entitled and register such shares of Common Stock on the Company’s share register or to credit the Holder’s or its designee’s balance account with DTC for such number of shares of Common Stock to which the Holder is entitled upon the Holder’s conversion of any Conversion Amount (as the case may be) (a “</w:t>
      </w:r>
      <w:r>
        <w:rPr>
          <w:rFonts w:ascii="Arial" w:cs="Arial" w:eastAsia="Arial" w:hAnsi="Arial"/>
          <w:sz w:val="15"/>
          <w:szCs w:val="15"/>
          <w:b w:val="1"/>
          <w:bCs w:val="1"/>
          <w:color w:val="auto"/>
        </w:rPr>
        <w:t>Conversion Failure</w:t>
      </w:r>
      <w:r>
        <w:rPr>
          <w:rFonts w:ascii="Arial" w:cs="Arial" w:eastAsia="Arial" w:hAnsi="Arial"/>
          <w:sz w:val="15"/>
          <w:szCs w:val="15"/>
          <w:color w:val="auto"/>
        </w:rPr>
        <w:t>”) and if on or after such Share Delivery Deadline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conversion that the Holder so anticipated receiving from the Company, then, in addition to all other remedies available to the Holder, the Company shall, within three</w:t>
      </w:r>
    </w:p>
    <w:p>
      <w:pPr>
        <w:spacing w:after="0" w:line="3" w:lineRule="exact"/>
        <w:rPr>
          <w:rFonts w:ascii="Arial" w:cs="Arial" w:eastAsia="Arial" w:hAnsi="Arial"/>
          <w:sz w:val="15"/>
          <w:szCs w:val="15"/>
          <w:color w:val="auto"/>
        </w:rPr>
      </w:pPr>
    </w:p>
    <w:p>
      <w:pPr>
        <w:ind w:right="20" w:firstLine="1"/>
        <w:spacing w:after="0" w:line="307" w:lineRule="auto"/>
        <w:tabs>
          <w:tab w:leader="none" w:pos="249" w:val="left"/>
        </w:tabs>
        <w:numPr>
          <w:ilvl w:val="0"/>
          <w:numId w:val="18"/>
        </w:numPr>
        <w:rPr>
          <w:rFonts w:ascii="Arial" w:cs="Arial" w:eastAsia="Arial" w:hAnsi="Arial"/>
          <w:sz w:val="15"/>
          <w:szCs w:val="15"/>
          <w:color w:val="auto"/>
        </w:rPr>
      </w:pPr>
      <w:r>
        <w:rPr>
          <w:rFonts w:ascii="Arial" w:cs="Arial" w:eastAsia="Arial" w:hAnsi="Arial"/>
          <w:sz w:val="15"/>
          <w:szCs w:val="15"/>
          <w:color w:val="auto"/>
        </w:rPr>
        <w:t>Business Days after receipt of the Holder’s written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5"/>
          <w:szCs w:val="15"/>
          <w:b w:val="1"/>
          <w:bCs w:val="1"/>
          <w:color w:val="auto"/>
        </w:rPr>
        <w:t>Buy-In Price</w:t>
      </w:r>
      <w:r>
        <w:rPr>
          <w:rFonts w:ascii="Arial" w:cs="Arial" w:eastAsia="Arial" w:hAnsi="Arial"/>
          <w:sz w:val="15"/>
          <w:szCs w:val="15"/>
          <w:color w:val="auto"/>
        </w:rPr>
        <w:t>”), at which point the Company’s obligation to so issue and deliver such certificate or credit the Holder’s balance account with DTC for the number of shares of Common Stock to which the Holder is entitled upon the Holder’s conversion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conversion hereunder (as the case may be) and pay cash to the Holder in an amount equal to the excess (if any) of the Buy-In Price over the product of (A) such number of shares of Common Stock multiplied by (B) the lowest Closing Sale Price of the Common Stock on any Trading Day during the period commencing on the date of the applicable Conversion Notice and ending on the date of such issuance and payment under this clause (ii).</w:t>
      </w:r>
    </w:p>
    <w:p>
      <w:pPr>
        <w:spacing w:after="0" w:line="9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0"/>
          </w:cols>
          <w:pgMar w:left="1160" w:top="280" w:right="259" w:bottom="1440" w:gutter="0" w:footer="0" w:header="0"/>
        </w:sectPr>
      </w:pPr>
    </w:p>
    <w:bookmarkStart w:id="49" w:name="page50"/>
    <w:bookmarkEnd w:id="49"/>
    <w:p>
      <w:pPr>
        <w:ind w:left="-280" w:right="20" w:firstLine="421"/>
        <w:spacing w:after="0" w:line="305" w:lineRule="auto"/>
        <w:tabs>
          <w:tab w:leader="none" w:pos="447"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Book-Entry</w:t>
      </w:r>
      <w:r>
        <w:rPr>
          <w:rFonts w:ascii="Arial" w:cs="Arial" w:eastAsia="Arial" w:hAnsi="Arial"/>
          <w:sz w:val="15"/>
          <w:szCs w:val="15"/>
          <w:color w:val="auto"/>
        </w:rPr>
        <w:t>. The Company shall maintain a register (the “</w:t>
      </w:r>
      <w:r>
        <w:rPr>
          <w:rFonts w:ascii="Arial" w:cs="Arial" w:eastAsia="Arial" w:hAnsi="Arial"/>
          <w:sz w:val="15"/>
          <w:szCs w:val="15"/>
          <w:b w:val="1"/>
          <w:bCs w:val="1"/>
          <w:color w:val="auto"/>
        </w:rPr>
        <w:t>Register</w:t>
      </w:r>
      <w:r>
        <w:rPr>
          <w:rFonts w:ascii="Arial" w:cs="Arial" w:eastAsia="Arial" w:hAnsi="Arial"/>
          <w:sz w:val="15"/>
          <w:szCs w:val="15"/>
          <w:color w:val="auto"/>
        </w:rPr>
        <w:t>”) for the recordation of the names and addresses of the holders of each Note and the principal amount of the Notes held by such holders (the “</w:t>
      </w:r>
      <w:r>
        <w:rPr>
          <w:rFonts w:ascii="Arial" w:cs="Arial" w:eastAsia="Arial" w:hAnsi="Arial"/>
          <w:sz w:val="15"/>
          <w:szCs w:val="15"/>
          <w:b w:val="1"/>
          <w:bCs w:val="1"/>
          <w:color w:val="auto"/>
        </w:rPr>
        <w:t>Registered Notes</w:t>
      </w:r>
      <w:r>
        <w:rPr>
          <w:rFonts w:ascii="Arial" w:cs="Arial" w:eastAsia="Arial" w:hAnsi="Arial"/>
          <w:sz w:val="15"/>
          <w:szCs w:val="15"/>
          <w:color w:val="auto"/>
        </w:rPr>
        <w:t>”). The entries in the Register shall be conclusive and binding for all purposes absent manifest error. The Company and the Holder of this Note shall treat the Person recorded in the Register as the owner of this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together with any required documentation under the Transaction Documents (as defined in the Securities Purchase Agreement) including any legal opinions, the Company shall record the information contained therein in the Register and issue one or more new Registered Notes in the same aggregate principal amount as the principal amount of the surrendered Registered Note to the designated assignee or transferee pursuant to Section 19, provided that if the Company does not so record an assignment, transfer or sale (as the case may be) of all or part of any Registered Note within two (2) Business Days of its receipt of (I) such a request and (II) the required documentation under the Transaction Documents including any legal opinions with respect to such transfer, then the Register shall be automatically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and Interest converted and/or paid (as the case may be) and the dates of such conversions and/or payments (as the case may be) or shall use such other method, reasonably satisfactory to the Holder and the Company, so as not to require physical surrender of this Note upon conversion.</w:t>
      </w:r>
    </w:p>
    <w:p>
      <w:pPr>
        <w:spacing w:after="0" w:line="247" w:lineRule="exact"/>
        <w:rPr>
          <w:rFonts w:ascii="Arial" w:cs="Arial" w:eastAsia="Arial" w:hAnsi="Arial"/>
          <w:sz w:val="15"/>
          <w:szCs w:val="15"/>
          <w:color w:val="auto"/>
        </w:rPr>
      </w:pPr>
    </w:p>
    <w:p>
      <w:pPr>
        <w:ind w:left="-280" w:firstLine="421"/>
        <w:spacing w:after="0" w:line="290" w:lineRule="auto"/>
        <w:tabs>
          <w:tab w:leader="none" w:pos="437"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Pro Rata Conversion; Disputes</w:t>
      </w:r>
      <w:r>
        <w:rPr>
          <w:rFonts w:ascii="Arial" w:cs="Arial" w:eastAsia="Arial" w:hAnsi="Arial"/>
          <w:sz w:val="16"/>
          <w:szCs w:val="16"/>
          <w:color w:val="auto"/>
        </w:rPr>
        <w:t>. In the event that the Company receives a Conversion Notice from more than one holder of Notes for the same Conversion Date and the Company can convert some, but not all, of such portions of the Notes submitted for conversion, the Company, subject to Section 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 and resolve such dispute in accordance with Section 24.</w:t>
      </w:r>
    </w:p>
    <w:p>
      <w:pPr>
        <w:spacing w:after="0" w:line="10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20"/>
          </w:cols>
          <w:pgMar w:left="1440" w:top="274" w:right="239" w:bottom="1440" w:gutter="0" w:footer="0" w:header="0"/>
        </w:sectPr>
      </w:pPr>
    </w:p>
    <w:bookmarkStart w:id="50" w:name="page51"/>
    <w:bookmarkEnd w:id="50"/>
    <w:p>
      <w:pPr>
        <w:ind w:left="257" w:hanging="257"/>
        <w:spacing w:after="0"/>
        <w:tabs>
          <w:tab w:leader="none" w:pos="25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Limitations on Conversions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 w:firstLine="421"/>
        <w:spacing w:after="0" w:line="284" w:lineRule="auto"/>
        <w:tabs>
          <w:tab w:leader="none" w:pos="647"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Beneficial Ownership</w:t>
      </w:r>
      <w:r>
        <w:rPr>
          <w:rFonts w:ascii="Arial" w:cs="Arial" w:eastAsia="Arial" w:hAnsi="Arial"/>
          <w:sz w:val="16"/>
          <w:szCs w:val="16"/>
          <w:color w:val="auto"/>
        </w:rPr>
        <w:t>. Notwithstanding anything to the contrary contained in this Note, this Note shall not be convertible by the Holder hereof, and the Company shall not effect any conversion of this Note or otherwise issue any shares of Common Stock pursuant hereto, to the extent (but only to the extent) that after giving effect to such conversion or other share issuance hereunder the Holder or any of its affiliates would beneficially own in excess of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To the extent the above limitation applies, the determination of whether this Note shall be convertible (vis-à-vis other convertible, exercisable or exchangeable securities owned by the Holder or any of its affiliates) and of which such securities shall be convertible, exercisable or exchangeable (as among all such securities owned by the Holder and its affiliates) shall, subject to such Maximum Percentage limitation, be determined on the basis of the first submission to the Company for conversion, exercise or exchange (as the case may be). No prior inability to convert this Note, or to issue shares of Common Stock, pursuant to this paragraph shall have any effect on the applicability of the provisions of this paragraph with respect to any subsequent determination of convertibility. 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Note.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Note or securities issued pursuant to the Securities Purchase Agreement. By written notice to the Company, any Holder may increase or decrease the Maximum Percentage to any other percentage not in excess of 9.99% specified in such notice; provided that (i) any such increase will not be effective until the 61st day after such notice is delivered to the Company, and (ii) any such increase or decrease will apply only to the Holder sending such notice and not to any other holder of Notes.</w:t>
      </w:r>
    </w:p>
    <w:p>
      <w:pPr>
        <w:spacing w:after="0" w:line="43" w:lineRule="exact"/>
        <w:rPr>
          <w:rFonts w:ascii="Arial" w:cs="Arial" w:eastAsia="Arial" w:hAnsi="Arial"/>
          <w:sz w:val="16"/>
          <w:szCs w:val="16"/>
          <w:color w:val="auto"/>
        </w:rPr>
      </w:pPr>
    </w:p>
    <w:p>
      <w:pPr>
        <w:ind w:left="697" w:hanging="259"/>
        <w:spacing w:after="0"/>
        <w:tabs>
          <w:tab w:leader="none" w:pos="6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ind w:left="477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97"/>
          </w:cols>
          <w:pgMar w:left="1143" w:top="280" w:right="259" w:bottom="1440" w:gutter="0" w:footer="0" w:header="0"/>
        </w:sectPr>
      </w:pPr>
    </w:p>
    <w:bookmarkStart w:id="51" w:name="page52"/>
    <w:bookmarkEnd w:id="51"/>
    <w:p>
      <w:pPr>
        <w:ind w:left="180" w:hanging="176"/>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UPON EVENT OF DEFAULT</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680" w:hanging="237"/>
        <w:spacing w:after="0"/>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 Each of the following events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460" w:right="160" w:firstLine="421"/>
        <w:spacing w:after="0" w:line="268" w:lineRule="auto"/>
        <w:tabs>
          <w:tab w:leader="none" w:pos="1089"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suspension from trading or the failure of the Common Stock to be traded or listed (as applicable) on an Eligible Market for a period of ten (10) consecutive Trading Days or for more than an aggregate of 30 days in any 365-day period;</w:t>
      </w:r>
    </w:p>
    <w:p>
      <w:pPr>
        <w:spacing w:after="0" w:line="50" w:lineRule="exact"/>
        <w:rPr>
          <w:rFonts w:ascii="Arial" w:cs="Arial" w:eastAsia="Arial" w:hAnsi="Arial"/>
          <w:sz w:val="18"/>
          <w:szCs w:val="18"/>
          <w:color w:val="auto"/>
        </w:rPr>
      </w:pPr>
    </w:p>
    <w:p>
      <w:pPr>
        <w:ind w:left="460" w:firstLine="421"/>
        <w:spacing w:after="0" w:line="314" w:lineRule="auto"/>
        <w:tabs>
          <w:tab w:leader="none" w:pos="1138" w:val="left"/>
        </w:tabs>
        <w:numPr>
          <w:ilvl w:val="2"/>
          <w:numId w:val="21"/>
        </w:numPr>
        <w:rPr>
          <w:rFonts w:ascii="Arial" w:cs="Arial" w:eastAsia="Arial" w:hAnsi="Arial"/>
          <w:sz w:val="15"/>
          <w:szCs w:val="15"/>
          <w:color w:val="auto"/>
        </w:rPr>
      </w:pPr>
      <w:r>
        <w:rPr>
          <w:rFonts w:ascii="Arial" w:cs="Arial" w:eastAsia="Arial" w:hAnsi="Arial"/>
          <w:sz w:val="15"/>
          <w:szCs w:val="15"/>
          <w:color w:val="auto"/>
        </w:rPr>
        <w:t>the Company’s (A) failure to cure a Conversion Failure with respect to this Note or a Delivery Failure (as defined in the Warrants) with respect to Warrants held by the Holder, as applicable, by delivery of the required number of shares of Common Stock within ten (10) Trading Days after Conversion Date or exercise date, as applicable, or (B) notice, written or oral, to the Holder of this Note or, including, without limitation, by way of public announcement or through any of its agents, at any time, of its intention not to comply, as required, with a request for conversion of any Notes into shares of Common Stock that is requested in accordance with the provisions of the Notes, other than pursuant to Section 3(d), or a request for exercise of the Warrants for Warrant Shares (as defined in the Warrants) in accordance with the provisions of the Warrants held by the Holder;</w:t>
      </w:r>
    </w:p>
    <w:p>
      <w:pPr>
        <w:spacing w:after="0" w:line="23" w:lineRule="exact"/>
        <w:rPr>
          <w:rFonts w:ascii="Arial" w:cs="Arial" w:eastAsia="Arial" w:hAnsi="Arial"/>
          <w:sz w:val="15"/>
          <w:szCs w:val="15"/>
          <w:color w:val="auto"/>
        </w:rPr>
      </w:pPr>
    </w:p>
    <w:p>
      <w:pPr>
        <w:ind w:left="1180" w:hanging="299"/>
        <w:spacing w:after="0"/>
        <w:tabs>
          <w:tab w:leader="none" w:pos="11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Company’s breach of the provision of Section 10(b) of this Note;</w:t>
      </w:r>
    </w:p>
    <w:p>
      <w:pPr>
        <w:spacing w:after="0" w:line="90" w:lineRule="exact"/>
        <w:rPr>
          <w:rFonts w:ascii="Arial" w:cs="Arial" w:eastAsia="Arial" w:hAnsi="Arial"/>
          <w:sz w:val="18"/>
          <w:szCs w:val="18"/>
          <w:color w:val="auto"/>
        </w:rPr>
      </w:pPr>
    </w:p>
    <w:p>
      <w:pPr>
        <w:ind w:left="460" w:right="20" w:firstLine="421"/>
        <w:spacing w:after="0" w:line="294" w:lineRule="auto"/>
        <w:tabs>
          <w:tab w:leader="none" w:pos="1177" w:val="left"/>
        </w:tabs>
        <w:numPr>
          <w:ilvl w:val="2"/>
          <w:numId w:val="21"/>
        </w:numPr>
        <w:rPr>
          <w:rFonts w:ascii="Arial" w:cs="Arial" w:eastAsia="Arial" w:hAnsi="Arial"/>
          <w:sz w:val="16"/>
          <w:szCs w:val="16"/>
          <w:color w:val="auto"/>
        </w:rPr>
      </w:pPr>
      <w:r>
        <w:rPr>
          <w:rFonts w:ascii="Arial" w:cs="Arial" w:eastAsia="Arial" w:hAnsi="Arial"/>
          <w:sz w:val="16"/>
          <w:szCs w:val="16"/>
          <w:color w:val="auto"/>
        </w:rPr>
        <w:t>the Company’s failure to pay to the Holder any amount of Principal, Interest or other amounts when and as due under this Note (including, without limitation, the Company’s failure to pay any redemption payments or amounts hereunder) or, subject to the delivery of a written notice by the Holder to the Company, pursuant to any other Transaction Document (as defined in the Securities Purchase Agreement) or any other agreement, document, certificate or other instrument delivered in connection with the transactions contemplated hereby and thereby, except, in the case of a failure to pay Interest when and as due, in which case only if such failure remains uncured for a period of at least five (5) days;</w:t>
      </w:r>
    </w:p>
    <w:p>
      <w:pPr>
        <w:spacing w:after="0" w:line="34" w:lineRule="exact"/>
        <w:rPr>
          <w:rFonts w:ascii="Arial" w:cs="Arial" w:eastAsia="Arial" w:hAnsi="Arial"/>
          <w:sz w:val="16"/>
          <w:szCs w:val="16"/>
          <w:color w:val="auto"/>
        </w:rPr>
      </w:pPr>
    </w:p>
    <w:p>
      <w:pPr>
        <w:ind w:left="460" w:right="100" w:firstLine="421"/>
        <w:spacing w:after="0" w:line="256" w:lineRule="auto"/>
        <w:tabs>
          <w:tab w:leader="none" w:pos="1128"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Company’s failure to remove any restrictive legend on any certificate or any shares of Common Stock issued to the Holder upon conversion or exercise (as the case may be) of this Note or any Warrant held by the Holder as and when required by such Note or Warrant or the Securities Purchase Agreement, unless otherwise not in accordance with state or federal securities laws, and any such failure remains uncured for at least five (5) days;</w:t>
      </w:r>
    </w:p>
    <w:p>
      <w:pPr>
        <w:spacing w:after="0" w:line="62" w:lineRule="exact"/>
        <w:rPr>
          <w:rFonts w:ascii="Arial" w:cs="Arial" w:eastAsia="Arial" w:hAnsi="Arial"/>
          <w:sz w:val="18"/>
          <w:szCs w:val="18"/>
          <w:color w:val="auto"/>
        </w:rPr>
      </w:pPr>
    </w:p>
    <w:p>
      <w:pPr>
        <w:ind w:left="460" w:right="60" w:firstLine="421"/>
        <w:spacing w:after="0" w:line="357" w:lineRule="auto"/>
        <w:tabs>
          <w:tab w:leader="none" w:pos="1177" w:val="left"/>
        </w:tabs>
        <w:numPr>
          <w:ilvl w:val="2"/>
          <w:numId w:val="21"/>
        </w:numPr>
        <w:rPr>
          <w:rFonts w:ascii="Arial" w:cs="Arial" w:eastAsia="Arial" w:hAnsi="Arial"/>
          <w:sz w:val="15"/>
          <w:szCs w:val="15"/>
          <w:color w:val="auto"/>
        </w:rPr>
      </w:pPr>
      <w:r>
        <w:rPr>
          <w:rFonts w:ascii="Arial" w:cs="Arial" w:eastAsia="Arial" w:hAnsi="Arial"/>
          <w:sz w:val="15"/>
          <w:szCs w:val="15"/>
          <w:color w:val="auto"/>
        </w:rPr>
        <w:t>the occurrence of any default under, redemption of or acceleration prior to maturity of an aggregate amount of Indebtedness (as defined in the Securities Purchase Agreement) in excess of $2,000,000 of the Company or any of its Subsidiaries, other than with respect to any Other Notes;</w:t>
      </w:r>
    </w:p>
    <w:p>
      <w:pPr>
        <w:ind w:left="1220" w:hanging="339"/>
        <w:spacing w:after="0"/>
        <w:tabs>
          <w:tab w:leader="none" w:pos="1220" w:val="left"/>
        </w:tabs>
        <w:numPr>
          <w:ilvl w:val="2"/>
          <w:numId w:val="21"/>
        </w:numPr>
        <w:rPr>
          <w:rFonts w:ascii="Arial" w:cs="Arial" w:eastAsia="Arial" w:hAnsi="Arial"/>
          <w:sz w:val="16"/>
          <w:szCs w:val="16"/>
          <w:color w:val="auto"/>
        </w:rPr>
      </w:pPr>
      <w:r>
        <w:rPr>
          <w:rFonts w:ascii="Arial" w:cs="Arial" w:eastAsia="Arial" w:hAnsi="Arial"/>
          <w:sz w:val="16"/>
          <w:szCs w:val="16"/>
          <w:color w:val="auto"/>
        </w:rPr>
        <w:t>bankruptcy, insolvency, reorganization or liquidation proceedings or other proceedings for the relief of debtors shall be instituted by or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against the</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52" w:name="page53"/>
    <w:bookmarkEnd w:id="52"/>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or any Significant Subsidiary and, if instituted against the Company or any Significant Subsidiary by a third party, which shall not be dismissed within thirty (30) days of their initiation;</w:t>
      </w:r>
    </w:p>
    <w:p>
      <w:pPr>
        <w:spacing w:after="0" w:line="51" w:lineRule="exact"/>
        <w:rPr>
          <w:sz w:val="20"/>
          <w:szCs w:val="20"/>
          <w:color w:val="auto"/>
        </w:rPr>
      </w:pPr>
    </w:p>
    <w:p>
      <w:pPr>
        <w:ind w:right="20" w:firstLine="421"/>
        <w:spacing w:after="0" w:line="286" w:lineRule="auto"/>
        <w:tabs>
          <w:tab w:leader="none" w:pos="815"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commencement by the Company or any Significant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Significant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Significant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Significant Subsidiary in furtherance of any such action or the taking of any action by any Person to commence a Uniform Commercial Code foreclosure sale or any other similar action under federal, state or foreign law;</w:t>
      </w:r>
    </w:p>
    <w:p>
      <w:pPr>
        <w:spacing w:after="0" w:line="43" w:lineRule="exact"/>
        <w:rPr>
          <w:rFonts w:ascii="Arial" w:cs="Arial" w:eastAsia="Arial" w:hAnsi="Arial"/>
          <w:sz w:val="16"/>
          <w:szCs w:val="16"/>
          <w:color w:val="auto"/>
        </w:rPr>
      </w:pPr>
    </w:p>
    <w:p>
      <w:pPr>
        <w:ind w:firstLine="421"/>
        <w:spacing w:after="0" w:line="282" w:lineRule="auto"/>
        <w:tabs>
          <w:tab w:leader="none" w:pos="717"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entry by a court of (i) a decree, order, judgment or other similar document in respect of the Company or any Significant Subsidiary of a voluntary or involuntary case or proceeding under any applicable federal, state or foreign bankruptcy, insolvency, reorganization or other similar law or (ii) a decree, order, judgment or other similar document adjudging the Company or any Significant Subsidiary as bankrupt or insolvent, or approving as properly filed a petition seeking liquidation, reorganization, arrangement, adjustment or composition of or in respect of the Company or any Significant Subsidiary under any applicable federal, state or foreign law or (iii) a decree, order, judgment or other similar document appointing a custodian, receiver, liquidator, assignee, trustee, sequestrator or other similar official of the Company or any Significant Subsidiary or of any substantial part of its property, or ordering the winding up or liquidation of its affairs, and, in each case, the continuance of any such decree, order, judgment or other similar document or any such other decree, order, judgment or other similar document unstayed and in effect for a period of thirty</w:t>
      </w:r>
    </w:p>
    <w:p>
      <w:pPr>
        <w:spacing w:after="0" w:line="5" w:lineRule="exact"/>
        <w:rPr>
          <w:rFonts w:ascii="Arial" w:cs="Arial" w:eastAsia="Arial" w:hAnsi="Arial"/>
          <w:sz w:val="16"/>
          <w:szCs w:val="16"/>
          <w:color w:val="auto"/>
        </w:rPr>
      </w:pPr>
    </w:p>
    <w:p>
      <w:pPr>
        <w:ind w:left="340" w:hanging="339"/>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consecutive days;</w:t>
      </w:r>
    </w:p>
    <w:p>
      <w:pPr>
        <w:spacing w:after="0" w:line="83" w:lineRule="exact"/>
        <w:rPr>
          <w:rFonts w:ascii="Arial" w:cs="Arial" w:eastAsia="Arial" w:hAnsi="Arial"/>
          <w:sz w:val="18"/>
          <w:szCs w:val="18"/>
          <w:color w:val="auto"/>
        </w:rPr>
      </w:pPr>
    </w:p>
    <w:p>
      <w:pPr>
        <w:ind w:left="660" w:hanging="239"/>
        <w:spacing w:after="0"/>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except with respect any present or future claims relating to the controversies existing as of the date hereof and disclosed on </w:t>
      </w:r>
      <w:r>
        <w:rPr>
          <w:rFonts w:ascii="Arial" w:cs="Arial" w:eastAsia="Arial" w:hAnsi="Arial"/>
          <w:sz w:val="16"/>
          <w:szCs w:val="16"/>
          <w:u w:val="single" w:color="auto"/>
          <w:color w:val="auto"/>
        </w:rPr>
        <w:t>Schedule 4(a)</w:t>
      </w:r>
    </w:p>
    <w:p>
      <w:pPr>
        <w:spacing w:after="0" w:line="38" w:lineRule="exact"/>
        <w:rPr>
          <w:rFonts w:ascii="Arial" w:cs="Arial" w:eastAsia="Arial" w:hAnsi="Arial"/>
          <w:sz w:val="16"/>
          <w:szCs w:val="16"/>
          <w:color w:val="auto"/>
        </w:rPr>
      </w:pPr>
    </w:p>
    <w:p>
      <w:pPr>
        <w:ind w:right="60"/>
        <w:spacing w:after="0" w:line="302" w:lineRule="auto"/>
        <w:rPr>
          <w:rFonts w:ascii="Arial" w:cs="Arial" w:eastAsia="Arial" w:hAnsi="Arial"/>
          <w:sz w:val="16"/>
          <w:szCs w:val="16"/>
          <w:color w:val="auto"/>
        </w:rPr>
      </w:pPr>
      <w:r>
        <w:rPr>
          <w:rFonts w:ascii="Arial" w:cs="Arial" w:eastAsia="Arial" w:hAnsi="Arial"/>
          <w:sz w:val="16"/>
          <w:szCs w:val="16"/>
          <w:u w:val="single" w:color="auto"/>
          <w:color w:val="auto"/>
        </w:rPr>
        <w:t>(x)</w:t>
      </w:r>
      <w:r>
        <w:rPr>
          <w:rFonts w:ascii="Arial" w:cs="Arial" w:eastAsia="Arial" w:hAnsi="Arial"/>
          <w:sz w:val="16"/>
          <w:szCs w:val="16"/>
          <w:color w:val="auto"/>
        </w:rPr>
        <w:t xml:space="preserve"> attached hereto, a final judgment or judgments for the payment of money aggregating in excess of $2,000,000 are rendered against the Company and/or any of its Subsidiaries and which judgments are not, within thirty (30) days after the entry thereof, bonded, discharged or stayed pending appeal, or are not discharged within thirty (30) days after the expiration of such stay; provided, however, any judgment</w:t>
      </w:r>
    </w:p>
    <w:p>
      <w:pPr>
        <w:spacing w:after="0" w:line="9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80"/>
          </w:cols>
          <w:pgMar w:left="1160" w:top="280" w:right="259" w:bottom="1440" w:gutter="0" w:footer="0" w:header="0"/>
        </w:sectPr>
      </w:pPr>
    </w:p>
    <w:bookmarkStart w:id="53" w:name="page54"/>
    <w:bookmarkEnd w:id="53"/>
    <w:p>
      <w:pPr>
        <w:ind w:left="460"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is covered by insurance or an indemnity from a credit worthy party shall not be included in calculating the $2,000,000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spacing w:after="0" w:line="32" w:lineRule="exact"/>
        <w:rPr>
          <w:sz w:val="20"/>
          <w:szCs w:val="20"/>
          <w:color w:val="auto"/>
        </w:rPr>
      </w:pPr>
    </w:p>
    <w:p>
      <w:pPr>
        <w:ind w:left="1180" w:hanging="299"/>
        <w:spacing w:after="0"/>
        <w:tabs>
          <w:tab w:leader="none" w:pos="1180" w:val="left"/>
        </w:tabs>
        <w:numPr>
          <w:ilvl w:val="2"/>
          <w:numId w:val="24"/>
        </w:numPr>
        <w:rPr>
          <w:rFonts w:ascii="Arial" w:cs="Arial" w:eastAsia="Arial" w:hAnsi="Arial"/>
          <w:sz w:val="15"/>
          <w:szCs w:val="15"/>
          <w:color w:val="auto"/>
        </w:rPr>
      </w:pPr>
      <w:r>
        <w:rPr>
          <w:rFonts w:ascii="Arial" w:cs="Arial" w:eastAsia="Arial" w:hAnsi="Arial"/>
          <w:sz w:val="15"/>
          <w:szCs w:val="15"/>
          <w:color w:val="auto"/>
        </w:rPr>
        <w:t xml:space="preserve">except with respect any present or future claims relating to the controversies existing as of the date hereof and disclosed on </w:t>
      </w:r>
      <w:r>
        <w:rPr>
          <w:rFonts w:ascii="Arial" w:cs="Arial" w:eastAsia="Arial" w:hAnsi="Arial"/>
          <w:sz w:val="15"/>
          <w:szCs w:val="15"/>
          <w:u w:val="single" w:color="auto"/>
          <w:color w:val="auto"/>
        </w:rPr>
        <w:t>Schedule 4(a)</w:t>
      </w:r>
    </w:p>
    <w:p>
      <w:pPr>
        <w:spacing w:after="0" w:line="49" w:lineRule="exact"/>
        <w:rPr>
          <w:rFonts w:ascii="Arial" w:cs="Arial" w:eastAsia="Arial" w:hAnsi="Arial"/>
          <w:sz w:val="15"/>
          <w:szCs w:val="15"/>
          <w:color w:val="auto"/>
        </w:rPr>
      </w:pPr>
    </w:p>
    <w:p>
      <w:pPr>
        <w:ind w:left="460" w:right="100" w:firstLine="1"/>
        <w:spacing w:after="0" w:line="286" w:lineRule="auto"/>
        <w:tabs>
          <w:tab w:leader="none" w:pos="757" w:val="left"/>
        </w:tabs>
        <w:numPr>
          <w:ilvl w:val="1"/>
          <w:numId w:val="25"/>
        </w:numPr>
        <w:rPr>
          <w:rFonts w:ascii="Arial" w:cs="Arial" w:eastAsia="Arial" w:hAnsi="Arial"/>
          <w:sz w:val="16"/>
          <w:szCs w:val="16"/>
          <w:u w:val="single" w:color="auto"/>
          <w:color w:val="auto"/>
        </w:rPr>
      </w:pPr>
      <w:r>
        <w:rPr>
          <w:rFonts w:ascii="Arial" w:cs="Arial" w:eastAsia="Arial" w:hAnsi="Arial"/>
          <w:sz w:val="16"/>
          <w:szCs w:val="16"/>
          <w:color w:val="auto"/>
        </w:rPr>
        <w:t>attached hereto, the Company and/or any Subsidiary, individually or in the aggregate, either (i) fails to pay, when due, or within any applicable grace period, any payment with respect to any Indebtedness in excess of $2,000,000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$2,000,000, which breach or violation permits the other party thereto to declare a default or otherwise accelerate amounts due thereunder, or (ii) suffer to exist any other circumstance or event that would, with or without the passage of time or the giving of notice, result in a default or event of default under any agreement binding the Company or any Subsidiary, which default or event of default would or is likely to have a material adverse effect on the business, assets, operations (including results thereof), liabilities, properties, condition (including financial condition) or prospects of the Company or any of its Subsidiaries, individually or in the aggregate;</w:t>
      </w:r>
    </w:p>
    <w:p>
      <w:pPr>
        <w:spacing w:after="0" w:line="43" w:lineRule="exact"/>
        <w:rPr>
          <w:rFonts w:ascii="Arial" w:cs="Arial" w:eastAsia="Arial" w:hAnsi="Arial"/>
          <w:sz w:val="16"/>
          <w:szCs w:val="16"/>
          <w:u w:val="single" w:color="auto"/>
          <w:color w:val="auto"/>
        </w:rPr>
      </w:pPr>
    </w:p>
    <w:p>
      <w:pPr>
        <w:ind w:left="460" w:right="480" w:firstLine="421"/>
        <w:spacing w:after="0" w:line="256" w:lineRule="auto"/>
        <w:tabs>
          <w:tab w:leader="none" w:pos="1226" w:val="left"/>
        </w:tabs>
        <w:numPr>
          <w:ilvl w:val="2"/>
          <w:numId w:val="25"/>
        </w:numPr>
        <w:rPr>
          <w:rFonts w:ascii="Arial" w:cs="Arial" w:eastAsia="Arial" w:hAnsi="Arial"/>
          <w:sz w:val="18"/>
          <w:szCs w:val="18"/>
          <w:color w:val="auto"/>
        </w:rPr>
      </w:pPr>
      <w:r>
        <w:rPr>
          <w:rFonts w:ascii="Arial" w:cs="Arial" w:eastAsia="Arial" w:hAnsi="Arial"/>
          <w:sz w:val="18"/>
          <w:szCs w:val="18"/>
          <w:color w:val="auto"/>
        </w:rPr>
        <w:t>other than as specifically set forth in another clause of this Section 4(a), the Company or any Subsidiary breaches any material representation, warranty, covenant or other term or condition of any Transaction Document (as defined in the Securities Purchase Agreement), except, in the case of a breach of a covenant or other term or condition that is curable, only if such breach remains uncured for a period of ten (10) consecutive Trading Days after notice to the Company from a Holder;</w:t>
      </w:r>
    </w:p>
    <w:p>
      <w:pPr>
        <w:spacing w:after="0" w:line="62" w:lineRule="exact"/>
        <w:rPr>
          <w:rFonts w:ascii="Arial" w:cs="Arial" w:eastAsia="Arial" w:hAnsi="Arial"/>
          <w:sz w:val="18"/>
          <w:szCs w:val="18"/>
          <w:color w:val="auto"/>
        </w:rPr>
      </w:pPr>
    </w:p>
    <w:p>
      <w:pPr>
        <w:ind w:left="460" w:firstLine="421"/>
        <w:spacing w:after="0" w:line="268" w:lineRule="auto"/>
        <w:tabs>
          <w:tab w:leader="none" w:pos="1275" w:val="left"/>
        </w:tabs>
        <w:numPr>
          <w:ilvl w:val="2"/>
          <w:numId w:val="25"/>
        </w:numPr>
        <w:rPr>
          <w:rFonts w:ascii="Arial" w:cs="Arial" w:eastAsia="Arial" w:hAnsi="Arial"/>
          <w:sz w:val="18"/>
          <w:szCs w:val="18"/>
          <w:color w:val="auto"/>
        </w:rPr>
      </w:pPr>
      <w:r>
        <w:rPr>
          <w:rFonts w:ascii="Arial" w:cs="Arial" w:eastAsia="Arial" w:hAnsi="Arial"/>
          <w:sz w:val="18"/>
          <w:szCs w:val="18"/>
          <w:color w:val="auto"/>
        </w:rPr>
        <w:t>any breach or failure in any respect by the Company or any Subsidiary to comply with any provision of clauses (a) to (g) of Section 13 of this Note; or</w:t>
      </w:r>
    </w:p>
    <w:p>
      <w:pPr>
        <w:spacing w:after="0" w:line="50" w:lineRule="exact"/>
        <w:rPr>
          <w:rFonts w:ascii="Arial" w:cs="Arial" w:eastAsia="Arial" w:hAnsi="Arial"/>
          <w:sz w:val="18"/>
          <w:szCs w:val="18"/>
          <w:color w:val="auto"/>
        </w:rPr>
      </w:pPr>
    </w:p>
    <w:p>
      <w:pPr>
        <w:ind w:left="1260" w:hanging="379"/>
        <w:spacing w:after="0"/>
        <w:tabs>
          <w:tab w:leader="none" w:pos="12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any Event of Default (as defined in the Other Notes) occurs with respect to any Other Notes.</w:t>
      </w:r>
    </w:p>
    <w:p>
      <w:pPr>
        <w:spacing w:after="0" w:line="90" w:lineRule="exact"/>
        <w:rPr>
          <w:rFonts w:ascii="Arial" w:cs="Arial" w:eastAsia="Arial" w:hAnsi="Arial"/>
          <w:sz w:val="18"/>
          <w:szCs w:val="18"/>
          <w:color w:val="auto"/>
        </w:rPr>
      </w:pPr>
    </w:p>
    <w:p>
      <w:pPr>
        <w:ind w:right="20" w:firstLine="443"/>
        <w:spacing w:after="0" w:line="298" w:lineRule="auto"/>
        <w:tabs>
          <w:tab w:leader="none" w:pos="687"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Notice of an Event of Default; Redemption Right</w:t>
      </w:r>
      <w:r>
        <w:rPr>
          <w:rFonts w:ascii="Arial" w:cs="Arial" w:eastAsia="Arial" w:hAnsi="Arial"/>
          <w:sz w:val="16"/>
          <w:szCs w:val="16"/>
          <w:color w:val="auto"/>
        </w:rPr>
        <w:t>. Upon the occurrence of an Event of Default with respect to this Note, the Company shall promptly, but in no event later than two (2) Business Day after becoming aware of such Event of Default, deliver written notice thereof via facsimile and overnight courier (with next day delivery specified) (an “</w:t>
      </w:r>
      <w:r>
        <w:rPr>
          <w:rFonts w:ascii="Arial" w:cs="Arial" w:eastAsia="Arial" w:hAnsi="Arial"/>
          <w:sz w:val="16"/>
          <w:szCs w:val="16"/>
          <w:b w:val="1"/>
          <w:bCs w:val="1"/>
          <w:color w:val="auto"/>
        </w:rPr>
        <w:t>Event of Default Notice</w:t>
      </w:r>
      <w:r>
        <w:rPr>
          <w:rFonts w:ascii="Arial" w:cs="Arial" w:eastAsia="Arial" w:hAnsi="Arial"/>
          <w:sz w:val="16"/>
          <w:szCs w:val="16"/>
          <w:color w:val="auto"/>
        </w:rPr>
        <w:t>”) to the Holder. At any time after the earlier of the Holder’s receipt of an Event of Default Notice and the Holder becoming aware of an Event of Default, the Holder may require the Company to redeem (regardless of whether</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54" w:name="page55"/>
    <w:bookmarkEnd w:id="5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Event of Default has been cured) all or any portion of this Note by delivering written notice thereof (the “</w:t>
      </w:r>
      <w:r>
        <w:rPr>
          <w:rFonts w:ascii="Arial" w:cs="Arial" w:eastAsia="Arial" w:hAnsi="Arial"/>
          <w:sz w:val="16"/>
          <w:szCs w:val="16"/>
          <w:b w:val="1"/>
          <w:bCs w:val="1"/>
          <w:color w:val="auto"/>
        </w:rPr>
        <w:t>Event of Default Redemption Notice</w:t>
      </w:r>
      <w:r>
        <w:rPr>
          <w:rFonts w:ascii="Arial" w:cs="Arial" w:eastAsia="Arial" w:hAnsi="Arial"/>
          <w:sz w:val="16"/>
          <w:szCs w:val="16"/>
          <w:color w:val="auto"/>
        </w:rPr>
        <w:t>”) to the Company, which Event of Default Redemption Notice shall indicate the portion of this Note the Holder is electing to redeem. Each portion of this Note subject to redemption by the Company pursuant to this Section 4(b) shall be redeemed in cash by the Company at a price equal to the greater of (i) the product of (A) the Conversion Amount to be redeemed multiplied by (B) the Redemption Premium and (ii) the product of (X) the Conversion Rate with respect to the Conversion Amount in effect at such time as the Holder delivers an Event of Default Redemption Notice multiplied by (Y) the greatest Closing Sale Price of the Common Stock on any Trading Day during the period commencing on the date immediately preceding such Event of Default and ending on the date the Company makes the entire payment required to be made under this Section 4(b) (the “</w:t>
      </w:r>
      <w:r>
        <w:rPr>
          <w:rFonts w:ascii="Arial" w:cs="Arial" w:eastAsia="Arial" w:hAnsi="Arial"/>
          <w:sz w:val="16"/>
          <w:szCs w:val="16"/>
          <w:b w:val="1"/>
          <w:bCs w:val="1"/>
          <w:color w:val="auto"/>
        </w:rPr>
        <w:t>Event of Default Redemption Price</w:t>
      </w:r>
      <w:r>
        <w:rPr>
          <w:rFonts w:ascii="Arial" w:cs="Arial" w:eastAsia="Arial" w:hAnsi="Arial"/>
          <w:sz w:val="16"/>
          <w:szCs w:val="16"/>
          <w:color w:val="auto"/>
        </w:rPr>
        <w:t>”). Redemptions required by this Section 4(b) shall be made in accordance with the provisions of Section 11.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4, but subject to Section 3(d), until the Event of Default Redemption Price is paid in full, the Conversion Amount submitted for redemption under this Section 4(b) may be converted, in whole or in part, by the Holder into Common Stock pursuant to the terms of this Note. In the event of a partial redemption of this Note pursuant hereto, the Principal amount redeemed shall be deducted from the Installment Amount(s) relating to the applicable Installment Date(s) as set forth in the Event of Default Redemption Notice.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w:t>
      </w:r>
    </w:p>
    <w:p>
      <w:pPr>
        <w:spacing w:after="0" w:line="127" w:lineRule="exact"/>
        <w:rPr>
          <w:sz w:val="20"/>
          <w:szCs w:val="20"/>
          <w:color w:val="auto"/>
        </w:rPr>
      </w:pPr>
    </w:p>
    <w:p>
      <w:pPr>
        <w:ind w:left="640" w:hanging="179"/>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RIGHTS UPON FUNDAMENTAL TRANSACTION</w:t>
      </w:r>
      <w:r>
        <w:rPr>
          <w:rFonts w:ascii="Arial" w:cs="Arial" w:eastAsia="Arial" w:hAnsi="Arial"/>
          <w:sz w:val="18"/>
          <w:szCs w:val="18"/>
          <w:color w:val="auto"/>
        </w:rPr>
        <w:t>.</w:t>
      </w:r>
    </w:p>
    <w:p>
      <w:pPr>
        <w:spacing w:after="0" w:line="90" w:lineRule="exact"/>
        <w:rPr>
          <w:sz w:val="20"/>
          <w:szCs w:val="20"/>
          <w:color w:val="auto"/>
        </w:rPr>
      </w:pPr>
    </w:p>
    <w:p>
      <w:pPr>
        <w:ind w:firstLine="443"/>
        <w:spacing w:after="0" w:line="288" w:lineRule="auto"/>
        <w:tabs>
          <w:tab w:leader="none" w:pos="677"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Assumption</w:t>
      </w:r>
      <w:r>
        <w:rPr>
          <w:rFonts w:ascii="Arial" w:cs="Arial" w:eastAsia="Arial" w:hAnsi="Arial"/>
          <w:sz w:val="16"/>
          <w:szCs w:val="16"/>
          <w:color w:val="auto"/>
        </w:rPr>
        <w:t>. The Company shall not enter into or be party to a Fundamental Transaction unless (i) the Successor Entity assumes in writing (or, if prior to the consummation of such Fundamental Transaction, such applicable agreement requires the assumption of) all of the obligations of the Company under this Note and the other Transaction Documents (as defined in the Securities Purchase Agreement) in accordance with the provisions of this Section 5(a),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to the Notes, and satisfactory to the Holder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w:t>
      </w:r>
    </w:p>
    <w:p>
      <w:pPr>
        <w:spacing w:after="0" w:line="10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700" w:top="274" w:right="299" w:bottom="1440" w:gutter="0" w:footer="0" w:header="0"/>
        </w:sectPr>
      </w:pPr>
    </w:p>
    <w:bookmarkStart w:id="55" w:name="page56"/>
    <w:bookmarkEnd w:id="5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such Fundamental Transaction,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shares of the Company’s Common Stock (or other securities, cash, assets or other property (except such items still issuable under Sections 6 and 16, which shall continue to be receivable thereafter) issuable upon the conversion or redemption of the Notes prior to such Fundamental Transaction, such shares of the publicly traded common stock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Company to waive this Section 5(a) to permit the Fundamental Transaction without the assumption of this Note. The provisions of this Section 5 shall apply similarly and equally to successive Fundamental Transactions and shall be applied without regard to any limitations on the conversion of this Note.</w:t>
      </w:r>
    </w:p>
    <w:p>
      <w:pPr>
        <w:spacing w:after="0" w:line="40" w:lineRule="exact"/>
        <w:rPr>
          <w:sz w:val="20"/>
          <w:szCs w:val="20"/>
          <w:color w:val="auto"/>
        </w:rPr>
      </w:pPr>
    </w:p>
    <w:p>
      <w:pPr>
        <w:ind w:firstLine="443"/>
        <w:spacing w:after="0" w:line="285" w:lineRule="auto"/>
        <w:tabs>
          <w:tab w:leader="none" w:pos="687"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Notice of a Change of Control; Redemption Right</w:t>
      </w:r>
      <w:r>
        <w:rPr>
          <w:rFonts w:ascii="Arial" w:cs="Arial" w:eastAsia="Arial" w:hAnsi="Arial"/>
          <w:sz w:val="16"/>
          <w:szCs w:val="16"/>
          <w:color w:val="auto"/>
        </w:rPr>
        <w:t>. No earlier than twenty (20) Trading Days nor later than ten (10) Trading Days prior to the consummation of a Change of Control (the “</w:t>
      </w:r>
      <w:r>
        <w:rPr>
          <w:rFonts w:ascii="Arial" w:cs="Arial" w:eastAsia="Arial" w:hAnsi="Arial"/>
          <w:sz w:val="16"/>
          <w:szCs w:val="16"/>
          <w:b w:val="1"/>
          <w:bCs w:val="1"/>
          <w:color w:val="auto"/>
        </w:rPr>
        <w:t>Change of Control Date</w:t>
      </w:r>
      <w:r>
        <w:rPr>
          <w:rFonts w:ascii="Arial" w:cs="Arial" w:eastAsia="Arial" w:hAnsi="Arial"/>
          <w:sz w:val="16"/>
          <w:szCs w:val="16"/>
          <w:color w:val="auto"/>
        </w:rPr>
        <w:t>”), but not prior to the public announcement of such Change of Control, the Company shall deliver written notice thereof via facsimile and overnight courier to the Holder (a “</w:t>
      </w:r>
      <w:r>
        <w:rPr>
          <w:rFonts w:ascii="Arial" w:cs="Arial" w:eastAsia="Arial" w:hAnsi="Arial"/>
          <w:sz w:val="16"/>
          <w:szCs w:val="16"/>
          <w:b w:val="1"/>
          <w:bCs w:val="1"/>
          <w:color w:val="auto"/>
        </w:rPr>
        <w:t>Change of Control Notice</w:t>
      </w:r>
      <w:r>
        <w:rPr>
          <w:rFonts w:ascii="Arial" w:cs="Arial" w:eastAsia="Arial" w:hAnsi="Arial"/>
          <w:sz w:val="16"/>
          <w:szCs w:val="16"/>
          <w:color w:val="auto"/>
        </w:rPr>
        <w:t>”).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the later of twenty (20) Trading Days after (A) consummation of such Change of Control or (B) the date of receipt of such Change of Control Notice, the Holder may require the Company to redeem all or any portion of this Note by delivering written notice thereof (“</w:t>
      </w:r>
      <w:r>
        <w:rPr>
          <w:rFonts w:ascii="Arial" w:cs="Arial" w:eastAsia="Arial" w:hAnsi="Arial"/>
          <w:sz w:val="16"/>
          <w:szCs w:val="16"/>
          <w:b w:val="1"/>
          <w:bCs w:val="1"/>
          <w:color w:val="auto"/>
        </w:rPr>
        <w:t>Change of Control Redemption Notice</w:t>
      </w:r>
      <w:r>
        <w:rPr>
          <w:rFonts w:ascii="Arial" w:cs="Arial" w:eastAsia="Arial" w:hAnsi="Arial"/>
          <w:sz w:val="16"/>
          <w:szCs w:val="16"/>
          <w:color w:val="auto"/>
        </w:rPr>
        <w:t>”) to the Company, which Change of Control Redemption Notice shall indicate the Conversion Amount the Holder is electing to redeem. The portion of this Note subject to redemption pursuant to this Section 5 shall be redeemed by the Company in cash at a price equal to the greater of (i) the product of (w) the Change of Control Redemption Premium multiplied by (y) the Conversion Amount being redeemed, (ii) the product of (A) the Conversion Amount being redeemed multiplied by (B) the quotient determined by dividing (I) the greatest Closing Sale Price of the shares of Common Stock during the period beginning on the date immediately preceding the earlier to occur of (1) the consummation of the applicable Change of Control and (2) the public announcement of such Change of Control and ending on the date the Holder delivers the Change of Control Redemption Notice by (II) the Conversion Price then in effect at the time of delivery by the Holder of the Change of Control Redemption Notice and (iii) the product of (A) the Conversion Amount being redeemed multiplied by (B) the quotient of</w:t>
      </w:r>
    </w:p>
    <w:p>
      <w:pPr>
        <w:spacing w:after="0" w:line="1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56" w:name="page57"/>
    <w:bookmarkEnd w:id="56"/>
    <w:p>
      <w:pPr>
        <w:ind w:firstLine="4"/>
        <w:spacing w:after="0" w:line="302" w:lineRule="auto"/>
        <w:tabs>
          <w:tab w:leader="none" w:pos="219" w:val="left"/>
        </w:tabs>
        <w:numPr>
          <w:ilvl w:val="0"/>
          <w:numId w:val="3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aggregate cash consideration and the aggregate cash value of any non-cash consideration per share of Common Stock to be paid to the holders of the shares of Common Stock upon consummation of such Change of Control (any such non-cash consideration constituting publicly-traded securities shall be valued at the highest of the Closing Sale Price of such securities as of the Trading Day immediately prior to the consummation of such Change of Control, the Closing Sale Price of such securities on the Trading Day immediately following the public announcement of such proposed Change of Control and the Closing Sale Price of such securities on the Trading Day immediately prior to the public announcement of such proposed Change of Control) divided by</w:t>
      </w:r>
    </w:p>
    <w:p>
      <w:pPr>
        <w:spacing w:after="0" w:line="1" w:lineRule="exact"/>
        <w:rPr>
          <w:rFonts w:ascii="Arial" w:cs="Arial" w:eastAsia="Arial" w:hAnsi="Arial"/>
          <w:sz w:val="15"/>
          <w:szCs w:val="15"/>
          <w:color w:val="auto"/>
        </w:rPr>
      </w:pPr>
    </w:p>
    <w:p>
      <w:pPr>
        <w:ind w:right="20" w:firstLine="4"/>
        <w:spacing w:after="0" w:line="286" w:lineRule="auto"/>
        <w:tabs>
          <w:tab w:leader="none" w:pos="2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Conversion Price then in effect (the “</w:t>
      </w:r>
      <w:r>
        <w:rPr>
          <w:rFonts w:ascii="Arial" w:cs="Arial" w:eastAsia="Arial" w:hAnsi="Arial"/>
          <w:sz w:val="16"/>
          <w:szCs w:val="16"/>
          <w:b w:val="1"/>
          <w:bCs w:val="1"/>
          <w:color w:val="auto"/>
        </w:rPr>
        <w:t>Change of Control Redemption Price</w:t>
      </w:r>
      <w:r>
        <w:rPr>
          <w:rFonts w:ascii="Arial" w:cs="Arial" w:eastAsia="Arial" w:hAnsi="Arial"/>
          <w:sz w:val="16"/>
          <w:szCs w:val="16"/>
          <w:color w:val="auto"/>
        </w:rPr>
        <w:t>”). Redemptions required by this Section 5 shall be made in accordance with the provisions of Section 11 and shall have priority to payments to stockholders in connection with such Change of Control. To the extent redemptions required by this Section 5(b) are deemed or determined by a court of competent jurisdiction to be prepayments of this Note by the Company, such redemptions shall be deemed to be voluntary prepayments. Notwithstanding anything to the contrary in this Section 5, but subject to Section 3(d), until the Change of Control Redemption Price is paid in full, the Conversion Amount submitted for redemption under this Section 5(b) may be converted, in whole or in part, by the Holder into Common Stock pursuant to Section 3. In the event of a partial redemption of this Note pursuant hereto, the Principal amount redeemed shall be deducted from the Installment Amount(s) relating to the applicable Installment Date(s) as set forth in the Change of Control Redemption Notice. In the event of the Company’s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5(b) is intended by the parties to be, and shall be deemed, a reasonable estimate of the Holder’s actual loss of its investment opportunity and not as a penalty.</w:t>
      </w:r>
    </w:p>
    <w:p>
      <w:pPr>
        <w:spacing w:after="0" w:line="121" w:lineRule="exact"/>
        <w:rPr>
          <w:sz w:val="20"/>
          <w:szCs w:val="20"/>
          <w:color w:val="auto"/>
        </w:rPr>
      </w:pPr>
    </w:p>
    <w:p>
      <w:pPr>
        <w:ind w:left="180" w:hanging="176"/>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RIGHTS UPON ISSUANCE OF PURCHASE RIGHTS AND OTHER CORPORATE EVENTS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00" w:firstLine="443"/>
        <w:spacing w:after="0" w:line="308" w:lineRule="auto"/>
        <w:tabs>
          <w:tab w:leader="none" w:pos="677" w:val="left"/>
        </w:tabs>
        <w:numPr>
          <w:ilvl w:val="1"/>
          <w:numId w:val="32"/>
        </w:numPr>
        <w:rPr>
          <w:rFonts w:ascii="Arial" w:cs="Arial" w:eastAsia="Arial" w:hAnsi="Arial"/>
          <w:sz w:val="15"/>
          <w:szCs w:val="15"/>
          <w:color w:val="auto"/>
        </w:rPr>
      </w:pPr>
      <w:r>
        <w:rPr>
          <w:rFonts w:ascii="Arial" w:cs="Arial" w:eastAsia="Arial" w:hAnsi="Arial"/>
          <w:sz w:val="15"/>
          <w:szCs w:val="15"/>
          <w:u w:val="single" w:color="auto"/>
          <w:color w:val="auto"/>
        </w:rPr>
        <w:t>Purchase Rights</w:t>
      </w:r>
      <w:r>
        <w:rPr>
          <w:rFonts w:ascii="Arial" w:cs="Arial" w:eastAsia="Arial" w:hAnsi="Arial"/>
          <w:sz w:val="15"/>
          <w:szCs w:val="15"/>
          <w:color w:val="auto"/>
        </w:rPr>
        <w:t>. In addition to any adjustments pursuant to Section 7 below, if at any time the Company grants, issues or sells any Options, Convertible Securities or rights to purchase stock, warrants, securities or other property pro rata to the record holders of any class of Common Stock (the “</w:t>
      </w:r>
      <w:r>
        <w:rPr>
          <w:rFonts w:ascii="Arial" w:cs="Arial" w:eastAsia="Arial" w:hAnsi="Arial"/>
          <w:sz w:val="15"/>
          <w:szCs w:val="15"/>
          <w:b w:val="1"/>
          <w:bCs w:val="1"/>
          <w:color w:val="auto"/>
        </w:rPr>
        <w:t>Purchase Rights</w:t>
      </w:r>
      <w:r>
        <w:rPr>
          <w:rFonts w:ascii="Arial" w:cs="Arial" w:eastAsia="Arial" w:hAnsi="Arial"/>
          <w:sz w:val="15"/>
          <w:szCs w:val="15"/>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9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700" w:top="280" w:right="279" w:bottom="1440" w:gutter="0" w:footer="0" w:header="0"/>
        </w:sectPr>
      </w:pPr>
    </w:p>
    <w:bookmarkStart w:id="57" w:name="page58"/>
    <w:bookmarkEnd w:id="57"/>
    <w:p>
      <w:pPr>
        <w:ind w:firstLine="443"/>
        <w:spacing w:after="0" w:line="288" w:lineRule="auto"/>
        <w:tabs>
          <w:tab w:leader="none" w:pos="687"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Corporate Events</w:t>
      </w:r>
      <w:r>
        <w:rPr>
          <w:rFonts w:ascii="Arial" w:cs="Arial" w:eastAsia="Arial" w:hAnsi="Arial"/>
          <w:sz w:val="16"/>
          <w:szCs w:val="16"/>
          <w:color w:val="auto"/>
        </w:rPr>
        <w: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 conversion of this Note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satisfactory to the Holder. The provisions of this Section 6 shall apply similarly and equally to successive Corporate Events and shall be applied without regard to any limitations on the conversion or redemption of this Note.</w:t>
      </w:r>
    </w:p>
    <w:p>
      <w:pPr>
        <w:spacing w:after="0" w:line="119" w:lineRule="exact"/>
        <w:rPr>
          <w:rFonts w:ascii="Arial" w:cs="Arial" w:eastAsia="Arial" w:hAnsi="Arial"/>
          <w:sz w:val="16"/>
          <w:szCs w:val="16"/>
          <w:color w:val="auto"/>
        </w:rPr>
      </w:pPr>
    </w:p>
    <w:p>
      <w:pPr>
        <w:ind w:left="180" w:hanging="176"/>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RIGHTS UPON ISSUANCE OF OTHER SECURITIES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3"/>
        <w:spacing w:after="0" w:line="286" w:lineRule="auto"/>
        <w:tabs>
          <w:tab w:leader="none" w:pos="677"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Adjustment of Conversion Price upon Issuance of Common Stock</w:t>
      </w:r>
      <w:r>
        <w:rPr>
          <w:rFonts w:ascii="Arial" w:cs="Arial" w:eastAsia="Arial" w:hAnsi="Arial"/>
          <w:sz w:val="16"/>
          <w:szCs w:val="16"/>
          <w:color w:val="auto"/>
        </w:rPr>
        <w:t>. If and whenever on or after the Subscription Date the Company issues or sells, or in accordance with this Section 7(a) is deemed to have issued or sold, any shares of Common Stock (including the issuance or sale of shares of Common Stock owned or held by or for the account of the Company, but excluding any Excluded Securities issued or sold or deemed to have been issued or sold) for consideration per share (the “</w:t>
      </w:r>
      <w:r>
        <w:rPr>
          <w:rFonts w:ascii="Arial" w:cs="Arial" w:eastAsia="Arial" w:hAnsi="Arial"/>
          <w:sz w:val="16"/>
          <w:szCs w:val="16"/>
          <w:b w:val="1"/>
          <w:bCs w:val="1"/>
          <w:color w:val="auto"/>
        </w:rPr>
        <w:t>New Issuance Price</w:t>
      </w:r>
      <w:r>
        <w:rPr>
          <w:rFonts w:ascii="Arial" w:cs="Arial" w:eastAsia="Arial" w:hAnsi="Arial"/>
          <w:sz w:val="16"/>
          <w:szCs w:val="16"/>
          <w:color w:val="auto"/>
        </w:rPr>
        <w:t>”) less than the Conversion Price in effect immediately prior to such issue or sale or deemed issuance or sale (such Conversion Price then in effect is referred to herein as the “</w:t>
      </w:r>
      <w:r>
        <w:rPr>
          <w:rFonts w:ascii="Arial" w:cs="Arial" w:eastAsia="Arial" w:hAnsi="Arial"/>
          <w:sz w:val="16"/>
          <w:szCs w:val="16"/>
          <w:b w:val="1"/>
          <w:bCs w:val="1"/>
          <w:color w:val="auto"/>
        </w:rPr>
        <w:t>Applicable Price</w:t>
      </w:r>
      <w:r>
        <w:rPr>
          <w:rFonts w:ascii="Arial" w:cs="Arial" w:eastAsia="Arial" w:hAnsi="Arial"/>
          <w:sz w:val="16"/>
          <w:szCs w:val="16"/>
          <w:color w:val="auto"/>
        </w:rPr>
        <w:t>”) (the foregoing a “</w:t>
      </w:r>
      <w:r>
        <w:rPr>
          <w:rFonts w:ascii="Arial" w:cs="Arial" w:eastAsia="Arial" w:hAnsi="Arial"/>
          <w:sz w:val="16"/>
          <w:szCs w:val="16"/>
          <w:b w:val="1"/>
          <w:bCs w:val="1"/>
          <w:color w:val="auto"/>
        </w:rPr>
        <w:t>Dilutive Issuance</w:t>
      </w:r>
      <w:r>
        <w:rPr>
          <w:rFonts w:ascii="Arial" w:cs="Arial" w:eastAsia="Arial" w:hAnsi="Arial"/>
          <w:sz w:val="16"/>
          <w:szCs w:val="16"/>
          <w:color w:val="auto"/>
        </w:rPr>
        <w:t>”) (other than a stock dividend or other distribution of shares of Common Stock to all holders of Common Stock) (such number being appropriately adjusted to reflect the occurrence of any event described in Section 7(b)), then, immediately after such Dilutive Issuance, the Conversion Price then in effect shall be reduced to an amount equal to the product of (A) the Applicable Price and (B) the quotient determined by dividing (1) the sum of (I) the product derived by multiplying the Applicable Price and the number of shares of Common Stock Deemed Outstanding immediately prior to such Dilutive Issuance plus (II) the consideration, if any, received by the Company upon such Dilutive Issuance, by (2) the product derived by multiplying (I) the Applicable Price by (II) the number of shares of Common Stock Deemed Outstanding immediately after such Dilutive Issuance. For all purposes of the foregoing (including, without limitation, determining the adjusted Conversion Price, the consideration per share and the New Issuance Price under this Section 7(a)), the following shall be applicable:</w:t>
      </w:r>
    </w:p>
    <w:p>
      <w:pPr>
        <w:spacing w:after="0" w:line="39" w:lineRule="exact"/>
        <w:rPr>
          <w:rFonts w:ascii="Arial" w:cs="Arial" w:eastAsia="Arial" w:hAnsi="Arial"/>
          <w:sz w:val="16"/>
          <w:szCs w:val="16"/>
          <w:color w:val="auto"/>
        </w:rPr>
      </w:pPr>
    </w:p>
    <w:p>
      <w:pPr>
        <w:ind w:left="460" w:right="280" w:firstLine="421"/>
        <w:spacing w:after="0" w:line="259" w:lineRule="auto"/>
        <w:tabs>
          <w:tab w:leader="none" w:pos="1089" w:val="left"/>
        </w:tabs>
        <w:numPr>
          <w:ilvl w:val="2"/>
          <w:numId w:val="34"/>
        </w:numPr>
        <w:rPr>
          <w:rFonts w:ascii="Arial" w:cs="Arial" w:eastAsia="Arial" w:hAnsi="Arial"/>
          <w:sz w:val="18"/>
          <w:szCs w:val="18"/>
          <w:color w:val="auto"/>
        </w:rPr>
      </w:pPr>
      <w:r>
        <w:rPr>
          <w:rFonts w:ascii="Arial" w:cs="Arial" w:eastAsia="Arial" w:hAnsi="Arial"/>
          <w:sz w:val="18"/>
          <w:szCs w:val="18"/>
          <w:u w:val="single" w:color="auto"/>
          <w:color w:val="auto"/>
        </w:rPr>
        <w:t>Issuance of Options</w:t>
      </w:r>
      <w:r>
        <w:rPr>
          <w:rFonts w:ascii="Arial" w:cs="Arial" w:eastAsia="Arial" w:hAnsi="Arial"/>
          <w:sz w:val="18"/>
          <w:szCs w:val="18"/>
          <w:color w:val="auto"/>
        </w:rPr>
        <w:t>. If the Company in any manner grants or sells any Options and the lowest price per share for which one share of Common Stock is issuable upon the exercise of any such Option or upon conversion, exercise or exchange of any Convertible Securities issuable upon exercise of any such Option is</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58" w:name="page59"/>
    <w:bookmarkEnd w:id="58"/>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less than the Applicable Price, then such share of Common Stock shall be deemed to be outstanding and to have been issued and sold by the Company at the time of the granting or sale of such Option for such price per share. For purposes of this Section 7(a)(i), the “lowest price per share for which one share of Common Stock is issuable upon the exercise of any such Options or upon conversion, exercise or exchange of any Convertible Securities issuable upon exercise of any such Option” shall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Convertible Security issuable upon exercise of such Option and (y) the lowest exercise price set forth in such Option for which one share of Common Stock is issuable upon the exercise of any such Options or upon conversion, exercise or exchange of any Convertible Securities issuable upon exercise of any such Option minus (2) the sum of all amounts paid or payable to the holder of such Option (or any other Person) upon the granting or sale of such Option, upon exercise of such Option and upon conversion, exercise or exchange of any Convertible Security issuable upon exercise of such Option plus the value of any other consideration received or receivable by, or benefit conferred on, the holder of such Option (or any other Person). Except as contemplated below, no further adjustment of the Conversion Price shall be made upon the actual issuance of such share of Common Stock or of such Convertible Securities upon the exercise of such Options or upon the actual issuance of such share of Common Stock upon conversion, exercise or exchange of such Convertible Securities.</w:t>
      </w:r>
    </w:p>
    <w:p>
      <w:pPr>
        <w:spacing w:after="0" w:line="47" w:lineRule="exact"/>
        <w:rPr>
          <w:sz w:val="20"/>
          <w:szCs w:val="20"/>
          <w:color w:val="auto"/>
        </w:rPr>
      </w:pPr>
    </w:p>
    <w:p>
      <w:pPr>
        <w:ind w:firstLine="421"/>
        <w:spacing w:after="0" w:line="282" w:lineRule="auto"/>
        <w:tabs>
          <w:tab w:leader="none" w:pos="678"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the Company in any manner issues or sells any Convertible Securities and the lowest price per share for which one share of Common Stock is issuable upon the conversion, exercise or exchange thereof is less than the Applicable Price, then such share of Common Stock shall be deemed to be outstanding and to have been issued and sold by the Company at the time of the issuance or sale of such Convertible Securities for such price per share. For the purposes of this Section 7(a)(ii), the “lowest price per share for which one share of Common Stock is issuable upon the conversion, exercise or exchange thereof” shall be equal to (1) the lower of (x) the sum of the lowest amounts of consideration (if any) received or receivable by the Company with respect to one share of Common Stock upon the issuance or sale of the Convertible Security and upon conversion, exercise or exchange of such Convertible Security and (y) the lowest conversion price set forth in such Convertible Security for which one share of Common Stock is issuable upon conversion, exercise or exchange thereof minus (2) the sum of all amounts paid or payable to the holder of such Convertible Security (or any other Person) upon the issuance or sale of such Convertible Security plus the value of any other consideration received or receivable by, or benefit conferred on, the holder of such Convertible Security (or any other Person). Except as contemplated below, no further adjustment of the Conversion Price shall be made upon the actual issuance of such share of Common Stock upon conversion, exercise or exchange of such Convertible Securities, and if any such issue or sale of such Convertible Securities is made upon exercise of any Options for which adjustment of the Conversion Price has been or is to be made pursuant to other provisions of this</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Section 7(a), except as contemplated below, no further adjustment of the Conversion Price shall be made by reason of such issue or sale.</w:t>
      </w:r>
    </w:p>
    <w:p>
      <w:pPr>
        <w:spacing w:after="0" w:line="17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60"/>
          </w:cols>
          <w:pgMar w:left="1160" w:top="280" w:right="279" w:bottom="1440" w:gutter="0" w:footer="0" w:header="0"/>
        </w:sectPr>
      </w:pPr>
    </w:p>
    <w:bookmarkStart w:id="59" w:name="page60"/>
    <w:bookmarkEnd w:id="59"/>
    <w:p>
      <w:pPr>
        <w:ind w:left="-1" w:right="20" w:firstLine="421"/>
        <w:spacing w:after="0" w:line="305" w:lineRule="auto"/>
        <w:tabs>
          <w:tab w:leader="none" w:pos="726" w:val="left"/>
        </w:tabs>
        <w:numPr>
          <w:ilvl w:val="1"/>
          <w:numId w:val="3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in Option Price or Rate of Conversion</w:t>
      </w:r>
      <w:r>
        <w:rPr>
          <w:rFonts w:ascii="Arial" w:cs="Arial" w:eastAsia="Arial" w:hAnsi="Arial"/>
          <w:sz w:val="15"/>
          <w:szCs w:val="15"/>
          <w:color w:val="auto"/>
        </w:rPr>
        <w:t>. If the purchase or exercise price provided for in any Options referred to in Section 7(a)(i), the additional consideration, if any, payable upon the issue, conversion, exercise or exchange of any Convertible Securities referred to in Section 7(a)</w:t>
      </w:r>
    </w:p>
    <w:p>
      <w:pPr>
        <w:ind w:left="-1" w:right="60" w:firstLine="1"/>
        <w:spacing w:after="0" w:line="287" w:lineRule="auto"/>
        <w:tabs>
          <w:tab w:leader="none" w:pos="209" w:val="left"/>
        </w:tabs>
        <w:numPr>
          <w:ilvl w:val="0"/>
          <w:numId w:val="37"/>
        </w:numPr>
        <w:rPr>
          <w:rFonts w:ascii="Arial" w:cs="Arial" w:eastAsia="Arial" w:hAnsi="Arial"/>
          <w:sz w:val="16"/>
          <w:szCs w:val="16"/>
          <w:color w:val="auto"/>
        </w:rPr>
      </w:pPr>
      <w:r>
        <w:rPr>
          <w:rFonts w:ascii="Arial" w:cs="Arial" w:eastAsia="Arial" w:hAnsi="Arial"/>
          <w:sz w:val="16"/>
          <w:szCs w:val="16"/>
          <w:color w:val="auto"/>
        </w:rPr>
        <w:t>or 7(a)(ii), or the rate at which any Convertible Securities referred to in Section 7(a)(i) or 7(a)(ii) are convertible into or exercisable or exchangeable for shares of Common Stock increases or decreases at any time,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7(a)(iii), if the terms of any Option or Convertible Security that was outstanding as of the Subscription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7(a) shall be made if such adjustment would result in an increase of the Conversion Price then in effect.</w:t>
      </w:r>
    </w:p>
    <w:p>
      <w:pPr>
        <w:spacing w:after="0" w:line="39" w:lineRule="exact"/>
        <w:rPr>
          <w:rFonts w:ascii="Arial" w:cs="Arial" w:eastAsia="Arial" w:hAnsi="Arial"/>
          <w:sz w:val="16"/>
          <w:szCs w:val="16"/>
          <w:color w:val="auto"/>
        </w:rPr>
      </w:pPr>
    </w:p>
    <w:p>
      <w:pPr>
        <w:ind w:left="-1" w:firstLine="421"/>
        <w:spacing w:after="0" w:line="285" w:lineRule="auto"/>
        <w:tabs>
          <w:tab w:leader="none" w:pos="716"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If any Option or Convertible Security or Adjustment Right is issued or deemed issued in connection with the issuance or sale or deemed issuance or sale of any other securities of the Company, together comprising one integrated transaction, (x) such Option or Convertible Security (as applicable) or Adjustment Right (as applicable) will be deemed to have been issued for consideration equal to the Black Scholes Consideration Value thereof and (y) the other securities issued or sold or deemed to have been issued or sold in such integrated transaction shall be deemed to have been issued for consideration equal to the difference of (I) the aggregate consideration received or receivable by the Company minus (II) the Black Scholes Consideration Value of each such Option or Convertible Security (as applicable) or Adjustment Right (as applicable).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average VWAP of such security for the five (5) Trading Day period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w:t>
      </w:r>
    </w:p>
    <w:p>
      <w:pPr>
        <w:spacing w:after="0" w:line="110"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99"/>
          </w:cols>
          <w:pgMar w:left="1161" w:top="280" w:right="239" w:bottom="1440" w:gutter="0" w:footer="0" w:header="0"/>
        </w:sectPr>
      </w:pPr>
    </w:p>
    <w:bookmarkStart w:id="60" w:name="page61"/>
    <w:bookmarkEnd w:id="60"/>
    <w:p>
      <w:pPr>
        <w:ind w:left="460"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determined jointly by the Company and the Holder. If such parties are unable to reach agreement within ten (10) days after the occurrence of an event requiring valuation (the “</w:t>
      </w:r>
      <w:r>
        <w:rPr>
          <w:rFonts w:ascii="Arial" w:cs="Arial" w:eastAsia="Arial" w:hAnsi="Arial"/>
          <w:sz w:val="18"/>
          <w:szCs w:val="18"/>
          <w:b w:val="1"/>
          <w:bCs w:val="1"/>
          <w:color w:val="auto"/>
        </w:rPr>
        <w:t>Valuation Event</w:t>
      </w:r>
      <w:r>
        <w:rPr>
          <w:rFonts w:ascii="Arial" w:cs="Arial" w:eastAsia="Arial" w:hAnsi="Arial"/>
          <w:sz w:val="18"/>
          <w:szCs w:val="18"/>
          <w:color w:val="auto"/>
        </w:rPr>
        <w:t>”), the fair value of such consideration will be determined within five (5) Trading Days after the tenth (10</w:t>
      </w:r>
      <w:r>
        <w:rPr>
          <w:rFonts w:ascii="Arial" w:cs="Arial" w:eastAsia="Arial" w:hAnsi="Arial"/>
          <w:sz w:val="11"/>
          <w:szCs w:val="11"/>
          <w:color w:val="auto"/>
        </w:rPr>
        <w:t>th</w:t>
      </w:r>
      <w:r>
        <w:rPr>
          <w:rFonts w:ascii="Arial" w:cs="Arial" w:eastAsia="Arial" w:hAnsi="Arial"/>
          <w:sz w:val="18"/>
          <w:szCs w:val="18"/>
          <w:color w:val="auto"/>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62" w:lineRule="exact"/>
        <w:rPr>
          <w:sz w:val="20"/>
          <w:szCs w:val="20"/>
          <w:color w:val="auto"/>
        </w:rPr>
      </w:pPr>
    </w:p>
    <w:p>
      <w:pPr>
        <w:ind w:left="460" w:right="100" w:firstLine="421"/>
        <w:spacing w:after="0" w:line="294" w:lineRule="auto"/>
        <w:tabs>
          <w:tab w:leader="none" w:pos="1128"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Record Date</w:t>
      </w:r>
      <w:r>
        <w:rPr>
          <w:rFonts w:ascii="Arial" w:cs="Arial" w:eastAsia="Arial" w:hAnsi="Arial"/>
          <w:sz w:val="16"/>
          <w:szCs w:val="16"/>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34" w:lineRule="exact"/>
        <w:rPr>
          <w:rFonts w:ascii="Arial" w:cs="Arial" w:eastAsia="Arial" w:hAnsi="Arial"/>
          <w:sz w:val="16"/>
          <w:szCs w:val="16"/>
          <w:color w:val="auto"/>
        </w:rPr>
      </w:pPr>
    </w:p>
    <w:p>
      <w:pPr>
        <w:ind w:left="700" w:hanging="257"/>
        <w:spacing w:after="0"/>
        <w:tabs>
          <w:tab w:leader="none" w:pos="70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Adjustment of Conversion Price upon Subdivision or Combination of Common Stock</w:t>
      </w:r>
      <w:r>
        <w:rPr>
          <w:rFonts w:ascii="Arial" w:cs="Arial" w:eastAsia="Arial" w:hAnsi="Arial"/>
          <w:sz w:val="16"/>
          <w:szCs w:val="16"/>
          <w:color w:val="auto"/>
        </w:rPr>
        <w:t>. Without limiting any provision of Section 5 or</w:t>
      </w:r>
    </w:p>
    <w:p>
      <w:pPr>
        <w:spacing w:after="0" w:line="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Section 7(a), if the Company at any time on or after the Subscription Date subdivides (by any stock split, stock dividend, recapitalization or otherwise) one or more classes of its outstanding shares of Common Stock into a greater number of shares, the Conversion Price in effect immediately prior to such subdivision will be proportionately reduced. Without limiting any provision of Section 5 or Section 7(a), if the Company at any time on or after the Subscription Date combines (by combination, reverse stock split or otherwise) one or more classes of its outstanding shares of Common Stock into a smaller number of shares, the Conversion Price in effect immediately prior to such combination will be proportionately increased. Any adjustment pursuant to this Section 7(b) shall become effective immediately after the effective date of such subdivision or combination. If any event requiring an adjustment under this Section 7(b) occurs during the period that a Conversion Price is calculated hereunder, then the calculation of such Conversion Price shall be adjusted appropriately to reflect such event.</w:t>
      </w:r>
    </w:p>
    <w:p>
      <w:pPr>
        <w:spacing w:after="0" w:line="43" w:lineRule="exact"/>
        <w:rPr>
          <w:sz w:val="20"/>
          <w:szCs w:val="20"/>
          <w:color w:val="auto"/>
        </w:rPr>
      </w:pPr>
    </w:p>
    <w:p>
      <w:pPr>
        <w:ind w:firstLine="443"/>
        <w:spacing w:after="0" w:line="289" w:lineRule="auto"/>
        <w:tabs>
          <w:tab w:leader="none" w:pos="677"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Holder’s Right of Alternative Conversion Price</w:t>
      </w:r>
      <w:r>
        <w:rPr>
          <w:rFonts w:ascii="Arial" w:cs="Arial" w:eastAsia="Arial" w:hAnsi="Arial"/>
          <w:sz w:val="16"/>
          <w:szCs w:val="16"/>
          <w:color w:val="auto"/>
        </w:rPr>
        <w:t>. Subject to Section 4(n) of the Securities Purchase Agreement, in addition to and not in limitation of the other provisions of this Section 7, if the Company in any manner issues or sells or enters into any agreement to issue or sell, any Common Stock, Options or Convertible Securities (any such securities, “</w:t>
      </w:r>
      <w:r>
        <w:rPr>
          <w:rFonts w:ascii="Arial" w:cs="Arial" w:eastAsia="Arial" w:hAnsi="Arial"/>
          <w:sz w:val="16"/>
          <w:szCs w:val="16"/>
          <w:b w:val="1"/>
          <w:bCs w:val="1"/>
          <w:color w:val="auto"/>
        </w:rPr>
        <w:t>Variable Price Securities</w:t>
      </w:r>
      <w:r>
        <w:rPr>
          <w:rFonts w:ascii="Arial" w:cs="Arial" w:eastAsia="Arial" w:hAnsi="Arial"/>
          <w:sz w:val="16"/>
          <w:szCs w:val="16"/>
          <w:color w:val="auto"/>
        </w:rPr>
        <w:t>”) after the Subscription Date that are issuable pursuant to such agreement or convertible into or exchangeable or exercisable for shares of Common Stock pursuant to such Options or Convertible Securities, as applicable, at a price which varies or may vary with the market price of the shares of Common Stock,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Arial" w:cs="Arial" w:eastAsia="Arial" w:hAnsi="Arial"/>
          <w:sz w:val="16"/>
          <w:szCs w:val="16"/>
          <w:b w:val="1"/>
          <w:bCs w:val="1"/>
          <w:color w:val="auto"/>
        </w:rPr>
        <w:t>Variable Price</w:t>
      </w:r>
      <w:r>
        <w:rPr>
          <w:rFonts w:ascii="Arial" w:cs="Arial" w:eastAsia="Arial" w:hAnsi="Arial"/>
          <w:sz w:val="16"/>
          <w:szCs w:val="16"/>
          <w:color w:val="auto"/>
        </w:rPr>
        <w:t>”), the Company shall provide written notice thereof via facsimile and overnight courier to the Holder on the date of such agreement and/or the issuance of such Convertible Securities or Options,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61" w:name="page62"/>
    <w:bookmarkEnd w:id="6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applicable. Subject to Section 4(n) of the Securities Purchase Agreement, from and after the date the Company enters into such agreement or issues any such Convertible Securities or Options with a Variable Price, the Holder shall have the right, but not the obligation, in its sole discretion to substitute the Variable Price for the Conversion Price upon conversion of this Note by designating in the Conversion Notice delivered upon any conversion of this Note that solely for purposes of such conversion the Holder is relying on the Variable Price rather than the Conversion Price then in effect. The Holder’s election to rely on a Variable Price for a particular conversion of this Note shall not obligate the Holder to rely on a Variable Price for any future conversion of this Note.</w:t>
      </w:r>
    </w:p>
    <w:p>
      <w:pPr>
        <w:spacing w:after="0" w:line="63" w:lineRule="exact"/>
        <w:rPr>
          <w:sz w:val="20"/>
          <w:szCs w:val="20"/>
          <w:color w:val="auto"/>
        </w:rPr>
      </w:pPr>
    </w:p>
    <w:p>
      <w:pPr>
        <w:ind w:firstLine="443"/>
        <w:spacing w:after="0" w:line="288" w:lineRule="auto"/>
        <w:tabs>
          <w:tab w:leader="none" w:pos="68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7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Conversion Price so as to protect the rights of the Holder, provided that no such adjustment pursuant to this Section 7(d) will increase the Conversion Price as otherwise determined pursuant to this Section 7,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and whose fees and expenses shall be borne by the Company.</w:t>
      </w:r>
    </w:p>
    <w:p>
      <w:pPr>
        <w:spacing w:after="0" w:line="38" w:lineRule="exact"/>
        <w:rPr>
          <w:rFonts w:ascii="Arial" w:cs="Arial" w:eastAsia="Arial" w:hAnsi="Arial"/>
          <w:sz w:val="16"/>
          <w:szCs w:val="16"/>
          <w:color w:val="auto"/>
        </w:rPr>
      </w:pPr>
    </w:p>
    <w:p>
      <w:pPr>
        <w:jc w:val="both"/>
        <w:ind w:right="200" w:firstLine="443"/>
        <w:spacing w:after="0" w:line="259" w:lineRule="auto"/>
        <w:tabs>
          <w:tab w:leader="none" w:pos="67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7 shall be made by rounding to the nearest cent or the nearest 1/100</w:t>
      </w:r>
      <w:r>
        <w:rPr>
          <w:rFonts w:ascii="Arial" w:cs="Arial" w:eastAsia="Arial" w:hAnsi="Arial"/>
          <w:sz w:val="11"/>
          <w:szCs w:val="11"/>
          <w:color w:val="auto"/>
        </w:rPr>
        <w:t>th</w:t>
      </w:r>
      <w:r>
        <w:rPr>
          <w:rFonts w:ascii="Arial" w:cs="Arial" w:eastAsia="Arial" w:hAnsi="Arial"/>
          <w:sz w:val="18"/>
          <w:szCs w:val="18"/>
          <w:color w:val="auto"/>
        </w:rPr>
        <w:t xml:space="preserve">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40" w:lineRule="exact"/>
        <w:rPr>
          <w:sz w:val="20"/>
          <w:szCs w:val="20"/>
          <w:color w:val="auto"/>
        </w:rPr>
      </w:pPr>
    </w:p>
    <w:p>
      <w:pPr>
        <w:ind w:left="640" w:hanging="179"/>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COMPANY INSTALLMENT CONVERSION OR REDEMPTION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21"/>
        <w:spacing w:after="0" w:line="288" w:lineRule="auto"/>
        <w:tabs>
          <w:tab w:leader="none" w:pos="1119"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On each applicable Installment Date, the Company shall pay to the Holder of this Note the applicable Installment Amount due on such date by converting such Installment Amount in accordance with this Section 8 (a “</w:t>
      </w:r>
      <w:r>
        <w:rPr>
          <w:rFonts w:ascii="Arial" w:cs="Arial" w:eastAsia="Arial" w:hAnsi="Arial"/>
          <w:sz w:val="16"/>
          <w:szCs w:val="16"/>
          <w:b w:val="1"/>
          <w:bCs w:val="1"/>
          <w:color w:val="auto"/>
        </w:rPr>
        <w:t>Company Conversion</w:t>
      </w:r>
      <w:r>
        <w:rPr>
          <w:rFonts w:ascii="Arial" w:cs="Arial" w:eastAsia="Arial" w:hAnsi="Arial"/>
          <w:sz w:val="16"/>
          <w:szCs w:val="16"/>
          <w:color w:val="auto"/>
        </w:rPr>
        <w:t>”); provided, however, the Company may, at its option as described below, pay all or any part of such Installment Amount by redeeming such Installment Amount in cash (a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w:t>
      </w:r>
      <w:r>
        <w:rPr>
          <w:rFonts w:ascii="Arial" w:cs="Arial" w:eastAsia="Arial" w:hAnsi="Arial"/>
          <w:sz w:val="16"/>
          <w:szCs w:val="16"/>
          <w:color w:val="auto"/>
        </w:rPr>
        <w:t>”) or by any combination of a Company Conversion and a Company Redemption so long as the entire amount of such Installment</w:t>
      </w:r>
      <w:r>
        <w:rPr>
          <w:rFonts w:ascii="Arial" w:cs="Arial" w:eastAsia="Arial" w:hAnsi="Arial"/>
          <w:sz w:val="16"/>
          <w:szCs w:val="16"/>
          <w:b w:val="1"/>
          <w:bCs w:val="1"/>
          <w:color w:val="auto"/>
        </w:rPr>
        <w:t xml:space="preserve"> </w:t>
      </w:r>
      <w:r>
        <w:rPr>
          <w:rFonts w:ascii="Arial" w:cs="Arial" w:eastAsia="Arial" w:hAnsi="Arial"/>
          <w:sz w:val="16"/>
          <w:szCs w:val="16"/>
          <w:color w:val="auto"/>
        </w:rPr>
        <w:t>Amount due shall be converted and/or redeemed by the Company on the applicable Installment Date, subject to the provisions of this Section 8, provided further that the Company shall not be entitled to effect a Company Conversion with respect to any portion of such Installment Amount and shall be required to elect and to pay the entire amount of such Installment Amount in cash pursuant to a Company Redemption if on the applicable Installment Notice Due Date or on the applicable Installment Date (as the case may be) there is an Equity Conditions Failure, except that a Company Conversion may still occur on the</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700" w:top="280" w:right="279" w:bottom="1440" w:gutter="0" w:footer="0" w:header="0"/>
        </w:sectPr>
      </w:pPr>
    </w:p>
    <w:bookmarkStart w:id="62" w:name="page63"/>
    <w:bookmarkEnd w:id="6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Installment Date in accordance with Section 8(c) with the written consent of the Holder if the Company properly elected a Company Conversion with respect to such Installment Date, provided further that, notwithstanding the foregoing, if (i) the Company has elected to effect a Company Conversion pursuant to this Section 8 with respect to the applicable Installment Date, (ii) the Company is permitted pursuant to this Section 8 to effect such Company Conversion on such Installment Date (without regard to any failure to satisfy Section 3(d)(i) of this Note in accordance with clause (iv) of the definition of “Equity Conditions”) and (iii) if such Company Conversion would otherwise violate Section 3(d)(i) of this Note, the Installment Amount of the Holder for such Installment Date shall be automatically reduced until such reduced Installment Amount would no longer result in a violation of Section 3(d)(i) if such Company Conversion were effected (the amount of such reduction is referred to herein as the “</w:t>
      </w:r>
      <w:r>
        <w:rPr>
          <w:rFonts w:ascii="Arial" w:cs="Arial" w:eastAsia="Arial" w:hAnsi="Arial"/>
          <w:sz w:val="16"/>
          <w:szCs w:val="16"/>
          <w:b w:val="1"/>
          <w:bCs w:val="1"/>
          <w:color w:val="auto"/>
        </w:rPr>
        <w:t>Designated Specified Amount</w:t>
      </w:r>
      <w:r>
        <w:rPr>
          <w:rFonts w:ascii="Arial" w:cs="Arial" w:eastAsia="Arial" w:hAnsi="Arial"/>
          <w:sz w:val="16"/>
          <w:szCs w:val="16"/>
          <w:color w:val="auto"/>
        </w:rPr>
        <w:t>”), and such Designated Specified Amount shall be automatically deferred to the immediately subsequent Installment Date (or such other Installment Date as elected in a writing delivered to the Company by the Holder). For the avoidance of doubt, after giving effect to such reduction of the Designated Specified Amount, clause (iv) of the definition of “Equity Conditions” shall be deemed to be satisfied with respect to such Company Conversion.</w:t>
      </w:r>
    </w:p>
    <w:p>
      <w:pPr>
        <w:spacing w:after="0" w:line="46" w:lineRule="exact"/>
        <w:rPr>
          <w:sz w:val="20"/>
          <w:szCs w:val="20"/>
          <w:color w:val="auto"/>
        </w:rPr>
      </w:pPr>
    </w:p>
    <w:p>
      <w:pPr>
        <w:ind w:firstLine="421"/>
        <w:spacing w:after="0" w:line="284" w:lineRule="auto"/>
        <w:tabs>
          <w:tab w:leader="none" w:pos="668"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Mechanics of Company Installment Payments</w:t>
      </w:r>
      <w:r>
        <w:rPr>
          <w:rFonts w:ascii="Arial" w:cs="Arial" w:eastAsia="Arial" w:hAnsi="Arial"/>
          <w:sz w:val="16"/>
          <w:szCs w:val="16"/>
          <w:color w:val="auto"/>
        </w:rPr>
        <w:t>. On or prior to the date which is the thirteenth (13</w:t>
      </w:r>
      <w:r>
        <w:rPr>
          <w:rFonts w:ascii="Arial" w:cs="Arial" w:eastAsia="Arial" w:hAnsi="Arial"/>
          <w:sz w:val="10"/>
          <w:szCs w:val="10"/>
          <w:color w:val="auto"/>
        </w:rPr>
        <w:t>th</w:t>
      </w:r>
      <w:r>
        <w:rPr>
          <w:rFonts w:ascii="Arial" w:cs="Arial" w:eastAsia="Arial" w:hAnsi="Arial"/>
          <w:sz w:val="16"/>
          <w:szCs w:val="16"/>
          <w:color w:val="auto"/>
        </w:rPr>
        <w:t>) Trading Day prior to each Installment Date (each, an “</w:t>
      </w:r>
      <w:r>
        <w:rPr>
          <w:rFonts w:ascii="Arial" w:cs="Arial" w:eastAsia="Arial" w:hAnsi="Arial"/>
          <w:sz w:val="16"/>
          <w:szCs w:val="16"/>
          <w:b w:val="1"/>
          <w:bCs w:val="1"/>
          <w:color w:val="auto"/>
        </w:rPr>
        <w:t>Installment Notice Due Date</w:t>
      </w:r>
      <w:r>
        <w:rPr>
          <w:rFonts w:ascii="Arial" w:cs="Arial" w:eastAsia="Arial" w:hAnsi="Arial"/>
          <w:sz w:val="16"/>
          <w:szCs w:val="16"/>
          <w:color w:val="auto"/>
        </w:rPr>
        <w:t>”), the Company shall deliver written notice (each, a “</w:t>
      </w:r>
      <w:r>
        <w:rPr>
          <w:rFonts w:ascii="Arial" w:cs="Arial" w:eastAsia="Arial" w:hAnsi="Arial"/>
          <w:sz w:val="16"/>
          <w:szCs w:val="16"/>
          <w:b w:val="1"/>
          <w:bCs w:val="1"/>
          <w:color w:val="auto"/>
        </w:rPr>
        <w:t>Company Installment Notice</w:t>
      </w:r>
      <w:r>
        <w:rPr>
          <w:rFonts w:ascii="Arial" w:cs="Arial" w:eastAsia="Arial" w:hAnsi="Arial"/>
          <w:sz w:val="16"/>
          <w:szCs w:val="16"/>
          <w:color w:val="auto"/>
        </w:rPr>
        <w:t>” and the date all of the holders receive such notice is referred to as to the “</w:t>
      </w:r>
      <w:r>
        <w:rPr>
          <w:rFonts w:ascii="Arial" w:cs="Arial" w:eastAsia="Arial" w:hAnsi="Arial"/>
          <w:sz w:val="16"/>
          <w:szCs w:val="16"/>
          <w:b w:val="1"/>
          <w:bCs w:val="1"/>
          <w:color w:val="auto"/>
        </w:rPr>
        <w:t>Company Installment Notice Date</w:t>
      </w:r>
      <w:r>
        <w:rPr>
          <w:rFonts w:ascii="Arial" w:cs="Arial" w:eastAsia="Arial" w:hAnsi="Arial"/>
          <w:sz w:val="16"/>
          <w:szCs w:val="16"/>
          <w:color w:val="auto"/>
        </w:rPr>
        <w:t>”), to each holder of Notes and such Company Installment Notice shall (i) either (A) confirm that the applicable Installment Amount of such holder’s Note shall be converted in whole pursuant to a Company Conversion or (B) (1) state that the Company elects to redeem, or is required to elect and redeem in accordance with the provisions of the Notes, in whole or in part, the applicable Installment Amount pursuant to a Company Redemption and (2) specify the portion of the applicable Installment Amount which the Company elects, or is required to elect and redeem, pursuant to a Company Redemption (such amount to be redeemed in cash, the “</w:t>
      </w:r>
      <w:r>
        <w:rPr>
          <w:rFonts w:ascii="Arial" w:cs="Arial" w:eastAsia="Arial" w:hAnsi="Arial"/>
          <w:sz w:val="16"/>
          <w:szCs w:val="16"/>
          <w:b w:val="1"/>
          <w:bCs w:val="1"/>
          <w:color w:val="auto"/>
        </w:rPr>
        <w:t>Company Redemption Amount</w:t>
      </w:r>
      <w:r>
        <w:rPr>
          <w:rFonts w:ascii="Arial" w:cs="Arial" w:eastAsia="Arial" w:hAnsi="Arial"/>
          <w:sz w:val="16"/>
          <w:szCs w:val="16"/>
          <w:color w:val="auto"/>
        </w:rPr>
        <w:t>”) and the portion of the applicable Installment Amount, if any, with respect to which the Company will, and is permitted to, effect a Company Conversion (such amount of the applicable Installment Amount so specified to be so converted pursuant to this Section 8 (subject to adjustment pursuant to Section 8(f) below) is referred to herein as the “</w:t>
      </w:r>
      <w:r>
        <w:rPr>
          <w:rFonts w:ascii="Arial" w:cs="Arial" w:eastAsia="Arial" w:hAnsi="Arial"/>
          <w:sz w:val="16"/>
          <w:szCs w:val="16"/>
          <w:b w:val="1"/>
          <w:bCs w:val="1"/>
          <w:color w:val="auto"/>
        </w:rPr>
        <w:t>Company Conversion Amount</w:t>
      </w:r>
      <w:r>
        <w:rPr>
          <w:rFonts w:ascii="Arial" w:cs="Arial" w:eastAsia="Arial" w:hAnsi="Arial"/>
          <w:sz w:val="16"/>
          <w:szCs w:val="16"/>
          <w:color w:val="auto"/>
        </w:rPr>
        <w:t>”), which amounts when added together, must equal the entire applicable Installment Amount, (ii) specify whether any Additional Installment Amounts (as defined below) with respect to such Installment Date will be converted pursuant to a Company Conversion or, at the sole election of the Company, paid pursuant to a Company Redemption, in accordance with this Section 8(b) and Section 8(f) below, and (iii) if the applicable Installment Amount is to be paid, in whole or in part, pursuant to a Company Conversion, certify that there is not then an Equity Conditions Failure as of the date of the applicable Company Installment Notice. Each Company Installment Notice shall be irrevocable and may not be revoked by the Company. If the Company elects not to deliver, or any Company Installment Notice is not timely delivered, a Company Installment Notice in accordance with this Section 8 with respect to a particular Installment Date, then the Company shall be deemed to have delivered an irrevocable Company Installment Notice confirming a</w:t>
      </w:r>
    </w:p>
    <w:p>
      <w:pPr>
        <w:spacing w:after="0" w:line="11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80"/>
          </w:cols>
          <w:pgMar w:left="1160" w:top="280" w:right="259" w:bottom="1440" w:gutter="0" w:footer="0" w:header="0"/>
        </w:sectPr>
      </w:pPr>
    </w:p>
    <w:bookmarkStart w:id="63" w:name="page64"/>
    <w:bookmarkEnd w:id="63"/>
    <w:p>
      <w:pPr>
        <w:ind w:left="460" w:right="4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Conversion of the entire Installment Amount payable on such Installment Date and shall be deemed to have certified that there is not then an Equity Conditions Failure on the applicable Installment Notice Due Date and the applicable Installment Date. For the avoidance of doubt, no failure to deliver a Company Installment Notice will result in an Event of Default to the extent that, pursuant to this Section 8(b), the Company is permitted to elect a Company Conversion with respect to such Installment Date. Except as expressly provided in this Section 8(b), the Company shall convert and/or redeem the applicable Installment Amount of this Note pursuant to this Section 8 and the corresponding Installment Amounts of the Other Notes pursuant to the corresponding provisions of the Other Notes in the same ratio of the applicable Installment Amount being converted and/or redeemed hereunder. The applicable Company Conversion Amount (whether set forth in the applicable Company Installment Notice or by operation of this Section 8) shall be converted in accordance with Section 8(c) and the applicable Company Redemption Amount shall be redeemed in accordance with Section 8(d). No later than three (3) Trading Days after delivery of the applicable Company Installment Notice setting forth a Company Conversion Amount, the Company shall deliver to the Holder’s account with DTC such number of shares of Common Stock (the “</w:t>
      </w:r>
      <w:r>
        <w:rPr>
          <w:rFonts w:ascii="Arial" w:cs="Arial" w:eastAsia="Arial" w:hAnsi="Arial"/>
          <w:sz w:val="15"/>
          <w:szCs w:val="15"/>
          <w:b w:val="1"/>
          <w:bCs w:val="1"/>
          <w:color w:val="auto"/>
        </w:rPr>
        <w:t>Pre-Installment Conversion Shares</w:t>
      </w:r>
      <w:r>
        <w:rPr>
          <w:rFonts w:ascii="Arial" w:cs="Arial" w:eastAsia="Arial" w:hAnsi="Arial"/>
          <w:sz w:val="15"/>
          <w:szCs w:val="15"/>
          <w:color w:val="auto"/>
        </w:rPr>
        <w:t>”) equal to the quotient of (x) such Company Conversion Amount divided by (y) the Pre-Installment Period</w:t>
      </w:r>
      <w:r>
        <w:rPr>
          <w:rFonts w:ascii="Arial" w:cs="Arial" w:eastAsia="Arial" w:hAnsi="Arial"/>
          <w:sz w:val="15"/>
          <w:szCs w:val="15"/>
          <w:b w:val="1"/>
          <w:bCs w:val="1"/>
          <w:color w:val="auto"/>
        </w:rPr>
        <w:t xml:space="preserve"> </w:t>
      </w:r>
      <w:r>
        <w:rPr>
          <w:rFonts w:ascii="Arial" w:cs="Arial" w:eastAsia="Arial" w:hAnsi="Arial"/>
          <w:sz w:val="15"/>
          <w:szCs w:val="15"/>
          <w:color w:val="auto"/>
        </w:rPr>
        <w:t>Conversion Price, and as to which the Holder shall be the owner thereof as of such time of delivery or deemed delivery (as the case may be) of such Company Installment Notice. Except as expressly provided in this Section 8(b), the Company shall convert and/or redeem the applicable Installment Amount of this Note pursuant to this Section 8 and the corresponding Installment Amounts of the Other Notes pursuant to the corresponding provisions of the Other Notes in the same ratio of the applicable Installment Amount being converted and/or redeemed hereunder. The applicable Company Conversion Amount (whether set forth in the applicable Company Installment Notice or by operation of this Section 8) shall be converted in accordance with Section 8(c) and the applicable Company Redemption Amount shall be redeemed in accordance with Section 8(d).</w:t>
      </w:r>
    </w:p>
    <w:p>
      <w:pPr>
        <w:spacing w:after="0" w:line="247" w:lineRule="exact"/>
        <w:rPr>
          <w:sz w:val="20"/>
          <w:szCs w:val="20"/>
          <w:color w:val="auto"/>
        </w:rPr>
      </w:pPr>
    </w:p>
    <w:p>
      <w:pPr>
        <w:ind w:firstLine="443"/>
        <w:spacing w:after="0" w:line="286" w:lineRule="auto"/>
        <w:tabs>
          <w:tab w:leader="none" w:pos="67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Mechanics of Company Conversion</w:t>
      </w:r>
      <w:r>
        <w:rPr>
          <w:rFonts w:ascii="Arial" w:cs="Arial" w:eastAsia="Arial" w:hAnsi="Arial"/>
          <w:sz w:val="16"/>
          <w:szCs w:val="16"/>
          <w:color w:val="auto"/>
        </w:rPr>
        <w:t>. Subject to Section 3(d), if the Company delivers a Company Installment Notice and elects, or is deemed to have delivered a Company Installment Notice and deemed to have elected, in whole or in part, a Company Conversion in accordance with Section 8(b), then the remainder of this Section 8(c) shall apply. The applicable Company Conversion Amount, if any, which remains outstanding as of the applicable Installment Date shall be converted as of the applicable Installment Date by converting on such Installment Date such Company Conversion Amount at the Company Conversion Price and the Company shall (subject to the reduction contemplated by the immediately following sentence and, if applicable, the last sentence of this Section 8(c)), on the applicable Installment Date (1) provided that the Transfer Agent is participating in DTC’s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(via reputable overnight courier) to the address as specified in the Conversion Notice, a certificate, registered in the name of the Holder or its designee, for the number of shares of Common Stock to which the Holder shall be entitled; provided that there is no Equity Conditions Failure as</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80" w:right="239" w:bottom="1440" w:gutter="0" w:footer="0" w:header="0"/>
        </w:sectPr>
      </w:pPr>
    </w:p>
    <w:bookmarkStart w:id="64" w:name="page65"/>
    <w:bookmarkEnd w:id="64"/>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such Installment Date and a Company Conversion is not otherwise prohibited under any other provision of this Note. The number of shares of Common Stock to be delivered upon such Company Conversion shall be reduced by the number of any Pre-Installment Conversion Shares delivered in connection with such Installment Date. Notwithstanding anything herein to the contrary, with respect to any Installment Date other than the Maturity Date, if the number of Pre-Installment Conversion Shares delivered in connection with such Installment Date exceeds the Installment Conversion Shares required to be delivered in connection with such Installment Date, the Company’s obligation to deliver Pre-Installment Conversion Shares in connection with the immediately subsequent Installment Date, if any, shall be reduced by such excess number of shares of Common Stock (which, for purposes of this Section 8, shall be deemed to have been timely and properly delivered as Pre-Installment Conversion Shares for such immediately subsequent Installment Date). Notwithstanding anything herein to the contrary, if the number of Pre-Installment Conversion Shares delivered in connection with the Maturity Date exceeds the Installment Conversion Shares required to be delivered on the Maturity Date, the Holder shall return the excess number of shares of Common Stock delivered in connection with the Maturity Date. If an Event of Default occurs during any period from the delivery of the Company Installment Notice to the Installment Date, then either (i) the Holder shall return any Pre-Installment Conversion Shares delivered in connection with the applicable Installment Date or (ii) the Conversion Amount used to calculate the Event of Default Redemption Price shall be reduced by the product of (x) the Company Conversion Amount applicable to such Installment Date multiplied by (y) the Conversion Share Ratio (as defined below). If there is an Equity Conditions Failure as of such Installment Date or a Company Conversion is not otherwise permitted under any other provision of this Note, then (i) the Holder may, by written notice to the Company, require the Company to redeem in cash all or any part of the Company Conversion Amount as designated by the Holder (the “</w:t>
      </w:r>
      <w:r>
        <w:rPr>
          <w:rFonts w:ascii="Arial" w:cs="Arial" w:eastAsia="Arial" w:hAnsi="Arial"/>
          <w:sz w:val="16"/>
          <w:szCs w:val="16"/>
          <w:b w:val="1"/>
          <w:bCs w:val="1"/>
          <w:color w:val="auto"/>
        </w:rPr>
        <w:t>Designated Redemption Amount</w:t>
      </w:r>
      <w:r>
        <w:rPr>
          <w:rFonts w:ascii="Arial" w:cs="Arial" w:eastAsia="Arial" w:hAnsi="Arial"/>
          <w:sz w:val="16"/>
          <w:szCs w:val="16"/>
          <w:color w:val="auto"/>
        </w:rPr>
        <w:t>”) and the Company shall pay to the Holder within three (3) Trading Days of such Installment Date, by wire transfer of immediately available funds, an amount in cash equal to 125% of such Designated Redemption Amount, and/or (ii) the Company Conversion shall be null and void with respect to all or any part designated by the Holder of the unconverted Company Conversion Amount and the Holder shall be entitled to all the rights of a holder of this Note with respect to such designated part of the Company Conversion Amount; provided, however, the Conversion Price for such designated part of such unconverted Company Conversion Amount shall thereafter be adjusted to equal the lesser of (A) the Company Conversion Price as in effect on the date on which the Holder voided the Company Conversion and (B) the Company Conversion Price that will be in effect on the date on which the Holder delivers a Conversion Notice relating thereto as if such date was an Installment Date. In addition, if any of the Equity Conditions are not satisfied (or waived in writing by the Holder) on such Installment Date or a Company Conversion is not otherwise permitted under any other provision of this Note, then, at the Holder’s option, either (I) the Holder shall return any Pre-Installment Conversion Shares delivered in connection with the applicable Installment Date or (II) the applicable Designated Redemption Amount shall be reduced by the product of (X) the Company Conversion Amount applicable to such Installment Date multiplied by (Y) the Conversion Share Ratio. If the Company fails to redeem any Designated Redemption Amount by the third (3</w:t>
      </w:r>
      <w:r>
        <w:rPr>
          <w:rFonts w:ascii="Arial" w:cs="Arial" w:eastAsia="Arial" w:hAnsi="Arial"/>
          <w:sz w:val="10"/>
          <w:szCs w:val="10"/>
          <w:color w:val="auto"/>
        </w:rPr>
        <w:t>rd</w:t>
      </w:r>
      <w:r>
        <w:rPr>
          <w:rFonts w:ascii="Arial" w:cs="Arial" w:eastAsia="Arial" w:hAnsi="Arial"/>
          <w:sz w:val="16"/>
          <w:szCs w:val="16"/>
          <w:color w:val="auto"/>
        </w:rPr>
        <w:t>) Trading Day following the applicable Installment Date by payment of such amount on the applicable Installment Date, then the Holder shall have</w:t>
      </w:r>
    </w:p>
    <w:p>
      <w:pPr>
        <w:spacing w:after="0" w:line="1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80" w:right="239" w:bottom="1440" w:gutter="0" w:footer="0" w:header="0"/>
        </w:sectPr>
      </w:pPr>
    </w:p>
    <w:bookmarkStart w:id="65" w:name="page66"/>
    <w:bookmarkEnd w:id="6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rights set forth in Section 11(a) as if the Company failed to pay the applicable Company Installment Redemption Price (as defined below) and all other rights under this Note (including, without limitation, such failure constituting an Event of Default described in Section 4(a)(xiii)). Notwithstanding anything to the contrary in this Section 8(c), but subject to Section 3(d), until the Company delivers Common Stock representing the Company Conversion Amount to the Holder, the Company Conversion Amount may be converted by the Holder into Common Stock pursuant to Section 3. In the event that the Holder elects to convert the Company Conversion Amount prior to the applicable Installment Date as set forth in the immediately preceding sentence, the Company Conversion Amount so converted shall be deducted from the Installment Amount(s) relating to the applicable Installment Date(s) as set forth in the applicable Conversion Notice. The Company shall pay any and all taxes that may be payable with respect to the issuance and delivery of any shares of Common Stock in any Company Conversion hereunder. The Company shall not, however, be required to pay any such tax which may be payable in respect of any transfer involved in the issue and delivery of Common Stock in any name other than that of the Holder of this Note.</w:t>
      </w:r>
    </w:p>
    <w:p>
      <w:pPr>
        <w:spacing w:after="0" w:line="39" w:lineRule="exact"/>
        <w:rPr>
          <w:sz w:val="20"/>
          <w:szCs w:val="20"/>
          <w:color w:val="auto"/>
        </w:rPr>
      </w:pPr>
    </w:p>
    <w:p>
      <w:pPr>
        <w:ind w:right="40" w:firstLine="443"/>
        <w:spacing w:after="0" w:line="285" w:lineRule="auto"/>
        <w:tabs>
          <w:tab w:leader="none" w:pos="68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Mechanics of Company Redemption</w:t>
      </w:r>
      <w:r>
        <w:rPr>
          <w:rFonts w:ascii="Arial" w:cs="Arial" w:eastAsia="Arial" w:hAnsi="Arial"/>
          <w:sz w:val="16"/>
          <w:szCs w:val="16"/>
          <w:color w:val="auto"/>
        </w:rPr>
        <w:t>. If the Company elects, or is required to elect, a Company Redemption, in whole or in part, in accordance with Section 8(b), then the Company Redemption Amount, if any, which is to be paid to the Holder on the applicable Installment Date shall be redeemed by the Company on such Installment Date in an amount of cash, and the Company shall pay to the Holder on such Installment Date, by wire transfer of immediately available funds an amount, equal to the applicable Company Redemption Amount (the “</w:t>
      </w:r>
      <w:r>
        <w:rPr>
          <w:rFonts w:ascii="Arial" w:cs="Arial" w:eastAsia="Arial" w:hAnsi="Arial"/>
          <w:sz w:val="16"/>
          <w:szCs w:val="16"/>
          <w:b w:val="1"/>
          <w:bCs w:val="1"/>
          <w:color w:val="auto"/>
        </w:rPr>
        <w:t>Company Installment Redemption Price</w:t>
      </w:r>
      <w:r>
        <w:rPr>
          <w:rFonts w:ascii="Arial" w:cs="Arial" w:eastAsia="Arial" w:hAnsi="Arial"/>
          <w:sz w:val="16"/>
          <w:szCs w:val="16"/>
          <w:color w:val="auto"/>
        </w:rPr>
        <w:t>”). If the Company fails to redeem the applicable Company Redemption Amount on the applicable Installment Date by payment of the Company Installment Redemption Price on such date, then, at the option of the Holder designated in writing to the Company on or prior to such Installment Date (any such designation shall be a “Conversion Notice” for purposes of this Note), the Holder may require the Company to convert all or any part of the Company Redemption Amount at the Company Conversion Price (determined as of the date of such designation as if such date were an Installment Date). Conversions required by this Section 8(d) shall be made in accordance with the provisions of Section 3(c). Notwithstanding anything to the contrary in this Section 8(d), but subject to Section 3(d), until the Company Installment Redemption Price is paid in full, the Company Redemption Amount may be converted, in whole or in part, by the Holder into Common Stock pursuant to Section 3. In the event the Holder elects to convert all or any portion of the Company Redemption Amount prior to the applicable Installment Date as set forth in the immediately preceding sentence, the Company Redemption Amount so converted shall be deducted from the Installment Amounts relating to the applicable Installment Date(s) as set forth in the applicable Conversion Notice. Redemptions required by this Section 8(d) shall be made in accordance with the provisions of Section 11.</w:t>
      </w:r>
    </w:p>
    <w:p>
      <w:pPr>
        <w:spacing w:after="0" w:line="47" w:lineRule="exact"/>
        <w:rPr>
          <w:rFonts w:ascii="Arial" w:cs="Arial" w:eastAsia="Arial" w:hAnsi="Arial"/>
          <w:sz w:val="16"/>
          <w:szCs w:val="16"/>
          <w:color w:val="auto"/>
        </w:rPr>
      </w:pPr>
    </w:p>
    <w:p>
      <w:pPr>
        <w:ind w:firstLine="443"/>
        <w:spacing w:after="0" w:line="256" w:lineRule="auto"/>
        <w:tabs>
          <w:tab w:leader="none" w:pos="67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Deferred Installment Amount</w:t>
      </w:r>
      <w:r>
        <w:rPr>
          <w:rFonts w:ascii="Arial" w:cs="Arial" w:eastAsia="Arial" w:hAnsi="Arial"/>
          <w:sz w:val="18"/>
          <w:szCs w:val="18"/>
          <w:color w:val="auto"/>
        </w:rPr>
        <w:t>. Notwithstanding any provision of this Section 8 to the contrary, the Holder may, at its option and in its sole discretion, deliver a written notice to the Company no later than the eleventh (11</w:t>
      </w:r>
      <w:r>
        <w:rPr>
          <w:rFonts w:ascii="Arial" w:cs="Arial" w:eastAsia="Arial" w:hAnsi="Arial"/>
          <w:sz w:val="11"/>
          <w:szCs w:val="11"/>
          <w:color w:val="auto"/>
        </w:rPr>
        <w:t>th</w:t>
      </w:r>
      <w:r>
        <w:rPr>
          <w:rFonts w:ascii="Arial" w:cs="Arial" w:eastAsia="Arial" w:hAnsi="Arial"/>
          <w:sz w:val="18"/>
          <w:szCs w:val="18"/>
          <w:color w:val="auto"/>
        </w:rPr>
        <w:t>) Trading Day prior to the applicable Installment Date (the “</w:t>
      </w:r>
      <w:r>
        <w:rPr>
          <w:rFonts w:ascii="Arial" w:cs="Arial" w:eastAsia="Arial" w:hAnsi="Arial"/>
          <w:sz w:val="18"/>
          <w:szCs w:val="18"/>
          <w:b w:val="1"/>
          <w:bCs w:val="1"/>
          <w:color w:val="auto"/>
        </w:rPr>
        <w:t>Installment</w:t>
      </w:r>
      <w:r>
        <w:rPr>
          <w:rFonts w:ascii="Arial" w:cs="Arial" w:eastAsia="Arial" w:hAnsi="Arial"/>
          <w:sz w:val="18"/>
          <w:szCs w:val="18"/>
          <w:color w:val="auto"/>
        </w:rPr>
        <w:t xml:space="preserve"> </w:t>
      </w:r>
      <w:r>
        <w:rPr>
          <w:rFonts w:ascii="Arial" w:cs="Arial" w:eastAsia="Arial" w:hAnsi="Arial"/>
          <w:sz w:val="18"/>
          <w:szCs w:val="18"/>
          <w:b w:val="1"/>
          <w:bCs w:val="1"/>
          <w:color w:val="auto"/>
        </w:rPr>
        <w:t>Notification Deadline Date</w:t>
      </w:r>
      <w:r>
        <w:rPr>
          <w:rFonts w:ascii="Arial" w:cs="Arial" w:eastAsia="Arial" w:hAnsi="Arial"/>
          <w:sz w:val="18"/>
          <w:szCs w:val="18"/>
          <w:color w:val="auto"/>
        </w:rPr>
        <w:t>”) electing to have the payment of all or any portion of an Installment Amount payable on such Installment Date deferred (such</w:t>
      </w:r>
      <w:r>
        <w:rPr>
          <w:rFonts w:ascii="Arial" w:cs="Arial" w:eastAsia="Arial" w:hAnsi="Arial"/>
          <w:sz w:val="18"/>
          <w:szCs w:val="18"/>
          <w:b w:val="1"/>
          <w:bCs w:val="1"/>
          <w:color w:val="auto"/>
        </w:rPr>
        <w:t xml:space="preserve"> </w:t>
      </w:r>
      <w:r>
        <w:rPr>
          <w:rFonts w:ascii="Arial" w:cs="Arial" w:eastAsia="Arial" w:hAnsi="Arial"/>
          <w:sz w:val="18"/>
          <w:szCs w:val="18"/>
          <w:color w:val="auto"/>
        </w:rPr>
        <w:t>amount deferred, the “</w:t>
      </w:r>
      <w:r>
        <w:rPr>
          <w:rFonts w:ascii="Arial" w:cs="Arial" w:eastAsia="Arial" w:hAnsi="Arial"/>
          <w:sz w:val="18"/>
          <w:szCs w:val="18"/>
          <w:b w:val="1"/>
          <w:bCs w:val="1"/>
          <w:color w:val="auto"/>
        </w:rPr>
        <w:t>Deferral Amount</w:t>
      </w:r>
      <w:r>
        <w:rPr>
          <w:rFonts w:ascii="Arial" w:cs="Arial" w:eastAsia="Arial" w:hAnsi="Arial"/>
          <w:sz w:val="18"/>
          <w:szCs w:val="18"/>
          <w:color w:val="auto"/>
        </w:rPr>
        <w:t>”) until any</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80" w:right="259" w:bottom="1440" w:gutter="0" w:footer="0" w:header="0"/>
        </w:sectPr>
      </w:pPr>
    </w:p>
    <w:bookmarkStart w:id="66" w:name="page67"/>
    <w:bookmarkEnd w:id="66"/>
    <w:p>
      <w:pPr>
        <w:jc w:val="both"/>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subsequent Installment Date selected by the Holder, in its sole discretion, in which case, the Deferral Amount shall be added to, and become part of, such subsequent Installment Amount and such Deferral Amount shall continue to accrue Interest hereunder. Any notice delivered by the Holder pursuant to this Section 8(d) shall set forth (i) the Deferral Amount and (ii) the date that such Deferral Amount shall now be payable.</w:t>
      </w:r>
    </w:p>
    <w:p>
      <w:pPr>
        <w:spacing w:after="0" w:line="26" w:lineRule="exact"/>
        <w:rPr>
          <w:sz w:val="20"/>
          <w:szCs w:val="20"/>
          <w:color w:val="auto"/>
        </w:rPr>
      </w:pPr>
    </w:p>
    <w:p>
      <w:pPr>
        <w:ind w:firstLine="443"/>
        <w:spacing w:after="0" w:line="284" w:lineRule="auto"/>
        <w:tabs>
          <w:tab w:leader="none" w:pos="657"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Additional Installment Amounts</w:t>
      </w:r>
      <w:r>
        <w:rPr>
          <w:rFonts w:ascii="Arial" w:cs="Arial" w:eastAsia="Arial" w:hAnsi="Arial"/>
          <w:sz w:val="16"/>
          <w:szCs w:val="16"/>
          <w:color w:val="auto"/>
        </w:rPr>
        <w:t>. Notwithstanding any provision of this Section 8 to the contrary, following the earlier of (x) the initial Effectiveness Deadline (as defined in the Registration Rights Agreement) and (y) the effective date of the Initial Registration Statement registering the resale of the Required Initial Registration Amount (as defined in the Registration Rights Agreement), no later than the applicable Installment Notification Deadline Date, the Holder may, at its option and in its sole discretion, increase the Installment Amount then in effect with respect to such Installment Date to an amount not to exceed (together with the Installment Amount set forth in the applicable Company Installment Notice) the outstanding principal amount of this Note then outstanding (such additional amount, the “</w:t>
      </w:r>
      <w:r>
        <w:rPr>
          <w:rFonts w:ascii="Arial" w:cs="Arial" w:eastAsia="Arial" w:hAnsi="Arial"/>
          <w:sz w:val="16"/>
          <w:szCs w:val="16"/>
          <w:b w:val="1"/>
          <w:bCs w:val="1"/>
          <w:color w:val="auto"/>
        </w:rPr>
        <w:t>Additional Installment Amount</w:t>
      </w:r>
      <w:r>
        <w:rPr>
          <w:rFonts w:ascii="Arial" w:cs="Arial" w:eastAsia="Arial" w:hAnsi="Arial"/>
          <w:sz w:val="16"/>
          <w:szCs w:val="16"/>
          <w:color w:val="auto"/>
        </w:rPr>
        <w:t>”) by delivery of written notice to the Company on or prior to the Installment Notification Deadline Date (each, an “</w:t>
      </w:r>
      <w:r>
        <w:rPr>
          <w:rFonts w:ascii="Arial" w:cs="Arial" w:eastAsia="Arial" w:hAnsi="Arial"/>
          <w:sz w:val="16"/>
          <w:szCs w:val="16"/>
          <w:b w:val="1"/>
          <w:bCs w:val="1"/>
          <w:color w:val="auto"/>
        </w:rPr>
        <w:t>Additional Installment Notice</w:t>
      </w:r>
      <w:r>
        <w:rPr>
          <w:rFonts w:ascii="Arial" w:cs="Arial" w:eastAsia="Arial" w:hAnsi="Arial"/>
          <w:sz w:val="16"/>
          <w:szCs w:val="16"/>
          <w:color w:val="auto"/>
        </w:rPr>
        <w:t>”, and such date, the “</w:t>
      </w:r>
      <w:r>
        <w:rPr>
          <w:rFonts w:ascii="Arial" w:cs="Arial" w:eastAsia="Arial" w:hAnsi="Arial"/>
          <w:sz w:val="16"/>
          <w:szCs w:val="16"/>
          <w:b w:val="1"/>
          <w:bCs w:val="1"/>
          <w:color w:val="auto"/>
        </w:rPr>
        <w:t>Additional Installment Notice Date</w:t>
      </w:r>
      <w:r>
        <w:rPr>
          <w:rFonts w:ascii="Arial" w:cs="Arial" w:eastAsia="Arial" w:hAnsi="Arial"/>
          <w:sz w:val="16"/>
          <w:szCs w:val="16"/>
          <w:color w:val="auto"/>
        </w:rPr>
        <w:t>”) setting forth (i) such Additional Installment Amount and (ii) specifying the extent one or more Installment Amount(s) related to such other Installment Date(s) shall be reduced as a result therefrom. In each Company Installment Notice, the Company shall elect to have any Additional Installment Amounts with respect to the applicable Installment Date converted into Common Stock pursuant to a Company Conversion hereunder (it being understood and agreed that the delivery of a valid Additional Installment Notice must include a representation that, after giving effect to the conversion of such Additional Installment Amount, the Holder will not have direct or indirect beneficial ownership of a number of shares of Common Stock which exceeds the Maximum Percentage as of the date of such Additional Installment Notice and, to the extent the Company delivers a notice to the Holder that any of the Equity Conditions have not been met, all such Equity Conditions shall be deemed to be automatically waived by such Holder solely with respect to the shares of Common Stock to be delivered in connection with such Additional Installment Notice unless the Holder delivers a subsequent written notice to the Company electing to revoke, cancel or terminate such Additional Installment Notice (in which case such Additional Installment Notice shall be null and void and in no further force and effect and, if applicable, the Holder shall promptly return such number of shares of Common Stock previously delivered to the Holder in connection with such Additional Installment Notice)) or shall elect to pay such Additional Installment Amounts for such Installment Date in a Company Redemption; provided, that the failure to deliver a Company Installment Notice with respect to an Installment Date shall be deemed to be an election by the Company to effect a Company Conversion with respect to any Additional Installment Amounts with respect to such Installment Date and will not result in a default hereunder. If the Company elects to pay Additional Installment Amounts in cash, the applicable Company Redemption Amount in effect for such Installment Date shall be deemed to have been automatically increased by an amount equal to such Additional Installment Amount for all purposes hereunder. If the Company elects or is deemed to have elected to cause the Additional Installment Amounts to be converted into Common Stock in a Company Conversion, from and after each Additional Installment Notice Date, the applicable</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700" w:top="280" w:right="239" w:bottom="1440" w:gutter="0" w:footer="0" w:header="0"/>
        </w:sectPr>
      </w:pPr>
    </w:p>
    <w:bookmarkStart w:id="67" w:name="page68"/>
    <w:bookmarkEnd w:id="67"/>
    <w:p>
      <w:pPr>
        <w:ind w:left="440"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Conversion Amount in effect for such Installment Date shall be deemed to have been automatically increased by an amount equal to such Additional Installment Amount for all purposes hereunder. Notwithstanding anything herein to the contrary, during the period commencing on an Installment Date (a “</w:t>
      </w:r>
      <w:r>
        <w:rPr>
          <w:rFonts w:ascii="Arial" w:cs="Arial" w:eastAsia="Arial" w:hAnsi="Arial"/>
          <w:sz w:val="18"/>
          <w:szCs w:val="18"/>
          <w:b w:val="1"/>
          <w:bCs w:val="1"/>
          <w:color w:val="auto"/>
        </w:rPr>
        <w:t>Current Installment Date</w:t>
      </w:r>
      <w:r>
        <w:rPr>
          <w:rFonts w:ascii="Arial" w:cs="Arial" w:eastAsia="Arial" w:hAnsi="Arial"/>
          <w:sz w:val="18"/>
          <w:szCs w:val="18"/>
          <w:color w:val="auto"/>
        </w:rPr>
        <w:t xml:space="preserve">”) and ending on the Trading Day immediately prior to the Installment Notice Due Date with respect to the next Installment Date, at the option of the Holder, at one or more times, the Holder may convert other Installment Amounts, in whole or in part, at the Company Conversion Price of such Current Installment Date in accordance with the conversion procedures set forth in Section 3 hereunder,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63" w:lineRule="exact"/>
        <w:rPr>
          <w:sz w:val="20"/>
          <w:szCs w:val="20"/>
          <w:color w:val="auto"/>
        </w:rPr>
      </w:pPr>
    </w:p>
    <w:p>
      <w:pPr>
        <w:ind w:left="440" w:firstLine="443"/>
        <w:spacing w:after="0" w:line="286" w:lineRule="auto"/>
        <w:tabs>
          <w:tab w:leader="none" w:pos="1127"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Company and the Holder agree that provided that the Equity Conditions (other than the Section 31(r)(x) of the definition thereof) are satisfied on the Exchange Date and the January 2013 Installment Date, the Holder agrees to (i) convert at least $2.5 million of the Installment Amount payable in respect of the January 2013 Installment Date (the “</w:t>
      </w:r>
      <w:r>
        <w:rPr>
          <w:rFonts w:ascii="Arial" w:cs="Arial" w:eastAsia="Arial" w:hAnsi="Arial"/>
          <w:sz w:val="16"/>
          <w:szCs w:val="16"/>
          <w:b w:val="1"/>
          <w:bCs w:val="1"/>
          <w:color w:val="auto"/>
        </w:rPr>
        <w:t>January Required Conversion Amount</w:t>
      </w:r>
      <w:r>
        <w:rPr>
          <w:rFonts w:ascii="Arial" w:cs="Arial" w:eastAsia="Arial" w:hAnsi="Arial"/>
          <w:sz w:val="16"/>
          <w:szCs w:val="16"/>
          <w:color w:val="auto"/>
        </w:rPr>
        <w:t>”) pursuant to a Company Conversion and (ii) defer the remainder of such January Installment Amount not so converted, one-half to the February 2013 Installment Date (the “</w:t>
      </w:r>
      <w:r>
        <w:rPr>
          <w:rFonts w:ascii="Arial" w:cs="Arial" w:eastAsia="Arial" w:hAnsi="Arial"/>
          <w:sz w:val="16"/>
          <w:szCs w:val="16"/>
          <w:b w:val="1"/>
          <w:bCs w:val="1"/>
          <w:color w:val="auto"/>
        </w:rPr>
        <w:t>February Deferred Amount</w:t>
      </w:r>
      <w:r>
        <w:rPr>
          <w:rFonts w:ascii="Arial" w:cs="Arial" w:eastAsia="Arial" w:hAnsi="Arial"/>
          <w:sz w:val="16"/>
          <w:szCs w:val="16"/>
          <w:color w:val="auto"/>
        </w:rPr>
        <w:t>”) and one-half to the March 2013 Installment Date (the “</w:t>
      </w:r>
      <w:r>
        <w:rPr>
          <w:rFonts w:ascii="Arial" w:cs="Arial" w:eastAsia="Arial" w:hAnsi="Arial"/>
          <w:sz w:val="16"/>
          <w:szCs w:val="16"/>
          <w:b w:val="1"/>
          <w:bCs w:val="1"/>
          <w:color w:val="auto"/>
        </w:rPr>
        <w:t>March Deferred Amount</w:t>
      </w:r>
      <w:r>
        <w:rPr>
          <w:rFonts w:ascii="Arial" w:cs="Arial" w:eastAsia="Arial" w:hAnsi="Arial"/>
          <w:sz w:val="16"/>
          <w:szCs w:val="16"/>
          <w:color w:val="auto"/>
        </w:rPr>
        <w:t>” and together with the February Deferred Amount, the “</w:t>
      </w:r>
      <w:r>
        <w:rPr>
          <w:rFonts w:ascii="Arial" w:cs="Arial" w:eastAsia="Arial" w:hAnsi="Arial"/>
          <w:sz w:val="16"/>
          <w:szCs w:val="16"/>
          <w:b w:val="1"/>
          <w:bCs w:val="1"/>
          <w:color w:val="auto"/>
        </w:rPr>
        <w:t>January</w:t>
      </w:r>
      <w:r>
        <w:rPr>
          <w:rFonts w:ascii="Arial" w:cs="Arial" w:eastAsia="Arial" w:hAnsi="Arial"/>
          <w:sz w:val="16"/>
          <w:szCs w:val="16"/>
          <w:color w:val="auto"/>
        </w:rPr>
        <w:t xml:space="preserve"> </w:t>
      </w:r>
      <w:r>
        <w:rPr>
          <w:rFonts w:ascii="Arial" w:cs="Arial" w:eastAsia="Arial" w:hAnsi="Arial"/>
          <w:sz w:val="16"/>
          <w:szCs w:val="16"/>
          <w:b w:val="1"/>
          <w:bCs w:val="1"/>
          <w:color w:val="auto"/>
        </w:rPr>
        <w:t>Deferred Amounts</w:t>
      </w:r>
      <w:r>
        <w:rPr>
          <w:rFonts w:ascii="Arial" w:cs="Arial" w:eastAsia="Arial" w:hAnsi="Arial"/>
          <w:sz w:val="16"/>
          <w:szCs w:val="16"/>
          <w:color w:val="auto"/>
        </w:rPr>
        <w:t>”). Provided that the Equity Conditions (other than the Section 31(r)(x) of the definition thereof) are satisfied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Installment Dates, the Holder agrees to convert the February Deferred Amount and the March Deferred Amount in connection with their respective Installment Dates pursuant to a Company Conversion. Notwithstanding the foregoing, the Company and the Holder agree that on the Exchange Date, at the Holder’s option, the Holder may submit a Conversion Notice for a Conversion Amount up to the January 2013 Installment Amount utilizing a Conversion Price equal to the Company Conversion Price applicable to the December 2012 Installment Date (the “</w:t>
      </w:r>
      <w:r>
        <w:rPr>
          <w:rFonts w:ascii="Arial" w:cs="Arial" w:eastAsia="Arial" w:hAnsi="Arial"/>
          <w:sz w:val="16"/>
          <w:szCs w:val="16"/>
          <w:b w:val="1"/>
          <w:bCs w:val="1"/>
          <w:color w:val="auto"/>
        </w:rPr>
        <w:t>Exchange Date Conversion Notice</w:t>
      </w:r>
      <w:r>
        <w:rPr>
          <w:rFonts w:ascii="Arial" w:cs="Arial" w:eastAsia="Arial" w:hAnsi="Arial"/>
          <w:sz w:val="16"/>
          <w:szCs w:val="16"/>
          <w:color w:val="auto"/>
        </w:rPr>
        <w:t>”). Any amount converted in connection with the Exchange Date Conversion Notice shall reduce, dollar-for-dollar, first from the January Required Conversion Amount and then from the January Deferred Amounts, pro rata, as applicable.</w:t>
      </w:r>
    </w:p>
    <w:p>
      <w:pPr>
        <w:spacing w:after="0" w:line="124" w:lineRule="exact"/>
        <w:rPr>
          <w:rFonts w:ascii="Arial" w:cs="Arial" w:eastAsia="Arial" w:hAnsi="Arial"/>
          <w:sz w:val="16"/>
          <w:szCs w:val="16"/>
          <w:color w:val="auto"/>
        </w:rPr>
      </w:pPr>
    </w:p>
    <w:p>
      <w:pPr>
        <w:ind w:left="-20" w:right="80" w:firstLine="464"/>
        <w:spacing w:after="0" w:line="288" w:lineRule="auto"/>
        <w:tabs>
          <w:tab w:leader="none" w:pos="612"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the Company (i) shall not increase the par value of any shares of Common Stock receivable upon conversion of this Note above the Conversion Price then in effect, (ii) shall take all such actions as may be reasonably necessary or appropriate in order that the Company may validly and legally issue fully paid and nonassessable shares of Common Stock upon the conversion of this Note, and (iii) shall, so long as any of the Notes are outstanding, take all action necessary to reserve and keep available out of its authorized and unissued shares of Common Stock, solely for the purpose of effecting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60" w:top="280" w:right="259" w:bottom="1440" w:gutter="0" w:footer="0" w:header="0"/>
        </w:sectPr>
      </w:pPr>
    </w:p>
    <w:bookmarkStart w:id="68" w:name="page69"/>
    <w:bookmarkEnd w:id="68"/>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conversion of the Notes, the maximum number of shares of Common Stock as shall from time to time be necessary to effect the conversion of the Notes then outstanding (without regard to any limitations on conversion).</w:t>
      </w:r>
    </w:p>
    <w:p>
      <w:pPr>
        <w:spacing w:after="0" w:line="132" w:lineRule="exact"/>
        <w:rPr>
          <w:sz w:val="20"/>
          <w:szCs w:val="20"/>
          <w:color w:val="auto"/>
        </w:rPr>
      </w:pPr>
    </w:p>
    <w:p>
      <w:pPr>
        <w:ind w:left="720" w:hanging="256"/>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RESERVATION OF AUTHORIZED SHARES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84" w:lineRule="auto"/>
        <w:tabs>
          <w:tab w:leader="none" w:pos="1137"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Reservation</w:t>
      </w:r>
      <w:r>
        <w:rPr>
          <w:rFonts w:ascii="Arial" w:cs="Arial" w:eastAsia="Arial" w:hAnsi="Arial"/>
          <w:sz w:val="16"/>
          <w:szCs w:val="16"/>
          <w:color w:val="auto"/>
        </w:rPr>
        <w:t>. The Company shall initially reserve out of its authorized and unissued Common Stock a number of shares of Common Stock equal to the sum of (i) 120% of the maximum number of Conversion Shares issued and issuable pursuant to the Notes (determined without taking into account any limitations on the conversion of the Notes set forth therein and assuming that the Notes are convertible at the initial Conversion Price and all Additional Notes issuable pursuant to the Securities Purchase Agreement have been issued), (ii) the maximum number of Interest Shares (as defined in the Securities Purchase Agreement) issued and issuable pursuant to the terms of the Notes from the Initial Closing Date through the maturity date of the Additional Notes (determined without taking into account any limitations on the conversion of the Notes set forth therein and assuming that the Notes are convertible at the initial Conversion Price and all Additional Notes issuable pursuant to the Securities Purchase Agreement have been issued) and (iii) the maximum number of Warrant Shares issued and issuable pursuant to the Warrants, in each case, as of the Trading Day (as defined in the Warrants) immediately preceding the applicable date of determination (without taking into account any limitations on the exercise of the Warrants set forth therein). So long as any of the Notes are outstanding, the Company shall take all action reasonably necessary (including, without limitation increasing any such reserve, as necessary, prior to the consummation of any Subsequent Placement (as defined in the Securities Purchase Agreement) to reserve and keep available out of its authorized and unissued Common Stock, equal to the sum of (i) the maximum number of Conversion Shares issued and issuable pursuant to the Notes (determined without taking into account any limitations on the conversion of the Notes set forth therein and assuming that the Notes are convertible at the Conversion Price and, if prior to the Additional Closing Date, all Additional Notes issuable pursuant to the Securities Purchase Agreement have been issued), (ii) 120% of the maximum number of Interest Shares (as defined in the Securities Purchase Agreement) issued and issuable pursuant to the terms of the Notes from the Initial Closing Date through the maturity date of the Additional Notes (determined without taking into account any limitations on the conversion of the Notes set forth therein and assuming that the Notes are convertible at the Conversion Price and, if prior to the Additional Closing Date, all Additional Notes issuable pursuant to the Securities Purchase Agreement have been issued) and (iii) the maximum number of Warrant Shares issued and issuable pursuant to the Warrants, in each case, as of the Trading Day (as defined in the Warrants) immediately preceding the applicable date of determination (without taking into account any limitations on the exercise of the Warrants set forth therein) (collectively, the “</w:t>
      </w:r>
      <w:r>
        <w:rPr>
          <w:rFonts w:ascii="Arial" w:cs="Arial" w:eastAsia="Arial" w:hAnsi="Arial"/>
          <w:sz w:val="16"/>
          <w:szCs w:val="16"/>
          <w:b w:val="1"/>
          <w:bCs w:val="1"/>
          <w:color w:val="auto"/>
        </w:rPr>
        <w:t>Required</w:t>
      </w:r>
      <w:r>
        <w:rPr>
          <w:rFonts w:ascii="Arial" w:cs="Arial" w:eastAsia="Arial" w:hAnsi="Arial"/>
          <w:sz w:val="16"/>
          <w:szCs w:val="16"/>
          <w:color w:val="auto"/>
        </w:rPr>
        <w:t xml:space="preserve"> </w:t>
      </w:r>
      <w:r>
        <w:rPr>
          <w:rFonts w:ascii="Arial" w:cs="Arial" w:eastAsia="Arial" w:hAnsi="Arial"/>
          <w:sz w:val="16"/>
          <w:szCs w:val="16"/>
          <w:b w:val="1"/>
          <w:bCs w:val="1"/>
          <w:color w:val="auto"/>
        </w:rPr>
        <w:t>Reserve Amount</w:t>
      </w:r>
      <w:r>
        <w:rPr>
          <w:rFonts w:ascii="Arial" w:cs="Arial" w:eastAsia="Arial" w:hAnsi="Arial"/>
          <w:sz w:val="16"/>
          <w:szCs w:val="16"/>
          <w:color w:val="auto"/>
        </w:rPr>
        <w:t>”). The initial number of shares of Common Stock reserved for conversions of the Notes and each increase in the number of shares so</w:t>
      </w:r>
      <w:r>
        <w:rPr>
          <w:rFonts w:ascii="Arial" w:cs="Arial" w:eastAsia="Arial" w:hAnsi="Arial"/>
          <w:sz w:val="16"/>
          <w:szCs w:val="16"/>
          <w:b w:val="1"/>
          <w:bCs w:val="1"/>
          <w:color w:val="auto"/>
        </w:rPr>
        <w:t xml:space="preserve"> </w:t>
      </w:r>
      <w:r>
        <w:rPr>
          <w:rFonts w:ascii="Arial" w:cs="Arial" w:eastAsia="Arial" w:hAnsi="Arial"/>
          <w:sz w:val="16"/>
          <w:szCs w:val="16"/>
          <w:color w:val="auto"/>
        </w:rPr>
        <w:t>reserved shall be allocated pro rata among the holders of the Notes based on the original principal amount of the Notes held by each holder on the Initial Closing Date or increase in the number of reserved shares (as the case may be) (the “</w:t>
      </w:r>
      <w:r>
        <w:rPr>
          <w:rFonts w:ascii="Arial" w:cs="Arial" w:eastAsia="Arial" w:hAnsi="Arial"/>
          <w:sz w:val="16"/>
          <w:szCs w:val="16"/>
          <w:b w:val="1"/>
          <w:bCs w:val="1"/>
          <w:color w:val="auto"/>
        </w:rPr>
        <w:t>Authorized Share Allocation</w:t>
      </w:r>
      <w:r>
        <w:rPr>
          <w:rFonts w:ascii="Arial" w:cs="Arial" w:eastAsia="Arial" w:hAnsi="Arial"/>
          <w:sz w:val="16"/>
          <w:szCs w:val="16"/>
          <w:color w:val="auto"/>
        </w:rPr>
        <w:t>”). In the event that a holder shall sell or otherwise transfer any of such holder’s Notes, each transferee shall be allocated a pro rata portion of such holder’s Authorized Share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69" w:name="page70"/>
    <w:bookmarkEnd w:id="69"/>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Allocation. Any shares of Common Stock reserved and allocated to any Person which ceases to hold any Notes shall be allocated to the remaining holders of Notes, pro rata based on the principal amount of the Notes then held by such holders.</w:t>
      </w:r>
    </w:p>
    <w:p>
      <w:pPr>
        <w:spacing w:after="0" w:line="51" w:lineRule="exact"/>
        <w:rPr>
          <w:sz w:val="20"/>
          <w:szCs w:val="20"/>
          <w:color w:val="auto"/>
        </w:rPr>
      </w:pPr>
    </w:p>
    <w:p>
      <w:pPr>
        <w:ind w:right="20" w:firstLine="443"/>
        <w:spacing w:after="0" w:line="309" w:lineRule="auto"/>
        <w:tabs>
          <w:tab w:leader="none" w:pos="687" w:val="left"/>
        </w:tabs>
        <w:numPr>
          <w:ilvl w:val="1"/>
          <w:numId w:val="50"/>
        </w:numPr>
        <w:rPr>
          <w:rFonts w:ascii="Arial" w:cs="Arial" w:eastAsia="Arial" w:hAnsi="Arial"/>
          <w:sz w:val="15"/>
          <w:szCs w:val="15"/>
          <w:color w:val="auto"/>
        </w:rPr>
      </w:pPr>
      <w:r>
        <w:rPr>
          <w:rFonts w:ascii="Arial" w:cs="Arial" w:eastAsia="Arial" w:hAnsi="Arial"/>
          <w:sz w:val="15"/>
          <w:szCs w:val="15"/>
          <w:u w:val="single" w:color="auto"/>
          <w:color w:val="auto"/>
        </w:rPr>
        <w:t>Insufficient Authorized Shares</w:t>
      </w:r>
      <w:r>
        <w:rPr>
          <w:rFonts w:ascii="Arial" w:cs="Arial" w:eastAsia="Arial" w:hAnsi="Arial"/>
          <w:sz w:val="15"/>
          <w:szCs w:val="15"/>
          <w:color w:val="auto"/>
        </w:rPr>
        <w:t>. If, notwithstanding Section 10(a), and not in limitation thereof, at any time while any of the Notes remain outstanding the Company determines that it does not have a sufficient number of authorized and unreserved shares of Common Stock to satisfy its obligation under Section 10(a) (an “</w:t>
      </w:r>
      <w:r>
        <w:rPr>
          <w:rFonts w:ascii="Arial" w:cs="Arial" w:eastAsia="Arial" w:hAnsi="Arial"/>
          <w:sz w:val="15"/>
          <w:szCs w:val="15"/>
          <w:b w:val="1"/>
          <w:bCs w:val="1"/>
          <w:color w:val="auto"/>
        </w:rPr>
        <w:t>Authorized Share Failure</w:t>
      </w:r>
      <w:r>
        <w:rPr>
          <w:rFonts w:ascii="Arial" w:cs="Arial" w:eastAsia="Arial" w:hAnsi="Arial"/>
          <w:sz w:val="15"/>
          <w:szCs w:val="15"/>
          <w:color w:val="auto"/>
        </w:rPr>
        <w:t>”), then the Company shall use reasonable best efforts to take all action necessary to increase the Company’s authorized shares of Common Stock to an amount sufficient to allow the Company to comply with Section 10(a).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Nothing contained in Section 10(a) or this Section 10(b) shall limit any obligations of the Company under any provision of the Securities Purchase Agreement</w:t>
      </w:r>
    </w:p>
    <w:p>
      <w:pPr>
        <w:spacing w:after="0" w:line="108" w:lineRule="exact"/>
        <w:rPr>
          <w:rFonts w:ascii="Arial" w:cs="Arial" w:eastAsia="Arial" w:hAnsi="Arial"/>
          <w:sz w:val="15"/>
          <w:szCs w:val="15"/>
          <w:color w:val="auto"/>
        </w:rPr>
      </w:pPr>
    </w:p>
    <w:p>
      <w:pPr>
        <w:ind w:left="260" w:hanging="256"/>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HOLDER’S REDEMPTIONS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43"/>
        <w:spacing w:after="0" w:line="285" w:lineRule="auto"/>
        <w:tabs>
          <w:tab w:leader="none" w:pos="677"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Mechanics</w:t>
      </w:r>
      <w:r>
        <w:rPr>
          <w:rFonts w:ascii="Arial" w:cs="Arial" w:eastAsia="Arial" w:hAnsi="Arial"/>
          <w:sz w:val="16"/>
          <w:szCs w:val="16"/>
          <w:color w:val="auto"/>
        </w:rPr>
        <w:t>. The Company shall deliver the applicable Event of Default Redemption Price to the Holder in cash within five (5) Business Days after the Company’s receipt of the Holder’s Event of Default Redemption Notice (the “</w:t>
      </w:r>
      <w:r>
        <w:rPr>
          <w:rFonts w:ascii="Arial" w:cs="Arial" w:eastAsia="Arial" w:hAnsi="Arial"/>
          <w:sz w:val="16"/>
          <w:szCs w:val="16"/>
          <w:b w:val="1"/>
          <w:bCs w:val="1"/>
          <w:color w:val="auto"/>
        </w:rPr>
        <w:t>Event of Default Redemption Date</w:t>
      </w:r>
      <w:r>
        <w:rPr>
          <w:rFonts w:ascii="Arial" w:cs="Arial" w:eastAsia="Arial" w:hAnsi="Arial"/>
          <w:sz w:val="16"/>
          <w:szCs w:val="16"/>
          <w:color w:val="auto"/>
        </w:rPr>
        <w:t>”). If the Holder has submitted a Change of Control Redemption Notice in accordance with Section 5(b), the Company shall deliver the applicable Change of Control Redemption Price to the Holder in cash concurrently with the consummation of such Change of Control if such notice is received prior to the consummation of such Change of Control and within five (5) Business Days after the Company’s receipt of such notice otherwise. The Company shall deliver the applicable Company Installment Redemption Price to the Holder in cash on the applicable Installment Date. The Company shall deliver the applicable Sale Redemption Price to the Holder in cash on the applicable Sale Redemption Date. The Company shall deliver the applicable Company Optional Redemption Price to the Holder in cash on the applicable Company Optional Redemption Date. In the event of a redemption of less than all of the Conversion Amount of this Note, the Company shall promptly cause to be issued and delivered to the Holder a new Note (in accordance with Section 19(d))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has not been paid. Upon the Company’s receipt of such notice, (x) the applicable Redemption Notice shall be null and void with respect to such Conversion Amount, (y) the Company shall immediately return this Note, or issue a new Note (in accordance with Section</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700" w:top="280" w:right="279" w:bottom="1440" w:gutter="0" w:footer="0" w:header="0"/>
        </w:sectPr>
      </w:pPr>
    </w:p>
    <w:bookmarkStart w:id="70" w:name="page71"/>
    <w:bookmarkEnd w:id="70"/>
    <w:p>
      <w:pPr>
        <w:ind w:left="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19(d)), to the Holder, and in each case the principal amount of this Note or such new Note (as the case may be) shall be increased by an amount equal to the difference between (1) the applicable Redemption Price minus (2) the Principal portion of the Conversion Amount submitted for redemption and (z) the Conversion Price of this Note or such new Notes (as the case may be) shall be automatically adjusted with respect to each conversion effected thereafter by the Holder to the lowest of (A) the Conversion Price as in effect on the date on which the applicable Redemption Notice is voided and (B) 85% of the lowest Closing Bid Price of the Common Stock during the period beginning on and including the date on which the applicable Redemption Notice is delivered and ending on and including the date on which the applicable Redemption Notice is voided.</w:t>
      </w:r>
    </w:p>
    <w:p>
      <w:pPr>
        <w:spacing w:after="0" w:line="39" w:lineRule="exact"/>
        <w:rPr>
          <w:sz w:val="20"/>
          <w:szCs w:val="20"/>
          <w:color w:val="auto"/>
        </w:rPr>
      </w:pPr>
    </w:p>
    <w:p>
      <w:pPr>
        <w:ind w:left="440" w:right="40" w:firstLine="443"/>
        <w:spacing w:after="0" w:line="301" w:lineRule="auto"/>
        <w:tabs>
          <w:tab w:leader="none" w:pos="1127" w:val="left"/>
        </w:tabs>
        <w:numPr>
          <w:ilvl w:val="1"/>
          <w:numId w:val="52"/>
        </w:numPr>
        <w:rPr>
          <w:rFonts w:ascii="Arial" w:cs="Arial" w:eastAsia="Arial" w:hAnsi="Arial"/>
          <w:sz w:val="15"/>
          <w:szCs w:val="15"/>
          <w:color w:val="auto"/>
        </w:rPr>
      </w:pPr>
      <w:r>
        <w:rPr>
          <w:rFonts w:ascii="Arial" w:cs="Arial" w:eastAsia="Arial" w:hAnsi="Arial"/>
          <w:sz w:val="15"/>
          <w:szCs w:val="15"/>
          <w:u w:val="single" w:color="auto"/>
          <w:color w:val="auto"/>
        </w:rPr>
        <w:t>Redemption by Other Holders</w:t>
      </w:r>
      <w:r>
        <w:rPr>
          <w:rFonts w:ascii="Arial" w:cs="Arial" w:eastAsia="Arial" w:hAnsi="Arial"/>
          <w:sz w:val="15"/>
          <w:szCs w:val="15"/>
          <w:color w:val="auto"/>
        </w:rPr>
        <w:t>. Upon the Company’s receipt of notice from any of the holders of the Other Notes for redemption or repayment as a result of an event or occurrence substantially similar to the events or occurrences described in Section 4(b) or Section 5(b) (each, an “</w:t>
      </w:r>
      <w:r>
        <w:rPr>
          <w:rFonts w:ascii="Arial" w:cs="Arial" w:eastAsia="Arial" w:hAnsi="Arial"/>
          <w:sz w:val="15"/>
          <w:szCs w:val="15"/>
          <w:b w:val="1"/>
          <w:bCs w:val="1"/>
          <w:color w:val="auto"/>
        </w:rPr>
        <w:t>Other Redemption</w:t>
      </w:r>
      <w:r>
        <w:rPr>
          <w:rFonts w:ascii="Arial" w:cs="Arial" w:eastAsia="Arial" w:hAnsi="Arial"/>
          <w:sz w:val="15"/>
          <w:szCs w:val="15"/>
          <w:color w:val="auto"/>
        </w:rPr>
        <w:t xml:space="preserve"> </w:t>
      </w:r>
      <w:r>
        <w:rPr>
          <w:rFonts w:ascii="Arial" w:cs="Arial" w:eastAsia="Arial" w:hAnsi="Arial"/>
          <w:sz w:val="15"/>
          <w:szCs w:val="15"/>
          <w:b w:val="1"/>
          <w:bCs w:val="1"/>
          <w:color w:val="auto"/>
        </w:rPr>
        <w:t>Notice</w:t>
      </w:r>
      <w:r>
        <w:rPr>
          <w:rFonts w:ascii="Arial" w:cs="Arial" w:eastAsia="Arial" w:hAnsi="Arial"/>
          <w:sz w:val="15"/>
          <w:szCs w:val="15"/>
          <w:color w:val="auto"/>
        </w:rPr>
        <w:t>”), the Company shall immediately, but no later than one (1) Business Day of its receipt thereof, forward to the Holder by facsimile a copy of such</w:t>
      </w:r>
      <w:r>
        <w:rPr>
          <w:rFonts w:ascii="Arial" w:cs="Arial" w:eastAsia="Arial" w:hAnsi="Arial"/>
          <w:sz w:val="15"/>
          <w:szCs w:val="15"/>
          <w:b w:val="1"/>
          <w:bCs w:val="1"/>
          <w:color w:val="auto"/>
        </w:rPr>
        <w:t xml:space="preserve"> </w:t>
      </w:r>
      <w:r>
        <w:rPr>
          <w:rFonts w:ascii="Arial" w:cs="Arial" w:eastAsia="Arial" w:hAnsi="Arial"/>
          <w:sz w:val="15"/>
          <w:szCs w:val="15"/>
          <w:color w:val="auto"/>
        </w:rPr>
        <w:t>notice. If the Company receives a Redemption Notice and one or more Other Redemption Notices, during the seven (7) Business Day period beginning on and including the date which is three (3) Business Days prior to the Company’s receipt of the Holder’s applicable Redemption Notice and ending on and including the date which is three (3) Business Days after the Company’s receipt of the Holder’s applicable Redemption Notice and the Company is unable to redeem all principal, interest and other amounts designated in such Redemption Notice and such Other Redemption Notices received during such seven</w:t>
      </w:r>
    </w:p>
    <w:p>
      <w:pPr>
        <w:spacing w:after="0" w:line="4" w:lineRule="exact"/>
        <w:rPr>
          <w:rFonts w:ascii="Arial" w:cs="Arial" w:eastAsia="Arial" w:hAnsi="Arial"/>
          <w:sz w:val="15"/>
          <w:szCs w:val="15"/>
          <w:color w:val="auto"/>
        </w:rPr>
      </w:pPr>
    </w:p>
    <w:p>
      <w:pPr>
        <w:ind w:left="440" w:right="160" w:firstLine="4"/>
        <w:spacing w:after="0" w:line="255" w:lineRule="auto"/>
        <w:tabs>
          <w:tab w:leader="none" w:pos="689" w:val="left"/>
        </w:tabs>
        <w:numPr>
          <w:ilvl w:val="0"/>
          <w:numId w:val="53"/>
        </w:numPr>
        <w:rPr>
          <w:rFonts w:ascii="Arial" w:cs="Arial" w:eastAsia="Arial" w:hAnsi="Arial"/>
          <w:sz w:val="18"/>
          <w:szCs w:val="18"/>
          <w:color w:val="auto"/>
        </w:rPr>
      </w:pPr>
      <w:r>
        <w:rPr>
          <w:rFonts w:ascii="Arial" w:cs="Arial" w:eastAsia="Arial" w:hAnsi="Arial"/>
          <w:sz w:val="18"/>
          <w:szCs w:val="18"/>
          <w:color w:val="auto"/>
        </w:rPr>
        <w:t>Business Day period, then the Company shall redeem a pro rata amount from each holder of the Notes (including the Holder) based on the principal amount of the Notes submitted for redemption pursuant to such Redemption Notice and such Other Redemption Notices received by the Company during such seven (7) Business Day period.</w:t>
      </w:r>
    </w:p>
    <w:p>
      <w:pPr>
        <w:spacing w:after="0" w:line="144" w:lineRule="exact"/>
        <w:rPr>
          <w:sz w:val="20"/>
          <w:szCs w:val="20"/>
          <w:color w:val="auto"/>
        </w:rPr>
      </w:pPr>
    </w:p>
    <w:p>
      <w:pPr>
        <w:ind w:left="-20" w:right="420" w:firstLine="464"/>
        <w:spacing w:after="0" w:line="268"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Holder shall have no voting rights as the holder of this Note, except as required by law (including, without limitation, the Delaware General Corporation Law) and as expressly provided in this Note.</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Until all of the Notes have been converted, redeemed or otherwise satisfied in accordance with their terms:</w:t>
      </w:r>
    </w:p>
    <w:p>
      <w:pPr>
        <w:spacing w:after="0" w:line="90" w:lineRule="exact"/>
        <w:rPr>
          <w:rFonts w:ascii="Arial" w:cs="Arial" w:eastAsia="Arial" w:hAnsi="Arial"/>
          <w:sz w:val="18"/>
          <w:szCs w:val="18"/>
          <w:color w:val="auto"/>
        </w:rPr>
      </w:pPr>
    </w:p>
    <w:p>
      <w:pPr>
        <w:ind w:left="440" w:right="420" w:firstLine="443"/>
        <w:spacing w:after="0" w:line="268" w:lineRule="auto"/>
        <w:tabs>
          <w:tab w:leader="none" w:pos="1117"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xml:space="preserve">. All payments due under this Note (a)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Other Notes and (b) shall be senior to all other Indebtedness of the Company and its Subsidiaries (other than Permitted Senior Indebtedness).</w:t>
      </w:r>
    </w:p>
    <w:p>
      <w:pPr>
        <w:spacing w:after="0" w:line="50" w:lineRule="exact"/>
        <w:rPr>
          <w:rFonts w:ascii="Arial" w:cs="Arial" w:eastAsia="Arial" w:hAnsi="Arial"/>
          <w:sz w:val="18"/>
          <w:szCs w:val="18"/>
          <w:color w:val="auto"/>
        </w:rPr>
      </w:pPr>
    </w:p>
    <w:p>
      <w:pPr>
        <w:ind w:left="440" w:right="220" w:firstLine="443"/>
        <w:spacing w:after="0" w:line="259" w:lineRule="auto"/>
        <w:tabs>
          <w:tab w:leader="none" w:pos="1127"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Incurrence of Indebtedness</w:t>
      </w:r>
      <w:r>
        <w:rPr>
          <w:rFonts w:ascii="Arial" w:cs="Arial" w:eastAsia="Arial" w:hAnsi="Arial"/>
          <w:sz w:val="18"/>
          <w:szCs w:val="18"/>
          <w:color w:val="auto"/>
        </w:rPr>
        <w:t>. The Company shall not, and the Company shall cause each of its Subsidiaries to not, directly or indirectly, incur or guarantee, assume or suffer to exist any Indebtedness (other than (i) the Indebtedness evidenced by this Note and the Other Notes and (ii) Permitted Indebtedness).</w:t>
      </w:r>
    </w:p>
    <w:p>
      <w:pPr>
        <w:spacing w:after="0" w:line="59" w:lineRule="exact"/>
        <w:rPr>
          <w:rFonts w:ascii="Arial" w:cs="Arial" w:eastAsia="Arial" w:hAnsi="Arial"/>
          <w:sz w:val="18"/>
          <w:szCs w:val="18"/>
          <w:color w:val="auto"/>
        </w:rPr>
      </w:pPr>
    </w:p>
    <w:p>
      <w:pPr>
        <w:ind w:left="1120" w:hanging="237"/>
        <w:spacing w:after="0"/>
        <w:tabs>
          <w:tab w:leader="none" w:pos="1120"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Existence of Liens</w:t>
      </w:r>
      <w:r>
        <w:rPr>
          <w:rFonts w:ascii="Arial" w:cs="Arial" w:eastAsia="Arial" w:hAnsi="Arial"/>
          <w:sz w:val="16"/>
          <w:szCs w:val="16"/>
          <w:color w:val="auto"/>
        </w:rPr>
        <w:t>. The Company shall not, and the Company shall cause each of its Subsidiaries to not, directly or indirectly, allow or suffer to</w:t>
      </w:r>
    </w:p>
    <w:p>
      <w:pPr>
        <w:spacing w:after="0" w:line="38"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exist 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60" w:top="280" w:right="239" w:bottom="1440" w:gutter="0" w:footer="0" w:header="0"/>
        </w:sectPr>
      </w:pPr>
    </w:p>
    <w:bookmarkStart w:id="71" w:name="page72"/>
    <w:bookmarkEnd w:id="71"/>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mortgage, lien, pledge, charge, security interest or other encumbrance upon or in any property or assets (including accounts and contract rights) owned by the Company or any of its Subsidiaries (collectively, “</w:t>
      </w:r>
      <w:r>
        <w:rPr>
          <w:rFonts w:ascii="Arial" w:cs="Arial" w:eastAsia="Arial" w:hAnsi="Arial"/>
          <w:sz w:val="18"/>
          <w:szCs w:val="18"/>
          <w:b w:val="1"/>
          <w:bCs w:val="1"/>
          <w:color w:val="auto"/>
        </w:rPr>
        <w:t>Liens</w:t>
      </w:r>
      <w:r>
        <w:rPr>
          <w:rFonts w:ascii="Arial" w:cs="Arial" w:eastAsia="Arial" w:hAnsi="Arial"/>
          <w:sz w:val="18"/>
          <w:szCs w:val="18"/>
          <w:color w:val="auto"/>
        </w:rPr>
        <w:t>”) other than Permitted Liens.</w:t>
      </w:r>
    </w:p>
    <w:p>
      <w:pPr>
        <w:spacing w:after="0" w:line="51" w:lineRule="exact"/>
        <w:rPr>
          <w:sz w:val="20"/>
          <w:szCs w:val="20"/>
          <w:color w:val="auto"/>
        </w:rPr>
      </w:pPr>
    </w:p>
    <w:p>
      <w:pPr>
        <w:ind w:firstLine="443"/>
        <w:spacing w:after="0" w:line="291" w:lineRule="auto"/>
        <w:tabs>
          <w:tab w:leader="none" w:pos="687"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Restricted Payments</w:t>
      </w:r>
      <w:r>
        <w:rPr>
          <w:rFonts w:ascii="Arial" w:cs="Arial" w:eastAsia="Arial" w:hAnsi="Arial"/>
          <w:sz w:val="16"/>
          <w:szCs w:val="16"/>
          <w:color w:val="auto"/>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Permitted Senior Indebtedness), whether by way of payment in respect of principal of (or premium, if any) or interest on, such Indebtedness if at the time such payment is due or is otherwise made or, after giving effect to such payment, (i) an event constituting an Event of Default has occurred and is continuing or (ii) an event that with the passage of time and without being cured would constitute an Event of Default has occurred and is continuing.</w:t>
      </w:r>
    </w:p>
    <w:p>
      <w:pPr>
        <w:spacing w:after="0" w:line="39" w:lineRule="exact"/>
        <w:rPr>
          <w:rFonts w:ascii="Arial" w:cs="Arial" w:eastAsia="Arial" w:hAnsi="Arial"/>
          <w:sz w:val="16"/>
          <w:szCs w:val="16"/>
          <w:color w:val="auto"/>
        </w:rPr>
      </w:pPr>
    </w:p>
    <w:p>
      <w:pPr>
        <w:ind w:right="80" w:firstLine="443"/>
        <w:spacing w:after="0" w:line="259" w:lineRule="auto"/>
        <w:tabs>
          <w:tab w:leader="none" w:pos="677"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Restriction on Redemption and Cash Dividends</w:t>
      </w:r>
      <w:r>
        <w:rPr>
          <w:rFonts w:ascii="Arial" w:cs="Arial" w:eastAsia="Arial" w:hAnsi="Arial"/>
          <w:sz w:val="18"/>
          <w:szCs w:val="18"/>
          <w:color w:val="auto"/>
        </w:rPr>
        <w:t>. The Company shall not, and the Company shall cause each of its Subsidiaries to not, directly or indirectly, redeem, repurchase (other than from its employees in connection with an Approved Stock Plan) or declare or pay any cash dividend or distribution on any of its capital stock.</w:t>
      </w:r>
    </w:p>
    <w:p>
      <w:pPr>
        <w:spacing w:after="0" w:line="59" w:lineRule="exact"/>
        <w:rPr>
          <w:rFonts w:ascii="Arial" w:cs="Arial" w:eastAsia="Arial" w:hAnsi="Arial"/>
          <w:sz w:val="18"/>
          <w:szCs w:val="18"/>
          <w:color w:val="auto"/>
        </w:rPr>
      </w:pPr>
    </w:p>
    <w:p>
      <w:pPr>
        <w:ind w:right="40" w:firstLine="443"/>
        <w:spacing w:after="0" w:line="294" w:lineRule="auto"/>
        <w:tabs>
          <w:tab w:leader="none" w:pos="657"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Restriction on Transfer of Assets</w:t>
      </w:r>
      <w:r>
        <w:rPr>
          <w:rFonts w:ascii="Arial" w:cs="Arial" w:eastAsia="Arial" w:hAnsi="Arial"/>
          <w:sz w:val="16"/>
          <w:szCs w:val="16"/>
          <w:color w:val="auto"/>
        </w:rPr>
        <w:t>. The Company shall not, and the Company shall cause each of its Subsidiaries to not, directly or indirectly, sell, lease, assign, transfer, spin-off, split-off, close, convey or otherwise dispose of any assets or rights of the Company or any Subsidiary owned or hereafter acquired whether in a single transaction or a series of related transactions, other than (i) sales, leases, assignments, transfers, conveyances and other dispositions of such assets or rights by the Company and its Subsidiaries that, in the aggregate, do not have a fair market value in excess of $50,000,000 in any twelve (12) month period and (ii) sales of inventory and licensing in the ordinary course of business.</w:t>
      </w:r>
    </w:p>
    <w:p>
      <w:pPr>
        <w:spacing w:after="0" w:line="34" w:lineRule="exact"/>
        <w:rPr>
          <w:rFonts w:ascii="Arial" w:cs="Arial" w:eastAsia="Arial" w:hAnsi="Arial"/>
          <w:sz w:val="16"/>
          <w:szCs w:val="16"/>
          <w:color w:val="auto"/>
        </w:rPr>
      </w:pPr>
    </w:p>
    <w:p>
      <w:pPr>
        <w:ind w:right="100" w:firstLine="443"/>
        <w:spacing w:after="0" w:line="332" w:lineRule="auto"/>
        <w:tabs>
          <w:tab w:leader="none" w:pos="687"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Maturity of Indebtedness</w:t>
      </w:r>
      <w:r>
        <w:rPr>
          <w:rFonts w:ascii="Arial" w:cs="Arial" w:eastAsia="Arial" w:hAnsi="Arial"/>
          <w:sz w:val="16"/>
          <w:szCs w:val="16"/>
          <w:color w:val="auto"/>
        </w:rPr>
        <w:t>. The Company shall not, and the Company shall cause each of its Subsidiaries to not, directly or indirectly, permit any Indebtedness of the Company or any of the Subsidiaries to mature or accelerate prior to the Maturity Date (other than Permitted Senior Indebtedness).</w:t>
      </w:r>
    </w:p>
    <w:p>
      <w:pPr>
        <w:spacing w:after="0" w:line="4" w:lineRule="exact"/>
        <w:rPr>
          <w:rFonts w:ascii="Arial" w:cs="Arial" w:eastAsia="Arial" w:hAnsi="Arial"/>
          <w:sz w:val="16"/>
          <w:szCs w:val="16"/>
          <w:color w:val="auto"/>
        </w:rPr>
      </w:pPr>
    </w:p>
    <w:p>
      <w:pPr>
        <w:jc w:val="both"/>
        <w:ind w:right="20" w:firstLine="443"/>
        <w:spacing w:after="0" w:line="256" w:lineRule="auto"/>
        <w:tabs>
          <w:tab w:leader="none" w:pos="687"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The Company shall not, and the Company shall cause each of its Subsidiaries to not, directly or indirectly, engage in any material line of business substantially different from those lines of business conducted by the Company and each of its Subsidiaries on the Issuance Date or any business substantially related or incidental thereto. The Company shall not, and the Company shall cause each of its Subsidiaries to not, directly or indirectly, modify its or their corporate structure or purpose.</w:t>
      </w:r>
    </w:p>
    <w:p>
      <w:pPr>
        <w:spacing w:after="0" w:line="62" w:lineRule="exact"/>
        <w:rPr>
          <w:rFonts w:ascii="Arial" w:cs="Arial" w:eastAsia="Arial" w:hAnsi="Arial"/>
          <w:sz w:val="18"/>
          <w:szCs w:val="18"/>
          <w:color w:val="auto"/>
        </w:rPr>
      </w:pPr>
    </w:p>
    <w:p>
      <w:pPr>
        <w:ind w:firstLine="443"/>
        <w:spacing w:after="0" w:line="298" w:lineRule="auto"/>
        <w:tabs>
          <w:tab w:leader="none" w:pos="648"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Preservation of Existence, Etc.</w:t>
      </w:r>
      <w:r>
        <w:rPr>
          <w:rFonts w:ascii="Arial" w:cs="Arial" w:eastAsia="Arial" w:hAnsi="Arial"/>
          <w:sz w:val="16"/>
          <w:szCs w:val="16"/>
          <w:color w:val="auto"/>
        </w:rPr>
        <w:t xml:space="preserve">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 except where the failure to be so qualified would not result in a Material Adverse Event (as defined in the Securities Purchase Agreement).</w:t>
      </w:r>
    </w:p>
    <w:p>
      <w:pPr>
        <w:spacing w:after="0" w:line="9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00"/>
          </w:cols>
          <w:pgMar w:left="700" w:top="280" w:right="299" w:bottom="1440" w:gutter="0" w:footer="0" w:header="0"/>
        </w:sectPr>
      </w:pPr>
    </w:p>
    <w:bookmarkStart w:id="72" w:name="page73"/>
    <w:bookmarkEnd w:id="72"/>
    <w:p>
      <w:pPr>
        <w:jc w:val="both"/>
        <w:ind w:left="452" w:right="20" w:firstLine="443"/>
        <w:spacing w:after="0" w:line="298" w:lineRule="auto"/>
        <w:tabs>
          <w:tab w:leader="none" w:pos="1100" w:val="left"/>
        </w:tabs>
        <w:numPr>
          <w:ilvl w:val="2"/>
          <w:numId w:val="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Maintenance of Properties, Etc.</w:t>
      </w:r>
      <w:r>
        <w:rPr>
          <w:rFonts w:ascii="Arial" w:cs="Arial" w:eastAsia="Arial" w:hAnsi="Arial"/>
          <w:sz w:val="16"/>
          <w:szCs w:val="16"/>
          <w:color w:val="auto"/>
        </w:rPr>
        <w:t xml:space="preserve"> The Company shall maintain and preserve, and cause each of its Subsidiaries to maintain and preserve, all of its properties which are necessary or useful in the proper conduct of its business in good working order and condition, ordinary wear and tear excepted, and comply in all material respects, and cause each of its Subsidiaries to comply in all material respects, at all times with the provisions of all leases to which it is a party as lessee or under which it occupies property, so as to prevent any material loss or forfeiture thereof or thereunder.</w:t>
      </w:r>
    </w:p>
    <w:p>
      <w:pPr>
        <w:spacing w:after="0" w:line="31" w:lineRule="exact"/>
        <w:rPr>
          <w:rFonts w:ascii="Arial" w:cs="Arial" w:eastAsia="Arial" w:hAnsi="Arial"/>
          <w:sz w:val="16"/>
          <w:szCs w:val="16"/>
          <w:color w:val="auto"/>
        </w:rPr>
      </w:pPr>
    </w:p>
    <w:p>
      <w:pPr>
        <w:ind w:left="452" w:right="40" w:firstLine="443"/>
        <w:spacing w:after="0" w:line="255" w:lineRule="auto"/>
        <w:tabs>
          <w:tab w:leader="none" w:pos="1139" w:val="left"/>
        </w:tabs>
        <w:numPr>
          <w:ilvl w:val="2"/>
          <w:numId w:val="56"/>
        </w:numPr>
        <w:rPr>
          <w:rFonts w:ascii="Arial" w:cs="Arial" w:eastAsia="Arial" w:hAnsi="Arial"/>
          <w:sz w:val="18"/>
          <w:szCs w:val="18"/>
          <w:color w:val="auto"/>
        </w:rPr>
      </w:pP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The Company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142" w:lineRule="exact"/>
        <w:rPr>
          <w:rFonts w:ascii="Arial" w:cs="Arial" w:eastAsia="Arial" w:hAnsi="Arial"/>
          <w:sz w:val="18"/>
          <w:szCs w:val="18"/>
          <w:color w:val="auto"/>
        </w:rPr>
      </w:pPr>
    </w:p>
    <w:p>
      <w:pPr>
        <w:ind w:left="-8" w:firstLine="464"/>
        <w:spacing w:after="0" w:line="282" w:lineRule="auto"/>
        <w:tabs>
          <w:tab w:leader="none" w:pos="712"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Company Optional Redemption</w:t>
      </w:r>
      <w:r>
        <w:rPr>
          <w:rFonts w:ascii="Arial" w:cs="Arial" w:eastAsia="Arial" w:hAnsi="Arial"/>
          <w:sz w:val="16"/>
          <w:szCs w:val="16"/>
          <w:color w:val="auto"/>
        </w:rPr>
        <w:t>. If at any time after the first anniversary of the Issuance Date, (i) the Closing Sale Price of the Common Stock listed on the Principal Market exceeds $9.70 (as adjusted for stock splits, recapitalizations and similar events) for thirty (30) consecutive Trading Days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Optional Redemption Measuring Period</w:t>
      </w:r>
      <w:r>
        <w:rPr>
          <w:rFonts w:ascii="Arial" w:cs="Arial" w:eastAsia="Arial" w:hAnsi="Arial"/>
          <w:sz w:val="16"/>
          <w:szCs w:val="16"/>
          <w:color w:val="auto"/>
        </w:rPr>
        <w:t>”), and (ii) no Equity Conditions Failure then exists, the Company shall have the right to redeem all, or any portion,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Conversion Amount then remaining under this Note (the “</w:t>
      </w:r>
      <w:r>
        <w:rPr>
          <w:rFonts w:ascii="Arial" w:cs="Arial" w:eastAsia="Arial" w:hAnsi="Arial"/>
          <w:sz w:val="16"/>
          <w:szCs w:val="16"/>
          <w:b w:val="1"/>
          <w:bCs w:val="1"/>
          <w:color w:val="auto"/>
        </w:rPr>
        <w:t>Company Optional Redemption Amount</w:t>
      </w:r>
      <w:r>
        <w:rPr>
          <w:rFonts w:ascii="Arial" w:cs="Arial" w:eastAsia="Arial" w:hAnsi="Arial"/>
          <w:sz w:val="16"/>
          <w:szCs w:val="16"/>
          <w:color w:val="auto"/>
        </w:rPr>
        <w:t>”) on the Company Optional Redemption Date (as defined below) (a “</w:t>
      </w:r>
      <w:r>
        <w:rPr>
          <w:rFonts w:ascii="Arial" w:cs="Arial" w:eastAsia="Arial" w:hAnsi="Arial"/>
          <w:sz w:val="16"/>
          <w:szCs w:val="16"/>
          <w:b w:val="1"/>
          <w:bCs w:val="1"/>
          <w:color w:val="auto"/>
        </w:rPr>
        <w:t>Company Optional Redemption</w:t>
      </w:r>
      <w:r>
        <w:rPr>
          <w:rFonts w:ascii="Arial" w:cs="Arial" w:eastAsia="Arial" w:hAnsi="Arial"/>
          <w:sz w:val="16"/>
          <w:szCs w:val="16"/>
          <w:color w:val="auto"/>
        </w:rPr>
        <w:t>”). The portion of this Note subject to redemption pursuant to this Section 14 shall be redeemed by the Company in cash at a price (the “</w:t>
      </w:r>
      <w:r>
        <w:rPr>
          <w:rFonts w:ascii="Arial" w:cs="Arial" w:eastAsia="Arial" w:hAnsi="Arial"/>
          <w:sz w:val="16"/>
          <w:szCs w:val="16"/>
          <w:b w:val="1"/>
          <w:bCs w:val="1"/>
          <w:color w:val="auto"/>
        </w:rPr>
        <w:t>Company Optional Redemption Price</w:t>
      </w:r>
      <w:r>
        <w:rPr>
          <w:rFonts w:ascii="Arial" w:cs="Arial" w:eastAsia="Arial" w:hAnsi="Arial"/>
          <w:sz w:val="16"/>
          <w:szCs w:val="16"/>
          <w:color w:val="auto"/>
        </w:rPr>
        <w:t>”) equal to the sum of (x) 100% of such portion of the Principal of this Note then outstanding and subject to such Company Optional Redemption and (y) all accrued and unpaid Interest with respect to such portion of such Principal. The Company may exercise its right to require redemption under this Section 14 by delivering an irrevocable written notice thereof by facsimile and overnight courier to all, but not less than all, of the holders of Notes (the “</w:t>
      </w:r>
      <w:r>
        <w:rPr>
          <w:rFonts w:ascii="Arial" w:cs="Arial" w:eastAsia="Arial" w:hAnsi="Arial"/>
          <w:sz w:val="16"/>
          <w:szCs w:val="16"/>
          <w:b w:val="1"/>
          <w:bCs w:val="1"/>
          <w:color w:val="auto"/>
        </w:rPr>
        <w:t>Company Optional Redemption Notice</w:t>
      </w:r>
      <w:r>
        <w:rPr>
          <w:rFonts w:ascii="Arial" w:cs="Arial" w:eastAsia="Arial" w:hAnsi="Arial"/>
          <w:sz w:val="16"/>
          <w:szCs w:val="16"/>
          <w:color w:val="auto"/>
        </w:rPr>
        <w:t>” and the date all of the holders of Notes received such notice is referred to as the “</w:t>
      </w:r>
      <w:r>
        <w:rPr>
          <w:rFonts w:ascii="Arial" w:cs="Arial" w:eastAsia="Arial" w:hAnsi="Arial"/>
          <w:sz w:val="16"/>
          <w:szCs w:val="16"/>
          <w:b w:val="1"/>
          <w:bCs w:val="1"/>
          <w:color w:val="auto"/>
        </w:rPr>
        <w:t>Company Optional Redemption Notice Date</w:t>
      </w:r>
      <w:r>
        <w:rPr>
          <w:rFonts w:ascii="Arial" w:cs="Arial" w:eastAsia="Arial" w:hAnsi="Arial"/>
          <w:sz w:val="16"/>
          <w:szCs w:val="16"/>
          <w:color w:val="auto"/>
        </w:rPr>
        <w:t>”). The Company may deliver only one Company Optional Redemption Notice in any ninety</w:t>
      </w:r>
    </w:p>
    <w:p>
      <w:pPr>
        <w:spacing w:after="0" w:line="5" w:lineRule="exact"/>
        <w:rPr>
          <w:rFonts w:ascii="Arial" w:cs="Arial" w:eastAsia="Arial" w:hAnsi="Arial"/>
          <w:sz w:val="16"/>
          <w:szCs w:val="16"/>
          <w:color w:val="auto"/>
        </w:rPr>
      </w:pPr>
    </w:p>
    <w:p>
      <w:pPr>
        <w:ind w:left="-8" w:right="280" w:firstLine="8"/>
        <w:spacing w:after="0" w:line="288" w:lineRule="auto"/>
        <w:tabs>
          <w:tab w:leader="none" w:pos="328" w:val="left"/>
        </w:tabs>
        <w:numPr>
          <w:ilvl w:val="0"/>
          <w:numId w:val="58"/>
        </w:numPr>
        <w:rPr>
          <w:rFonts w:ascii="Arial" w:cs="Arial" w:eastAsia="Arial" w:hAnsi="Arial"/>
          <w:sz w:val="16"/>
          <w:szCs w:val="16"/>
          <w:color w:val="auto"/>
        </w:rPr>
      </w:pPr>
      <w:r>
        <w:rPr>
          <w:rFonts w:ascii="Arial" w:cs="Arial" w:eastAsia="Arial" w:hAnsi="Arial"/>
          <w:sz w:val="16"/>
          <w:szCs w:val="16"/>
          <w:color w:val="auto"/>
        </w:rPr>
        <w:t>day period. The Company Optional Redemption Notice shall (x) state the date on which the Company Optional Redemption shall occur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Optional Redemption Date</w:t>
      </w:r>
      <w:r>
        <w:rPr>
          <w:rFonts w:ascii="Arial" w:cs="Arial" w:eastAsia="Arial" w:hAnsi="Arial"/>
          <w:sz w:val="16"/>
          <w:szCs w:val="16"/>
          <w:color w:val="auto"/>
        </w:rPr>
        <w:t>”) which date shall not be less than twenty (20) calendar days nor more than thirty (30) Trading Days following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Optional Redemption Notice Date, (y) certify that there has been no Equity Conditions Failure, and (z) state the aggregate Conversion Amount of the Notes which is being redeemed in such Company Optional Redemption from the Holder and all of the other holders of the Notes pursuant to this Section 14 (and analogous provisions under the Other Notes) on the Company Optional Redemption Date. Notwithstanding anything herein to the contrary, (i) if an Equity Conditions Failure occurs at any time prior to the Company Optional Redemption Date, (A) the Company shall provide the Holder a subsequent notice to that effect and (B) unless the Holder waives the applicable Equity Conditions Failure, as applicable, the Company Optional</w:t>
      </w:r>
    </w:p>
    <w:p>
      <w:pPr>
        <w:spacing w:after="0" w:line="10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72"/>
          </w:cols>
          <w:pgMar w:left="248" w:top="280" w:right="279" w:bottom="1440" w:gutter="0" w:footer="0" w:header="0"/>
        </w:sectPr>
      </w:pPr>
    </w:p>
    <w:bookmarkStart w:id="73" w:name="page74"/>
    <w:bookmarkEnd w:id="73"/>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Redemption shall be cancelled and the applicable Company Optional Redemption Notice shall be null and void and (ii) at any time prior to the date the Company Optional Redemption Price is paid, in full, the Company Optional Redemption Amount may be converted, in whole or in part, by the Holders into Common Shares pursuant to Section 3. All Conversion Amounts converted by the Holder after the Company Optional Redemption Notice Date shall reduce the Company Optional Redemption Amount of this Note required to be redeemed on the Company Optional Redemption Date. Redemptions made pursuant to this Section 14 shall be made in accordance with Section 11.</w:t>
      </w:r>
    </w:p>
    <w:p>
      <w:pPr>
        <w:spacing w:after="0" w:line="143" w:lineRule="exact"/>
        <w:rPr>
          <w:sz w:val="20"/>
          <w:szCs w:val="20"/>
          <w:color w:val="auto"/>
        </w:rPr>
      </w:pPr>
    </w:p>
    <w:p>
      <w:pPr>
        <w:ind w:firstLine="464"/>
        <w:spacing w:after="0" w:line="283" w:lineRule="auto"/>
        <w:tabs>
          <w:tab w:leader="none" w:pos="720"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SALE REDEMPTION</w:t>
      </w:r>
      <w:r>
        <w:rPr>
          <w:rFonts w:ascii="Arial" w:cs="Arial" w:eastAsia="Arial" w:hAnsi="Arial"/>
          <w:sz w:val="16"/>
          <w:szCs w:val="16"/>
          <w:color w:val="auto"/>
        </w:rPr>
        <w:t>. No earlier than fifteen (15) days prior to nor later than ten (10) days following the consummation of any Sale (or series of related Sales, as applicable), with respect to assets or other property with an aggregate fair market value in excess of $25,000,000, the Company shall deliver written notice thereof via facsimile and overnight courier (a “</w:t>
      </w:r>
      <w:r>
        <w:rPr>
          <w:rFonts w:ascii="Arial" w:cs="Arial" w:eastAsia="Arial" w:hAnsi="Arial"/>
          <w:sz w:val="16"/>
          <w:szCs w:val="16"/>
          <w:b w:val="1"/>
          <w:bCs w:val="1"/>
          <w:color w:val="auto"/>
        </w:rPr>
        <w:t>Sale Notice</w:t>
      </w:r>
      <w:r>
        <w:rPr>
          <w:rFonts w:ascii="Arial" w:cs="Arial" w:eastAsia="Arial" w:hAnsi="Arial"/>
          <w:sz w:val="16"/>
          <w:szCs w:val="16"/>
          <w:color w:val="auto"/>
        </w:rPr>
        <w:t>”) to the Holder, which shall include the calculations of the amount of Net Sale Proceeds for such Sale. At any time prior to the later of (i) ten (10) Business Days following the consummation of such Sale and (ii) ten (10) Business Days following receipt of the Sale Notice, the Holder may, at its sole option and in its sole discretion, require the Company to redeem (a “</w:t>
      </w:r>
      <w:r>
        <w:rPr>
          <w:rFonts w:ascii="Arial" w:cs="Arial" w:eastAsia="Arial" w:hAnsi="Arial"/>
          <w:sz w:val="16"/>
          <w:szCs w:val="16"/>
          <w:b w:val="1"/>
          <w:bCs w:val="1"/>
          <w:color w:val="auto"/>
        </w:rPr>
        <w:t>Sale Redemption</w:t>
      </w:r>
      <w:r>
        <w:rPr>
          <w:rFonts w:ascii="Arial" w:cs="Arial" w:eastAsia="Arial" w:hAnsi="Arial"/>
          <w:sz w:val="16"/>
          <w:szCs w:val="16"/>
          <w:color w:val="auto"/>
        </w:rPr>
        <w:t>”), with the Net Sale Proceeds of such Sale, all or part of the Conversion Amount of this Note (which amount shall not exceed the applicable Sale Redemption Eligibility Amount) (the “</w:t>
      </w:r>
      <w:r>
        <w:rPr>
          <w:rFonts w:ascii="Arial" w:cs="Arial" w:eastAsia="Arial" w:hAnsi="Arial"/>
          <w:sz w:val="16"/>
          <w:szCs w:val="16"/>
          <w:b w:val="1"/>
          <w:bCs w:val="1"/>
          <w:color w:val="auto"/>
        </w:rPr>
        <w:t>Sale Redemption Amount</w:t>
      </w:r>
      <w:r>
        <w:rPr>
          <w:rFonts w:ascii="Arial" w:cs="Arial" w:eastAsia="Arial" w:hAnsi="Arial"/>
          <w:sz w:val="16"/>
          <w:szCs w:val="16"/>
          <w:color w:val="auto"/>
        </w:rPr>
        <w:t>”) by delivering written notice thereof (the “</w:t>
      </w:r>
      <w:r>
        <w:rPr>
          <w:rFonts w:ascii="Arial" w:cs="Arial" w:eastAsia="Arial" w:hAnsi="Arial"/>
          <w:sz w:val="16"/>
          <w:szCs w:val="16"/>
          <w:b w:val="1"/>
          <w:bCs w:val="1"/>
          <w:color w:val="auto"/>
        </w:rPr>
        <w:t>Sale Redemption Notice</w:t>
      </w:r>
      <w:r>
        <w:rPr>
          <w:rFonts w:ascii="Arial" w:cs="Arial" w:eastAsia="Arial" w:hAnsi="Arial"/>
          <w:sz w:val="16"/>
          <w:szCs w:val="16"/>
          <w:color w:val="auto"/>
        </w:rPr>
        <w:t>”) to the Company. The Sale Redemption Notice shall state</w:t>
      </w:r>
    </w:p>
    <w:p>
      <w:pPr>
        <w:ind w:right="60" w:firstLine="8"/>
        <w:spacing w:after="0" w:line="290" w:lineRule="auto"/>
        <w:tabs>
          <w:tab w:leader="none" w:pos="21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date the Company is required to pay to the Holder the Sale Redemption Price (as defined below) (the “</w:t>
      </w:r>
      <w:r>
        <w:rPr>
          <w:rFonts w:ascii="Arial" w:cs="Arial" w:eastAsia="Arial" w:hAnsi="Arial"/>
          <w:sz w:val="16"/>
          <w:szCs w:val="16"/>
          <w:b w:val="1"/>
          <w:bCs w:val="1"/>
          <w:color w:val="auto"/>
        </w:rPr>
        <w:t>Sale Redemption Date</w:t>
      </w:r>
      <w:r>
        <w:rPr>
          <w:rFonts w:ascii="Arial" w:cs="Arial" w:eastAsia="Arial" w:hAnsi="Arial"/>
          <w:sz w:val="16"/>
          <w:szCs w:val="16"/>
          <w:color w:val="auto"/>
        </w:rPr>
        <w:t>”), which date shall be no earlier than ten (10) Business Days following the date of delivery of such Sale Redemption Notice and (ii) the allocation of such Sale Redemption Amount between this Note and any Notes held by the Holder. Each portion of this Note subject to redemption pursuant to this Section 5 shall be redeemed by the Company at a price equal to 125% of the applicable Sale Redemption Amount (the “</w:t>
      </w:r>
      <w:r>
        <w:rPr>
          <w:rFonts w:ascii="Arial" w:cs="Arial" w:eastAsia="Arial" w:hAnsi="Arial"/>
          <w:sz w:val="16"/>
          <w:szCs w:val="16"/>
          <w:b w:val="1"/>
          <w:bCs w:val="1"/>
          <w:color w:val="auto"/>
        </w:rPr>
        <w:t>Sale Redemption Price</w:t>
      </w:r>
      <w:r>
        <w:rPr>
          <w:rFonts w:ascii="Arial" w:cs="Arial" w:eastAsia="Arial" w:hAnsi="Arial"/>
          <w:sz w:val="16"/>
          <w:szCs w:val="16"/>
          <w:color w:val="auto"/>
        </w:rPr>
        <w:t>”). Redemptions required by this Section 15 shall be made in accordance with the provisions of Section 11. To the extent redemptions required by this Section 15 are deemed or determined by a court of competent jurisdiction to be prepayments of the Note by the Company, such redemptions shall be deemed to be voluntary prepayments.</w:t>
      </w:r>
    </w:p>
    <w:p>
      <w:pPr>
        <w:spacing w:after="0" w:line="118" w:lineRule="exact"/>
        <w:rPr>
          <w:rFonts w:ascii="Arial" w:cs="Arial" w:eastAsia="Arial" w:hAnsi="Arial"/>
          <w:sz w:val="16"/>
          <w:szCs w:val="16"/>
          <w:color w:val="auto"/>
        </w:rPr>
      </w:pPr>
    </w:p>
    <w:p>
      <w:pPr>
        <w:ind w:right="680" w:firstLine="464"/>
        <w:spacing w:after="0" w:line="305" w:lineRule="auto"/>
        <w:tabs>
          <w:tab w:leader="none" w:pos="720" w:val="left"/>
        </w:tabs>
        <w:numPr>
          <w:ilvl w:val="1"/>
          <w:numId w:val="60"/>
        </w:numPr>
        <w:rPr>
          <w:rFonts w:ascii="Arial" w:cs="Arial" w:eastAsia="Arial" w:hAnsi="Arial"/>
          <w:sz w:val="15"/>
          <w:szCs w:val="15"/>
          <w:color w:val="auto"/>
        </w:rPr>
      </w:pPr>
      <w:r>
        <w:rPr>
          <w:rFonts w:ascii="Arial" w:cs="Arial" w:eastAsia="Arial" w:hAnsi="Arial"/>
          <w:sz w:val="15"/>
          <w:szCs w:val="15"/>
          <w:u w:val="single" w:color="auto"/>
          <w:color w:val="auto"/>
        </w:rPr>
        <w:t>PARTICIPATION</w:t>
      </w:r>
      <w:r>
        <w:rPr>
          <w:rFonts w:ascii="Arial" w:cs="Arial" w:eastAsia="Arial" w:hAnsi="Arial"/>
          <w:sz w:val="15"/>
          <w:szCs w:val="15"/>
          <w:color w:val="auto"/>
        </w:rPr>
        <w:t>. In addition to any adjustments pursuant to Section 7, the Holder, as the holder of this Note, shall be entitled to receive such dividends paid and distributions made to the holders of Common Stock (other than shares of Common Stock to the extent the Company complies with</w:t>
      </w:r>
    </w:p>
    <w:p>
      <w:pPr>
        <w:ind w:right="20"/>
        <w:spacing w:after="0" w:line="287" w:lineRule="auto"/>
        <w:rPr>
          <w:rFonts w:ascii="Arial" w:cs="Arial" w:eastAsia="Arial" w:hAnsi="Arial"/>
          <w:sz w:val="15"/>
          <w:szCs w:val="15"/>
          <w:color w:val="auto"/>
        </w:rPr>
      </w:pPr>
      <w:r>
        <w:rPr>
          <w:rFonts w:ascii="Arial" w:cs="Arial" w:eastAsia="Arial" w:hAnsi="Arial"/>
          <w:sz w:val="16"/>
          <w:szCs w:val="16"/>
          <w:color w:val="auto"/>
        </w:rPr>
        <w:t>Section 7(b) hereof in connection therewith) to the same extent as if the Holder had converted this Note into Common Stock (without regard to any limitations on conversion set forth in Section 3(d)) and had held such shares of Common Stock on the record date for such dividends and distributions. Payments under the preceding sentence shall be made concurrently with the dividend or distribution to the holders of Common Stock (provided, however, to the extent that the Holder’s right to participate in any such dividend or distribution would result in the Holder exceeding the Maximum Percentage, then the Holder shall not be entitled to participate in such dividend or distribution to such extent such dividend or distribution (or the beneficial ownership of any such shares of Common Stock as a result of such dividend or distribution to such extent) will cause the Holder to exceed the Maximum Percentage, and the forgone right to participate in such dividend or distribution such shall be held in abeyance for the benefit of the Holder until such time, if ever, that its participation would not result in the Holder exceeding the Maximum Percentage.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74" w:name="page75"/>
    <w:bookmarkEnd w:id="74"/>
    <w:p>
      <w:pPr>
        <w:ind w:right="140" w:firstLine="464"/>
        <w:spacing w:after="0" w:line="332" w:lineRule="auto"/>
        <w:tabs>
          <w:tab w:leader="none" w:pos="72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AMENDING THE TERMS OF THIS NOTE</w:t>
      </w:r>
      <w:r>
        <w:rPr>
          <w:rFonts w:ascii="Arial" w:cs="Arial" w:eastAsia="Arial" w:hAnsi="Arial"/>
          <w:sz w:val="16"/>
          <w:szCs w:val="16"/>
          <w:color w:val="auto"/>
        </w:rPr>
        <w:t>. Any amendment with the prior written consent of holders of majority of the aggregate principal amount of outstanding Notes shall be binding on the Holder of the Note except that without the prior written consent of the Holder, the Note shall not be amended to:</w:t>
      </w:r>
    </w:p>
    <w:p>
      <w:pPr>
        <w:spacing w:after="0" w:line="4" w:lineRule="exact"/>
        <w:rPr>
          <w:rFonts w:ascii="Arial" w:cs="Arial" w:eastAsia="Arial" w:hAnsi="Arial"/>
          <w:sz w:val="16"/>
          <w:szCs w:val="16"/>
          <w:color w:val="auto"/>
        </w:rPr>
      </w:pPr>
    </w:p>
    <w:p>
      <w:pPr>
        <w:ind w:left="1140" w:hanging="237"/>
        <w:spacing w:after="0"/>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reduce the Redemption Premium or any of the Redemption Prices payable with respect to the Note;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increase the Conversion Price;</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change the Principal, Interest Rate or Maturity Date;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change the Company’s obligation to redeem the Note in a manner adverse to the Holder;</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change the Company’s installment obligations under Section 8 in a manner adverse to the Holder; or</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17" w:val="left"/>
        </w:tabs>
        <w:numPr>
          <w:ilvl w:val="1"/>
          <w:numId w:val="61"/>
        </w:numPr>
        <w:rPr>
          <w:rFonts w:ascii="Arial" w:cs="Arial" w:eastAsia="Arial" w:hAnsi="Arial"/>
          <w:sz w:val="18"/>
          <w:szCs w:val="18"/>
          <w:color w:val="auto"/>
        </w:rPr>
      </w:pPr>
      <w:r>
        <w:rPr>
          <w:rFonts w:ascii="Arial" w:cs="Arial" w:eastAsia="Arial" w:hAnsi="Arial"/>
          <w:sz w:val="18"/>
          <w:szCs w:val="18"/>
          <w:color w:val="auto"/>
        </w:rPr>
        <w:t>to impair the right of a Holder to convert the Note or reduce the amount of cash or the number of shares of Common Stock (or any other property) receivable upon conversion.</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Without limiting the foregoing, any change or amendment to this Note may be made with the prior written consent of the Holder. No waiver of any provision of this Note shall be effective unless it is in writing and signed by an authorized representative of the waiving party.</w:t>
      </w:r>
    </w:p>
    <w:p>
      <w:pPr>
        <w:spacing w:after="0" w:line="132" w:lineRule="exact"/>
        <w:rPr>
          <w:sz w:val="20"/>
          <w:szCs w:val="20"/>
          <w:color w:val="auto"/>
        </w:rPr>
      </w:pPr>
    </w:p>
    <w:p>
      <w:pPr>
        <w:ind w:right="220" w:firstLine="464"/>
        <w:spacing w:after="0" w:line="370" w:lineRule="auto"/>
        <w:tabs>
          <w:tab w:leader="none" w:pos="720"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TRANSFER</w:t>
      </w:r>
      <w:r>
        <w:rPr>
          <w:rFonts w:ascii="Arial" w:cs="Arial" w:eastAsia="Arial" w:hAnsi="Arial"/>
          <w:sz w:val="15"/>
          <w:szCs w:val="15"/>
          <w:color w:val="auto"/>
        </w:rPr>
        <w:t>. This Note and any shares of Common Stock issued upon conversion of this Note may be offered, sold, assigned or transferred by the Holder without the consent of the Company, subject only to the provisions of Section 2(h) of the Securities Purchase Agreement and applicable securities laws.</w:t>
      </w:r>
    </w:p>
    <w:p>
      <w:pPr>
        <w:spacing w:after="0" w:line="62" w:lineRule="exact"/>
        <w:rPr>
          <w:rFonts w:ascii="Arial" w:cs="Arial" w:eastAsia="Arial" w:hAnsi="Arial"/>
          <w:sz w:val="15"/>
          <w:szCs w:val="15"/>
          <w:color w:val="auto"/>
        </w:rPr>
      </w:pPr>
    </w:p>
    <w:p>
      <w:pPr>
        <w:ind w:left="720" w:hanging="256"/>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REISSUANCE OF THIS NOTE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40" w:firstLine="443"/>
        <w:spacing w:after="0" w:line="284" w:lineRule="auto"/>
        <w:tabs>
          <w:tab w:leader="none" w:pos="1137"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If this Note is to be transferred, the Holder shall surrender this Note to the Company, whereupon the Company will forthwith issue and deliver upon the order of the Holder a new Note (in accordance with Section 19(d)), registered as the Holder may request, representing the outstanding Principal being transferred by the Holder and, if less than the entire outstanding Principal is being transferred, a new Note (in accordance with</w:t>
      </w:r>
    </w:p>
    <w:p>
      <w:pPr>
        <w:spacing w:after="0" w:line="1" w:lineRule="exact"/>
        <w:rPr>
          <w:rFonts w:ascii="Arial" w:cs="Arial" w:eastAsia="Arial" w:hAnsi="Arial"/>
          <w:sz w:val="16"/>
          <w:szCs w:val="16"/>
          <w:color w:val="auto"/>
        </w:rPr>
      </w:pPr>
    </w:p>
    <w:p>
      <w:pPr>
        <w:ind w:left="460"/>
        <w:spacing w:after="0" w:line="255" w:lineRule="auto"/>
        <w:rPr>
          <w:rFonts w:ascii="Arial" w:cs="Arial" w:eastAsia="Arial" w:hAnsi="Arial"/>
          <w:sz w:val="16"/>
          <w:szCs w:val="16"/>
          <w:color w:val="auto"/>
        </w:rPr>
      </w:pPr>
      <w:r>
        <w:rPr>
          <w:rFonts w:ascii="Arial" w:cs="Arial" w:eastAsia="Arial" w:hAnsi="Arial"/>
          <w:sz w:val="18"/>
          <w:szCs w:val="18"/>
          <w:color w:val="auto"/>
        </w:rPr>
        <w:t>Section 19(d))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spacing w:after="0" w:line="63" w:lineRule="exact"/>
        <w:rPr>
          <w:rFonts w:ascii="Arial" w:cs="Arial" w:eastAsia="Arial" w:hAnsi="Arial"/>
          <w:sz w:val="16"/>
          <w:szCs w:val="16"/>
          <w:color w:val="auto"/>
        </w:rPr>
      </w:pPr>
    </w:p>
    <w:p>
      <w:pPr>
        <w:ind w:left="460" w:firstLine="443"/>
        <w:spacing w:after="0" w:line="306" w:lineRule="auto"/>
        <w:tabs>
          <w:tab w:leader="none" w:pos="1147"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Lost, Stolen or Mutilated Note</w:t>
      </w:r>
      <w:r>
        <w:rPr>
          <w:rFonts w:ascii="Arial" w:cs="Arial" w:eastAsia="Arial" w:hAnsi="Arial"/>
          <w:sz w:val="16"/>
          <w:szCs w:val="16"/>
          <w:color w:val="auto"/>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75" w:name="page76"/>
    <w:bookmarkEnd w:id="75"/>
    <w:p>
      <w:pPr>
        <w:ind w:left="460"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and, in the case of mutilation, upon surrender and cancellation of this Note, the Company shall execute and deliver to the Holder a new Note (in accordance with Section 19(d)) representing the outstanding Principal.</w:t>
      </w:r>
    </w:p>
    <w:p>
      <w:pPr>
        <w:spacing w:after="0" w:line="51" w:lineRule="exact"/>
        <w:rPr>
          <w:sz w:val="20"/>
          <w:szCs w:val="20"/>
          <w:color w:val="auto"/>
        </w:rPr>
      </w:pPr>
    </w:p>
    <w:p>
      <w:pPr>
        <w:ind w:left="460" w:right="20" w:firstLine="443"/>
        <w:spacing w:after="0" w:line="256" w:lineRule="auto"/>
        <w:tabs>
          <w:tab w:leader="none" w:pos="1137"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Note Exchangeable for Different Denominations</w:t>
      </w:r>
      <w:r>
        <w:rPr>
          <w:rFonts w:ascii="Arial" w:cs="Arial" w:eastAsia="Arial" w:hAnsi="Arial"/>
          <w:sz w:val="18"/>
          <w:szCs w:val="18"/>
          <w:color w:val="auto"/>
        </w:rPr>
        <w:t>. This Note is exchangeable, upon the surrender hereof by the Holder at the principal office of the Company, for a new Note or Notes (in accordance with Section 19(d) and in principal amounts of at least $1,000) representing in the aggregate the outstanding Principal of this Note, and each such new Note will represent such portion of such outstanding Principal as is designated by the Holder at the time of such surrender.</w:t>
      </w:r>
    </w:p>
    <w:p>
      <w:pPr>
        <w:spacing w:after="0" w:line="62" w:lineRule="exact"/>
        <w:rPr>
          <w:rFonts w:ascii="Arial" w:cs="Arial" w:eastAsia="Arial" w:hAnsi="Arial"/>
          <w:sz w:val="18"/>
          <w:szCs w:val="18"/>
          <w:color w:val="auto"/>
        </w:rPr>
      </w:pPr>
    </w:p>
    <w:p>
      <w:pPr>
        <w:ind w:left="460" w:right="60" w:firstLine="443"/>
        <w:spacing w:after="0" w:line="302" w:lineRule="auto"/>
        <w:tabs>
          <w:tab w:leader="none" w:pos="1147" w:val="left"/>
        </w:tabs>
        <w:numPr>
          <w:ilvl w:val="1"/>
          <w:numId w:val="63"/>
        </w:numPr>
        <w:rPr>
          <w:rFonts w:ascii="Arial" w:cs="Arial" w:eastAsia="Arial" w:hAnsi="Arial"/>
          <w:sz w:val="15"/>
          <w:szCs w:val="15"/>
          <w:color w:val="auto"/>
        </w:rPr>
      </w:pPr>
      <w:r>
        <w:rPr>
          <w:rFonts w:ascii="Arial" w:cs="Arial" w:eastAsia="Arial" w:hAnsi="Arial"/>
          <w:sz w:val="15"/>
          <w:szCs w:val="15"/>
          <w:u w:val="single" w:color="auto"/>
          <w:color w:val="auto"/>
        </w:rPr>
        <w:t>Issuance of New Notes</w:t>
      </w:r>
      <w:r>
        <w:rPr>
          <w:rFonts w:ascii="Arial" w:cs="Arial" w:eastAsia="Arial" w:hAnsi="Arial"/>
          <w:sz w:val="15"/>
          <w:szCs w:val="15"/>
          <w:color w:val="auto"/>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19(a) or Section 19(c),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w:t>
      </w:r>
    </w:p>
    <w:p>
      <w:pPr>
        <w:spacing w:after="0" w:line="1" w:lineRule="exact"/>
        <w:rPr>
          <w:rFonts w:ascii="Arial" w:cs="Arial" w:eastAsia="Arial" w:hAnsi="Arial"/>
          <w:sz w:val="15"/>
          <w:szCs w:val="15"/>
          <w:color w:val="auto"/>
        </w:rPr>
      </w:pPr>
    </w:p>
    <w:p>
      <w:pPr>
        <w:ind w:left="760" w:hanging="296"/>
        <w:spacing w:after="0"/>
        <w:tabs>
          <w:tab w:leader="none" w:pos="7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shall have the same rights and conditions as this Note, and (v) shall represent accrued and unpaid Interest on this Note, from the Issuance Date.</w:t>
      </w:r>
    </w:p>
    <w:p>
      <w:pPr>
        <w:spacing w:after="0" w:line="188" w:lineRule="exact"/>
        <w:rPr>
          <w:sz w:val="20"/>
          <w:szCs w:val="20"/>
          <w:color w:val="auto"/>
        </w:rPr>
      </w:pPr>
    </w:p>
    <w:p>
      <w:pPr>
        <w:ind w:firstLine="464"/>
        <w:spacing w:after="0" w:line="286" w:lineRule="auto"/>
        <w:tabs>
          <w:tab w:leader="none" w:pos="72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Note shall be cumulative and in addition to all other remedies available under this Note and any of the other Transaction Documents (as defined in the Securities Purchase Agreement) at law or in equity (including a decree of specific performance and/or other injunctive relief), and nothing herein shall limit the Holder’s right to pursue actual damages for any failure by the Company to comply with the terms of this Note; provided, however, that the Holder waives any consequential damages it may suffer from any failure by the Company to comply with the terms of this Note.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such breach or any such threatened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Note (including, without limitation, compliance with Section 7).</w:t>
      </w:r>
    </w:p>
    <w:p>
      <w:pPr>
        <w:spacing w:after="0" w:line="120" w:lineRule="exact"/>
        <w:rPr>
          <w:rFonts w:ascii="Arial" w:cs="Arial" w:eastAsia="Arial" w:hAnsi="Arial"/>
          <w:sz w:val="16"/>
          <w:szCs w:val="16"/>
          <w:color w:val="auto"/>
        </w:rPr>
      </w:pPr>
    </w:p>
    <w:p>
      <w:pPr>
        <w:ind w:right="560" w:firstLine="464"/>
        <w:spacing w:after="0" w:line="332" w:lineRule="auto"/>
        <w:tabs>
          <w:tab w:leader="none" w:pos="72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PAYMENT OF COLLECTION, ENFORCEMENT AND OTHER COSTS</w:t>
      </w:r>
      <w:r>
        <w:rPr>
          <w:rFonts w:ascii="Arial" w:cs="Arial" w:eastAsia="Arial" w:hAnsi="Arial"/>
          <w:sz w:val="16"/>
          <w:szCs w:val="16"/>
          <w:color w:val="auto"/>
        </w:rPr>
        <w:t>. If (a) this Note is placed in the hands of an attorney for collection or enforcement or is collected or enforced through any legal proceeding or the Holder otherwise takes action to collect amounts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76" w:name="page77"/>
    <w:bookmarkEnd w:id="76"/>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reasonable attorneys’ fees and disbursements. The Company expressly acknowledges and agrees that no amounts due under this Note shall be affected, or limited, by the fact that the Purchase Price (as defined in the Securities Purchase Agreement) paid for this Note was less than the original Principal amount hereof.</w:t>
      </w:r>
    </w:p>
    <w:p>
      <w:pPr>
        <w:spacing w:after="0" w:line="116" w:lineRule="exact"/>
        <w:rPr>
          <w:sz w:val="20"/>
          <w:szCs w:val="20"/>
          <w:color w:val="auto"/>
        </w:rPr>
      </w:pPr>
    </w:p>
    <w:p>
      <w:pPr>
        <w:jc w:val="both"/>
        <w:ind w:right="240" w:firstLine="464"/>
        <w:spacing w:after="0" w:line="298" w:lineRule="auto"/>
        <w:tabs>
          <w:tab w:leader="none" w:pos="72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CONSTRUCTION; HEADINGS</w:t>
      </w:r>
      <w:r>
        <w:rPr>
          <w:rFonts w:ascii="Arial" w:cs="Arial" w:eastAsia="Arial" w:hAnsi="Arial"/>
          <w:sz w:val="16"/>
          <w:szCs w:val="16"/>
          <w:color w:val="auto"/>
        </w:rPr>
        <w:t>. This Note shall be deemed to be jointly drafted by the Company and the Holder and shall not be construed against any Person as the drafter hereof. The headings of this Note are for convenience of reference and shall not form part of, or affect the interpretation of, this Note. Terms used in this Note but defined in the other Transaction Documents (as defined in the Securities Purchase Agreement) shall have the meanings ascribed to such terms on the Initial Closing Date in such other Transaction Documents unless otherwise consented to in writing by the Holder.</w:t>
      </w:r>
    </w:p>
    <w:p>
      <w:pPr>
        <w:spacing w:after="0" w:line="112" w:lineRule="exact"/>
        <w:rPr>
          <w:rFonts w:ascii="Arial" w:cs="Arial" w:eastAsia="Arial" w:hAnsi="Arial"/>
          <w:sz w:val="16"/>
          <w:szCs w:val="16"/>
          <w:color w:val="auto"/>
        </w:rPr>
      </w:pPr>
    </w:p>
    <w:p>
      <w:pPr>
        <w:jc w:val="both"/>
        <w:ind w:right="140" w:firstLine="464"/>
        <w:spacing w:after="0" w:line="306" w:lineRule="auto"/>
        <w:tabs>
          <w:tab w:leader="none" w:pos="72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FAILURE OR INDULGENCE NOT WAIVER</w:t>
      </w:r>
      <w:r>
        <w:rPr>
          <w:rFonts w:ascii="Arial" w:cs="Arial" w:eastAsia="Arial" w:hAnsi="Arial"/>
          <w:sz w:val="16"/>
          <w:szCs w:val="16"/>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w:t>
      </w:r>
    </w:p>
    <w:p>
      <w:pPr>
        <w:spacing w:after="0" w:line="106" w:lineRule="exact"/>
        <w:rPr>
          <w:rFonts w:ascii="Arial" w:cs="Arial" w:eastAsia="Arial" w:hAnsi="Arial"/>
          <w:sz w:val="16"/>
          <w:szCs w:val="16"/>
          <w:color w:val="auto"/>
        </w:rPr>
      </w:pPr>
    </w:p>
    <w:p>
      <w:pPr>
        <w:ind w:firstLine="464"/>
        <w:spacing w:after="0" w:line="285" w:lineRule="auto"/>
        <w:tabs>
          <w:tab w:leader="none" w:pos="72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Conversion Price, the Company Conversion Price, any Redemption Price, the Closing Bid Price, the Closing Sale Price or fair market value (as the case may be) or the arithmetic calculation of the Conversion Rate or the applicable Redemption Price (as the case may be), the Company or the Holder (as the case may be) shall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learned of the circumstances giving rise to such dispute (including, without limitation, as to whether any issuance or sale or deemed issuance or sale was an issuance or sale or deemed issuance or sale of Excluded Securities). If the Holder and the Company are unable to agree upon such determination or calculation within two (2) Business Days of such disputed determination or arithmetic calculation (as the case may be) being submitted to the Company or the Holder (as the case may be), then the Company shall, within two (2) Business Days, submit via facsimile (a) the disputed determination of the Conversion Price, the Company Conversion Price, any Redemption Price, the Closing Bid Price, the Closing Sale Price or fair market value (as the case may be) to an independent, reputable investment bank selected by the Company and reasonably acceptable to the Holder or (b) the disputed arithmetic calculation of the Conversion Rate or any Redemption Price (as the case may be)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manifest error.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77" w:name="page78"/>
    <w:bookmarkEnd w:id="77"/>
    <w:p>
      <w:pPr>
        <w:ind w:left="260" w:hanging="256"/>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 PRE-NOTICES; CURRENCY; PAYMENTS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40" w:firstLine="443"/>
        <w:spacing w:after="0" w:line="289" w:lineRule="auto"/>
        <w:tabs>
          <w:tab w:leader="none" w:pos="677"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Note, unless otherwise provided herein, such notice shall be given in accordance with Section 9(f) of the Securities Purchase Agreement. The Company will give written notice to the Holder (i) immediately upon any adjustment of the Conversion Price, setting forth in reasonable detail, and certifying, the calculation of such adjustment and (ii) at least ten (10) days prior to the date on which the Company closes its books or takes a record with respect to (A) any dividend or distribution upon the Common Stock, (B) any grants, issuances, or sales of any Options, Convertible Securities or rights to purchase stock, warrants, securities or other property to holders of shares of Common Stock generally or (C) any determination of rights to vote with respect to any Fundamental Transaction, dissolution or liquidation; provided that in each case that such information shall be made known to the public prior to or in conjunction with such notice being provided to the Holder (and the Holder acknowledges that the Company making such notice and information publicly available in a filing with the SEC shall satisfy the Company’s obligations hereunder).</w:t>
      </w:r>
    </w:p>
    <w:p>
      <w:pPr>
        <w:spacing w:after="0" w:line="37" w:lineRule="exact"/>
        <w:rPr>
          <w:rFonts w:ascii="Arial" w:cs="Arial" w:eastAsia="Arial" w:hAnsi="Arial"/>
          <w:sz w:val="16"/>
          <w:szCs w:val="16"/>
          <w:color w:val="auto"/>
        </w:rPr>
      </w:pPr>
    </w:p>
    <w:p>
      <w:pPr>
        <w:ind w:right="60" w:firstLine="443"/>
        <w:spacing w:after="0" w:line="288" w:lineRule="auto"/>
        <w:tabs>
          <w:tab w:leader="none" w:pos="687"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Pre-Notice</w:t>
      </w:r>
      <w:r>
        <w:rPr>
          <w:rFonts w:ascii="Arial" w:cs="Arial" w:eastAsia="Arial" w:hAnsi="Arial"/>
          <w:sz w:val="16"/>
          <w:szCs w:val="16"/>
          <w:color w:val="auto"/>
        </w:rPr>
        <w:t>. In the event that the Company is required to provide the Holder notice or obtain the approval of the Holder under this Note, and the Company reasonably determines that such notice or obtaining such approval would require the Company to disclose to the Holder material, non-public information, the Company shall deliver to the Holder a written notice (the “</w:t>
      </w:r>
      <w:r>
        <w:rPr>
          <w:rFonts w:ascii="Arial" w:cs="Arial" w:eastAsia="Arial" w:hAnsi="Arial"/>
          <w:sz w:val="16"/>
          <w:szCs w:val="16"/>
          <w:b w:val="1"/>
          <w:bCs w:val="1"/>
          <w:color w:val="auto"/>
        </w:rPr>
        <w:t>Pre-Notice</w:t>
      </w:r>
      <w:r>
        <w:rPr>
          <w:rFonts w:ascii="Arial" w:cs="Arial" w:eastAsia="Arial" w:hAnsi="Arial"/>
          <w:sz w:val="16"/>
          <w:szCs w:val="16"/>
          <w:color w:val="auto"/>
        </w:rPr>
        <w:t>”) that shall not contain any information other than a statement that the Company proposes to provide material, non-public information to the Holder upon the Holder’s written request. Upon the written request of the Holder within three (3) Trading Days after the Company’s delivery to the Holder of such Pre-Notice, and only upon such a written request by the Holder, the Company shall promptly disclose the material, non-public information to the Holder. If the Holder elects not to receive the material, non-public information, or fails to respond to the Pre-Notice within three (3) Trading Days after the Company’s delivery to the Holder of such Pre-Notice, the Holder shall be deemed to have waived its right to such notice under this Note and, if applicable, shall be deemed to have provided the required approval by the Holder under this Note.</w:t>
      </w:r>
    </w:p>
    <w:p>
      <w:pPr>
        <w:spacing w:after="0" w:line="32" w:lineRule="exact"/>
        <w:rPr>
          <w:rFonts w:ascii="Arial" w:cs="Arial" w:eastAsia="Arial" w:hAnsi="Arial"/>
          <w:sz w:val="16"/>
          <w:szCs w:val="16"/>
          <w:color w:val="auto"/>
        </w:rPr>
      </w:pPr>
    </w:p>
    <w:p>
      <w:pPr>
        <w:ind w:right="60" w:firstLine="443"/>
        <w:spacing w:after="0" w:line="296" w:lineRule="auto"/>
        <w:tabs>
          <w:tab w:leader="none" w:pos="677"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Currency</w:t>
      </w:r>
      <w:r>
        <w:rPr>
          <w:rFonts w:ascii="Arial" w:cs="Arial" w:eastAsia="Arial" w:hAnsi="Arial"/>
          <w:sz w:val="16"/>
          <w:szCs w:val="16"/>
          <w:color w:val="auto"/>
        </w:rPr>
        <w:t>. All dollar amounts referred to in this Note are in United States Dollars (“</w:t>
      </w:r>
      <w:r>
        <w:rPr>
          <w:rFonts w:ascii="Arial" w:cs="Arial" w:eastAsia="Arial" w:hAnsi="Arial"/>
          <w:sz w:val="16"/>
          <w:szCs w:val="16"/>
          <w:b w:val="1"/>
          <w:bCs w:val="1"/>
          <w:color w:val="auto"/>
        </w:rPr>
        <w:t>U.S. Dollars</w:t>
      </w:r>
      <w:r>
        <w:rPr>
          <w:rFonts w:ascii="Arial" w:cs="Arial" w:eastAsia="Arial" w:hAnsi="Arial"/>
          <w:sz w:val="16"/>
          <w:szCs w:val="16"/>
          <w:color w:val="auto"/>
        </w:rPr>
        <w:t xml:space="preserve">”), and all amounts owing under this Note shall be paid in U.S. Dollars. All amounts denominated in other currencies (if any) shall be converted into the U.S. Dollar equivalent amount in accordance with the Exchange Rate on the date of </w:t>
      </w:r>
      <w:r>
        <w:rPr>
          <w:rFonts w:ascii="Arial" w:cs="Arial" w:eastAsia="Arial" w:hAnsi="Arial"/>
          <w:sz w:val="16"/>
          <w:szCs w:val="16"/>
          <w:u w:val="single" w:color="auto"/>
          <w:color w:val="auto"/>
        </w:rPr>
        <w:t>calculation</w:t>
      </w:r>
      <w:r>
        <w:rPr>
          <w:rFonts w:ascii="Arial" w:cs="Arial" w:eastAsia="Arial" w:hAnsi="Arial"/>
          <w:sz w:val="16"/>
          <w:szCs w:val="16"/>
          <w:color w:val="auto"/>
        </w:rPr>
        <w:t>. “</w:t>
      </w:r>
      <w:r>
        <w:rPr>
          <w:rFonts w:ascii="Arial" w:cs="Arial" w:eastAsia="Arial" w:hAnsi="Arial"/>
          <w:sz w:val="16"/>
          <w:szCs w:val="16"/>
          <w:b w:val="1"/>
          <w:bCs w:val="1"/>
          <w:color w:val="auto"/>
        </w:rPr>
        <w:t>Exchange Rate</w:t>
      </w:r>
      <w:r>
        <w:rPr>
          <w:rFonts w:ascii="Arial" w:cs="Arial" w:eastAsia="Arial" w:hAnsi="Arial"/>
          <w:sz w:val="16"/>
          <w:szCs w:val="16"/>
          <w:color w:val="auto"/>
        </w:rPr>
        <w:t>”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spacing w:after="0" w:line="32" w:lineRule="exact"/>
        <w:rPr>
          <w:rFonts w:ascii="Arial" w:cs="Arial" w:eastAsia="Arial" w:hAnsi="Arial"/>
          <w:sz w:val="16"/>
          <w:szCs w:val="16"/>
          <w:color w:val="auto"/>
        </w:rPr>
      </w:pPr>
    </w:p>
    <w:p>
      <w:pPr>
        <w:ind w:firstLine="443"/>
        <w:spacing w:after="0" w:line="268" w:lineRule="auto"/>
        <w:tabs>
          <w:tab w:leader="none" w:pos="687"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Whenever any payment of cash is to be made by the Company to any Person pursuant to this Note, unless otherwise expressly set forth herein, such payment shall be made in lawful money of the United States of America by a certified</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700" w:top="280" w:right="239" w:bottom="1440" w:gutter="0" w:footer="0" w:header="0"/>
        </w:sectPr>
      </w:pPr>
    </w:p>
    <w:bookmarkStart w:id="78" w:name="page79"/>
    <w:bookmarkEnd w:id="78"/>
    <w:p>
      <w:pPr>
        <w:ind w:left="460"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check drawn on the account of the Company and sent via overnight courier service to such Person at such address as previously provided to the Company in writing (which address, in the case of each of the Buyers (as defined in the Securities Purchase Agreement), shall initially be as set forth on the Schedule of Buyers attached to the Securities Purchase Agreement),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w:t>
      </w:r>
    </w:p>
    <w:p>
      <w:pPr>
        <w:spacing w:after="0" w:line="144" w:lineRule="exact"/>
        <w:rPr>
          <w:sz w:val="20"/>
          <w:szCs w:val="20"/>
          <w:color w:val="auto"/>
        </w:rPr>
      </w:pPr>
    </w:p>
    <w:p>
      <w:pPr>
        <w:ind w:right="640" w:firstLine="464"/>
        <w:spacing w:after="0" w:line="268"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After all Principal, accrued Interest and other amounts at any time owed on this Note have been paid in full, this Note shall automatically be deemed canceled, shall be surrendered to the Company for cancellation and shall not be reissued.</w:t>
      </w:r>
    </w:p>
    <w:p>
      <w:pPr>
        <w:spacing w:after="0" w:line="131" w:lineRule="exact"/>
        <w:rPr>
          <w:rFonts w:ascii="Arial" w:cs="Arial" w:eastAsia="Arial" w:hAnsi="Arial"/>
          <w:sz w:val="18"/>
          <w:szCs w:val="18"/>
          <w:color w:val="auto"/>
        </w:rPr>
      </w:pPr>
    </w:p>
    <w:p>
      <w:pPr>
        <w:ind w:right="360" w:firstLine="464"/>
        <w:spacing w:after="0" w:line="332" w:lineRule="auto"/>
        <w:tabs>
          <w:tab w:leader="none" w:pos="72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WAIVER OF NOTICE</w:t>
      </w:r>
      <w:r>
        <w:rPr>
          <w:rFonts w:ascii="Arial" w:cs="Arial" w:eastAsia="Arial" w:hAnsi="Arial"/>
          <w:sz w:val="16"/>
          <w:szCs w:val="16"/>
          <w:color w:val="auto"/>
        </w:rPr>
        <w:t>. To the extent permitted by law, the Company hereby irrevocably waives demand, notice, presentment, protest and all other demands and notices in connection with the delivery, acceptance, performance, default or enforcement of this Note and the Securities Purchase Agreement.</w:t>
      </w:r>
    </w:p>
    <w:p>
      <w:pPr>
        <w:spacing w:after="0" w:line="85" w:lineRule="exact"/>
        <w:rPr>
          <w:rFonts w:ascii="Arial" w:cs="Arial" w:eastAsia="Arial" w:hAnsi="Arial"/>
          <w:sz w:val="16"/>
          <w:szCs w:val="16"/>
          <w:color w:val="auto"/>
        </w:rPr>
      </w:pPr>
    </w:p>
    <w:p>
      <w:pPr>
        <w:ind w:firstLine="464"/>
        <w:spacing w:after="0" w:line="282" w:lineRule="auto"/>
        <w:tabs>
          <w:tab w:leader="none" w:pos="72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Note shall be governed by and construed and enforced in accordance with, and all questions concerning the construction, validity, interpretation and performance of this Note shall be governed by, the internal laws of the State of New York, without regard to conflict of law principles that would result in the application of any laws other than the laws of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Section 9(f) of the Securities Purchase Agreement and agrees that such service shall constitute good and sufficient service of process and notice thereof. Nothing contained herein shall be deemed to limit in any way any right to serve process in any manner permitted by law. In the event that any provision of this Note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 </w:t>
      </w:r>
      <w:r>
        <w:rPr>
          <w:rFonts w:ascii="Arial" w:cs="Arial" w:eastAsia="Arial" w:hAnsi="Arial"/>
          <w:sz w:val="16"/>
          <w:szCs w:val="16"/>
          <w:b w:val="1"/>
          <w:bCs w:val="1"/>
          <w:color w:val="auto"/>
        </w:rPr>
        <w:t>EACH PARTY HEREBY IRREVOCABLY WAIVES ANY RIGHT IT MAY HAVE TO, AND AGREES NOT TO REQUEST, A JURY</w:t>
      </w:r>
    </w:p>
    <w:p>
      <w:pPr>
        <w:spacing w:after="0" w:line="5"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TRIAL FOR THE ADJUDICATION OF ANY DISPUTE HEREUNDER OR IN CONNECTION WITH OR ARISING OUT OF THIS NOTE OR ANY TRANSACTION CONTEMPLATED HEREBY.</w:t>
      </w:r>
    </w:p>
    <w:p>
      <w:pPr>
        <w:spacing w:after="0" w:line="137" w:lineRule="exact"/>
        <w:rPr>
          <w:rFonts w:ascii="Arial" w:cs="Arial" w:eastAsia="Arial" w:hAnsi="Arial"/>
          <w:sz w:val="16"/>
          <w:szCs w:val="16"/>
          <w:color w:val="auto"/>
        </w:rPr>
      </w:pPr>
    </w:p>
    <w:p>
      <w:pPr>
        <w:ind w:right="140" w:firstLine="464"/>
        <w:spacing w:after="0" w:line="268"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MAXIMUM PAYMENTS</w:t>
      </w:r>
      <w:r>
        <w:rPr>
          <w:rFonts w:ascii="Arial" w:cs="Arial" w:eastAsia="Arial" w:hAnsi="Arial"/>
          <w:sz w:val="18"/>
          <w:szCs w:val="18"/>
          <w:color w:val="auto"/>
        </w:rPr>
        <w:t>. Without limiting Section 9(d) of the Securities Purchase Agreement, nothing contained herein shall be deemed to establish or require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79" w:name="page80"/>
    <w:bookmarkEnd w:id="79"/>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a rate of interest or other charges in excess of the maximum permitted by applicable law. In the event that the rate of interest required to be paid or other charges hereunder exceed the maximum permitted by law, any payments in excess of such maximum shall be credited against amounts owed by the Company to the Holder and thus refunded to the Company.</w:t>
      </w:r>
    </w:p>
    <w:p>
      <w:pPr>
        <w:spacing w:after="0" w:line="140" w:lineRule="exact"/>
        <w:rPr>
          <w:sz w:val="20"/>
          <w:szCs w:val="20"/>
          <w:color w:val="auto"/>
        </w:rPr>
      </w:pPr>
    </w:p>
    <w:p>
      <w:pPr>
        <w:ind w:left="720" w:hanging="256"/>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 of this Note, by accepting this Note, acknowledges and agrees as follows:</w:t>
      </w:r>
    </w:p>
    <w:p>
      <w:pPr>
        <w:spacing w:after="0" w:line="90" w:lineRule="exact"/>
        <w:rPr>
          <w:sz w:val="20"/>
          <w:szCs w:val="20"/>
          <w:color w:val="auto"/>
        </w:rPr>
      </w:pPr>
    </w:p>
    <w:p>
      <w:pPr>
        <w:ind w:left="460" w:right="220" w:firstLine="443"/>
        <w:spacing w:after="0" w:line="268" w:lineRule="auto"/>
        <w:tabs>
          <w:tab w:leader="none" w:pos="1137"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Company will treat this Note as equity for U.S. withholding tax purposes and reporting purposes. The Company agrees to provide Holders reasonable assistance in seeking a refund of any taxes withheld with respect to the Notes.</w:t>
      </w:r>
    </w:p>
    <w:p>
      <w:pPr>
        <w:spacing w:after="0" w:line="50" w:lineRule="exact"/>
        <w:rPr>
          <w:rFonts w:ascii="Arial" w:cs="Arial" w:eastAsia="Arial" w:hAnsi="Arial"/>
          <w:sz w:val="18"/>
          <w:szCs w:val="18"/>
          <w:color w:val="auto"/>
        </w:rPr>
      </w:pPr>
    </w:p>
    <w:p>
      <w:pPr>
        <w:ind w:left="460" w:right="120" w:firstLine="443"/>
        <w:spacing w:after="0" w:line="255" w:lineRule="auto"/>
        <w:tabs>
          <w:tab w:leader="none" w:pos="1147" w:val="left"/>
        </w:tabs>
        <w:numPr>
          <w:ilvl w:val="1"/>
          <w:numId w:val="70"/>
        </w:numPr>
        <w:rPr>
          <w:rFonts w:ascii="Arial" w:cs="Arial" w:eastAsia="Arial" w:hAnsi="Arial"/>
          <w:sz w:val="18"/>
          <w:szCs w:val="18"/>
          <w:color w:val="auto"/>
        </w:rPr>
      </w:pPr>
      <w:r>
        <w:rPr>
          <w:rFonts w:ascii="Arial" w:cs="Arial" w:eastAsia="Arial" w:hAnsi="Arial"/>
          <w:sz w:val="18"/>
          <w:szCs w:val="18"/>
          <w:color w:val="auto"/>
        </w:rPr>
        <w:t>On or prior to the date it acquires the Notes, the Holder will timely furnish the Company or its agents any United States federal income tax form or certification (such as IRS Form W-8BEN, Form W-8IMY, IRS Form W-9, or IRS Form W-8ECI or any successors to such IRS forms), or other information, form or certificate (including any information or certifications specified under Sections 1471-1474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that the Company or its agents may reasonably request and will update or replace such form or certification in accordance with its terms or its subsequent amendments.</w:t>
      </w:r>
    </w:p>
    <w:p>
      <w:pPr>
        <w:spacing w:after="0" w:line="61" w:lineRule="exact"/>
        <w:rPr>
          <w:rFonts w:ascii="Arial" w:cs="Arial" w:eastAsia="Arial" w:hAnsi="Arial"/>
          <w:sz w:val="18"/>
          <w:szCs w:val="18"/>
          <w:color w:val="auto"/>
        </w:rPr>
      </w:pPr>
    </w:p>
    <w:p>
      <w:pPr>
        <w:ind w:left="460" w:firstLine="443"/>
        <w:spacing w:after="0" w:line="259" w:lineRule="auto"/>
        <w:tabs>
          <w:tab w:leader="none" w:pos="1137"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the Company pays withholding taxes with respect to the Notes that it cannot immediately offset by reducing the amount of a related payment (such as withholding taxes imposed as a result of the application of Section 305(c) of the Code), the Holder shall, within 10 business days of written notice, reimburse the Company for the amounts specified in such notice.</w:t>
      </w:r>
    </w:p>
    <w:p>
      <w:pPr>
        <w:spacing w:after="0" w:line="59" w:lineRule="exact"/>
        <w:rPr>
          <w:rFonts w:ascii="Arial" w:cs="Arial" w:eastAsia="Arial" w:hAnsi="Arial"/>
          <w:sz w:val="18"/>
          <w:szCs w:val="18"/>
          <w:color w:val="auto"/>
        </w:rPr>
      </w:pPr>
    </w:p>
    <w:p>
      <w:pPr>
        <w:ind w:left="460" w:right="80" w:firstLine="443"/>
        <w:spacing w:after="0" w:line="268" w:lineRule="auto"/>
        <w:tabs>
          <w:tab w:leader="none" w:pos="1147"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Holder agrees to file all tax returns in a manner consistent with Section 1(c) of the Securities Purchase Agreement unless otherwise required to take a different position following a determination within the meaning of Section 1313 of the Code to the contrary.</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Note, the following terms shall have the following meanings:</w:t>
      </w:r>
    </w:p>
    <w:p>
      <w:pPr>
        <w:spacing w:after="0" w:line="84" w:lineRule="exact"/>
        <w:rPr>
          <w:rFonts w:ascii="Arial" w:cs="Arial" w:eastAsia="Arial" w:hAnsi="Arial"/>
          <w:sz w:val="18"/>
          <w:szCs w:val="18"/>
          <w:color w:val="auto"/>
        </w:rPr>
      </w:pPr>
    </w:p>
    <w:p>
      <w:pPr>
        <w:ind w:left="460" w:right="120" w:firstLine="443"/>
        <w:spacing w:after="0" w:line="357" w:lineRule="auto"/>
        <w:tabs>
          <w:tab w:leader="none" w:pos="1137" w:val="left"/>
        </w:tabs>
        <w:numPr>
          <w:ilvl w:val="1"/>
          <w:numId w:val="7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Additional Closing Date</w:t>
      </w:r>
      <w:r>
        <w:rPr>
          <w:rFonts w:ascii="Arial" w:cs="Arial" w:eastAsia="Arial" w:hAnsi="Arial"/>
          <w:sz w:val="15"/>
          <w:szCs w:val="15"/>
          <w:color w:val="auto"/>
        </w:rPr>
        <w:t>” shall have the meaning ascribed to such term in the Securities Purchase Agreement, which date is the date the Company initially issued Additional Notes (as defined in the Securities Purchase Agreement) pursuant to the terms of the Securities Purchase Agreement.</w:t>
      </w:r>
    </w:p>
    <w:p>
      <w:pPr>
        <w:ind w:left="460" w:right="380" w:firstLine="443"/>
        <w:spacing w:after="0" w:line="275" w:lineRule="auto"/>
        <w:tabs>
          <w:tab w:leader="none" w:pos="1147"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Notes</w:t>
      </w:r>
      <w:r>
        <w:rPr>
          <w:rFonts w:ascii="Arial" w:cs="Arial" w:eastAsia="Arial" w:hAnsi="Arial"/>
          <w:sz w:val="18"/>
          <w:szCs w:val="18"/>
          <w:color w:val="auto"/>
        </w:rPr>
        <w:t>” shall have the meaning ascribed to such term in the Securities Purchase Agreement, and shall include all notes issued in exchange therefor or replacement thereof.</w:t>
      </w:r>
    </w:p>
    <w:p>
      <w:pPr>
        <w:spacing w:after="0" w:line="38" w:lineRule="exact"/>
        <w:rPr>
          <w:rFonts w:ascii="Arial" w:cs="Arial" w:eastAsia="Arial" w:hAnsi="Arial"/>
          <w:sz w:val="18"/>
          <w:szCs w:val="18"/>
          <w:color w:val="auto"/>
        </w:rPr>
      </w:pPr>
    </w:p>
    <w:p>
      <w:pPr>
        <w:ind w:left="460" w:right="60" w:firstLine="443"/>
        <w:spacing w:after="0" w:line="262" w:lineRule="auto"/>
        <w:tabs>
          <w:tab w:leader="none" w:pos="1137" w:val="left"/>
        </w:tabs>
        <w:numPr>
          <w:ilvl w:val="1"/>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Right</w:t>
      </w:r>
      <w:r>
        <w:rPr>
          <w:rFonts w:ascii="Arial" w:cs="Arial" w:eastAsia="Arial" w:hAnsi="Arial"/>
          <w:sz w:val="18"/>
          <w:szCs w:val="18"/>
          <w:color w:val="auto"/>
        </w:rPr>
        <w:t>” means any right granted with respect to any securities issued in connection with, or with respect to, any issuance or sale (or deemed issuance or sale in accordance with Section 7) of shares of Common Stock (other than rights of the type described in Section 6(a) hereof) that could result in a decrease in the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80" w:name="page81"/>
    <w:bookmarkEnd w:id="80"/>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consideration received by the Company in connection with, or with respect to, such securities (including, without limitation, any cash settlement rights, cash adjustment or other similar rights).</w:t>
      </w:r>
    </w:p>
    <w:p>
      <w:pPr>
        <w:spacing w:after="0" w:line="45" w:lineRule="exact"/>
        <w:rPr>
          <w:sz w:val="20"/>
          <w:szCs w:val="20"/>
          <w:color w:val="auto"/>
        </w:rPr>
      </w:pPr>
    </w:p>
    <w:p>
      <w:pPr>
        <w:ind w:right="20" w:firstLine="443"/>
        <w:spacing w:after="0" w:line="258" w:lineRule="auto"/>
        <w:tabs>
          <w:tab w:leader="none" w:pos="687"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Stock Plan</w:t>
      </w:r>
      <w:r>
        <w:rPr>
          <w:rFonts w:ascii="Arial" w:cs="Arial" w:eastAsia="Arial" w:hAnsi="Arial"/>
          <w:sz w:val="18"/>
          <w:szCs w:val="18"/>
          <w:color w:val="auto"/>
        </w:rPr>
        <w:t>” means any employee benefit or incentive plan which has been approved by the Board of Directors of the Company prior to or subsequent to the date hereof pursuant to which shares of Common Stock, options to purchase Common Stock, stock appreciation rights, restricted shares of Common Stock, restricted stock units and other stock-based awards may be issued to any employee, officer, director, or consultant for services provided to the Company in their capacity as such.</w:t>
      </w:r>
    </w:p>
    <w:p>
      <w:pPr>
        <w:spacing w:after="0" w:line="55" w:lineRule="exact"/>
        <w:rPr>
          <w:rFonts w:ascii="Arial" w:cs="Arial" w:eastAsia="Arial" w:hAnsi="Arial"/>
          <w:sz w:val="18"/>
          <w:szCs w:val="18"/>
          <w:color w:val="auto"/>
        </w:rPr>
      </w:pPr>
    </w:p>
    <w:p>
      <w:pPr>
        <w:ind w:firstLine="443"/>
        <w:spacing w:after="0" w:line="303" w:lineRule="auto"/>
        <w:tabs>
          <w:tab w:leader="none" w:pos="677" w:val="left"/>
        </w:tabs>
        <w:numPr>
          <w:ilvl w:val="1"/>
          <w:numId w:val="7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Black Scholes Consideration Value</w:t>
      </w:r>
      <w:r>
        <w:rPr>
          <w:rFonts w:ascii="Arial" w:cs="Arial" w:eastAsia="Arial" w:hAnsi="Arial"/>
          <w:sz w:val="15"/>
          <w:szCs w:val="15"/>
          <w:color w:val="auto"/>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Convertible Security or Adjustment Right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zero cost of borrow and</w:t>
      </w:r>
    </w:p>
    <w:p>
      <w:pPr>
        <w:spacing w:after="0" w:line="2" w:lineRule="exact"/>
        <w:rPr>
          <w:rFonts w:ascii="Arial" w:cs="Arial" w:eastAsia="Arial" w:hAnsi="Arial"/>
          <w:sz w:val="15"/>
          <w:szCs w:val="15"/>
          <w:color w:val="auto"/>
        </w:rPr>
      </w:pPr>
    </w:p>
    <w:p>
      <w:pPr>
        <w:ind w:left="300" w:hanging="296"/>
        <w:spacing w:after="0"/>
        <w:tabs>
          <w:tab w:leader="none" w:pos="3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 expected volatility equal to the greater of 100% and the 100 day volatility obtained from the “HVT” function on Bloomberg (determined utilizing a</w:t>
      </w:r>
    </w:p>
    <w:p>
      <w:pPr>
        <w:spacing w:after="0" w:line="32" w:lineRule="exact"/>
        <w:rPr>
          <w:rFonts w:ascii="Arial" w:cs="Arial" w:eastAsia="Arial" w:hAnsi="Arial"/>
          <w:sz w:val="16"/>
          <w:szCs w:val="16"/>
          <w:color w:val="auto"/>
        </w:rPr>
      </w:pPr>
    </w:p>
    <w:p>
      <w:pPr>
        <w:ind w:right="140"/>
        <w:spacing w:after="0" w:line="261" w:lineRule="auto"/>
        <w:rPr>
          <w:rFonts w:ascii="Arial" w:cs="Arial" w:eastAsia="Arial" w:hAnsi="Arial"/>
          <w:sz w:val="16"/>
          <w:szCs w:val="16"/>
          <w:color w:val="auto"/>
        </w:rPr>
      </w:pPr>
      <w:r>
        <w:rPr>
          <w:rFonts w:ascii="Arial" w:cs="Arial" w:eastAsia="Arial" w:hAnsi="Arial"/>
          <w:sz w:val="18"/>
          <w:szCs w:val="18"/>
          <w:color w:val="auto"/>
        </w:rPr>
        <w:t>260 day annualization factor) as of the Trading Day immediately following the date of issuance of such Option, Convertible Security or Adjustment Right (as the case may be).</w:t>
      </w:r>
    </w:p>
    <w:p>
      <w:pPr>
        <w:spacing w:after="0" w:line="50" w:lineRule="exact"/>
        <w:rPr>
          <w:rFonts w:ascii="Arial" w:cs="Arial" w:eastAsia="Arial" w:hAnsi="Arial"/>
          <w:sz w:val="16"/>
          <w:szCs w:val="16"/>
          <w:color w:val="auto"/>
        </w:rPr>
      </w:pPr>
    </w:p>
    <w:p>
      <w:pPr>
        <w:ind w:left="660" w:hanging="217"/>
        <w:spacing w:after="0"/>
        <w:tabs>
          <w:tab w:leader="none" w:pos="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90" w:lineRule="exact"/>
        <w:rPr>
          <w:rFonts w:ascii="Arial" w:cs="Arial" w:eastAsia="Arial" w:hAnsi="Arial"/>
          <w:sz w:val="18"/>
          <w:szCs w:val="18"/>
          <w:color w:val="auto"/>
        </w:rPr>
      </w:pPr>
    </w:p>
    <w:p>
      <w:pPr>
        <w:ind w:right="80" w:firstLine="443"/>
        <w:spacing w:after="0" w:line="275" w:lineRule="auto"/>
        <w:tabs>
          <w:tab w:leader="none" w:pos="687"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38" w:lineRule="exact"/>
        <w:rPr>
          <w:rFonts w:ascii="Arial" w:cs="Arial" w:eastAsia="Arial" w:hAnsi="Arial"/>
          <w:sz w:val="18"/>
          <w:szCs w:val="18"/>
          <w:color w:val="auto"/>
        </w:rPr>
      </w:pPr>
    </w:p>
    <w:p>
      <w:pPr>
        <w:ind w:right="20" w:firstLine="443"/>
        <w:spacing w:after="0" w:line="290" w:lineRule="auto"/>
        <w:tabs>
          <w:tab w:leader="none" w:pos="687" w:val="left"/>
        </w:tabs>
        <w:numPr>
          <w:ilvl w:val="1"/>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any Fundamental Transaction other than (i) any merger of the Company or any of its, direct or indirect, wholly-owned Subsidiaries with or into any of the foregoing Persons, (ii) any reorganization, recapitalization or reclassification of the shares of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(iii) pursuant to a migratory merger effected solely for the purpose of changing the jurisdiction of incorporation of the Company or any of its Subsidiaries or (iv) a merger in connection with a bona fide acquisition by the Company of any Person (x) in which the shareholders of the Company prior to such merger own at least 51% of</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700" w:top="280" w:right="239" w:bottom="1440" w:gutter="0" w:footer="0" w:header="0"/>
        </w:sectPr>
      </w:pPr>
    </w:p>
    <w:bookmarkStart w:id="81" w:name="page82"/>
    <w:bookmarkEnd w:id="81"/>
    <w:p>
      <w:pPr>
        <w:ind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Voting Stock of the Company after such merger and (y) such merger does not contemplate a change in a majority of the identity of the Board of Directors of the Company.</w:t>
      </w:r>
    </w:p>
    <w:p>
      <w:pPr>
        <w:spacing w:after="0" w:line="45" w:lineRule="exact"/>
        <w:rPr>
          <w:sz w:val="20"/>
          <w:szCs w:val="20"/>
          <w:color w:val="auto"/>
        </w:rPr>
      </w:pPr>
    </w:p>
    <w:p>
      <w:pPr>
        <w:ind w:left="660" w:hanging="217"/>
        <w:spacing w:after="0"/>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 Redemption Premium</w:t>
      </w:r>
      <w:r>
        <w:rPr>
          <w:rFonts w:ascii="Arial" w:cs="Arial" w:eastAsia="Arial" w:hAnsi="Arial"/>
          <w:sz w:val="18"/>
          <w:szCs w:val="18"/>
          <w:color w:val="auto"/>
        </w:rPr>
        <w:t>” means 125%.</w:t>
      </w:r>
    </w:p>
    <w:p>
      <w:pPr>
        <w:spacing w:after="0" w:line="90" w:lineRule="exact"/>
        <w:rPr>
          <w:rFonts w:ascii="Arial" w:cs="Arial" w:eastAsia="Arial" w:hAnsi="Arial"/>
          <w:sz w:val="18"/>
          <w:szCs w:val="18"/>
          <w:color w:val="auto"/>
        </w:rPr>
      </w:pPr>
    </w:p>
    <w:p>
      <w:pPr>
        <w:ind w:firstLine="443"/>
        <w:spacing w:after="0" w:line="286" w:lineRule="auto"/>
        <w:tabs>
          <w:tab w:leader="none" w:pos="648" w:val="left"/>
        </w:tabs>
        <w:numPr>
          <w:ilvl w:val="1"/>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Bid Price</w:t>
      </w:r>
      <w:r>
        <w:rPr>
          <w:rFonts w:ascii="Arial" w:cs="Arial" w:eastAsia="Arial" w:hAnsi="Arial"/>
          <w:sz w:val="16"/>
          <w:szCs w:val="16"/>
          <w:color w:val="auto"/>
        </w:rPr>
        <w:t>” and “</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City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sheets” by OTC Markets Group Inc. (formerly Pink Sheets LLC).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24. All such determinations shall be appropriately adjusted for any stock splits, stock dividends, stock combinations, recapitalizations or other similar transactions during such period.</w:t>
      </w:r>
    </w:p>
    <w:p>
      <w:pPr>
        <w:spacing w:after="0" w:line="36" w:lineRule="exact"/>
        <w:rPr>
          <w:rFonts w:ascii="Arial" w:cs="Arial" w:eastAsia="Arial" w:hAnsi="Arial"/>
          <w:sz w:val="16"/>
          <w:szCs w:val="16"/>
          <w:color w:val="auto"/>
        </w:rPr>
      </w:pPr>
    </w:p>
    <w:p>
      <w:pPr>
        <w:ind w:right="580" w:firstLine="443"/>
        <w:spacing w:after="0" w:line="334" w:lineRule="auto"/>
        <w:tabs>
          <w:tab w:leader="none" w:pos="687" w:val="left"/>
        </w:tabs>
        <w:numPr>
          <w:ilvl w:val="1"/>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(i) the Company’s shares of common stock, $0.01 par value per share, and (ii) any capital stock into which such common stock shall have been changed or any share capital resulting from a reclassification of such common stock.</w:t>
      </w:r>
    </w:p>
    <w:p>
      <w:pPr>
        <w:spacing w:after="0" w:line="1" w:lineRule="exact"/>
        <w:rPr>
          <w:rFonts w:ascii="Arial" w:cs="Arial" w:eastAsia="Arial" w:hAnsi="Arial"/>
          <w:sz w:val="16"/>
          <w:szCs w:val="16"/>
          <w:color w:val="auto"/>
        </w:rPr>
      </w:pPr>
    </w:p>
    <w:p>
      <w:pPr>
        <w:jc w:val="both"/>
        <w:ind w:firstLine="443"/>
        <w:spacing w:after="0" w:line="262" w:lineRule="auto"/>
        <w:tabs>
          <w:tab w:leader="none" w:pos="648"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 Deemed Outstanding</w:t>
      </w:r>
      <w:r>
        <w:rPr>
          <w:rFonts w:ascii="Arial" w:cs="Arial" w:eastAsia="Arial" w:hAnsi="Arial"/>
          <w:sz w:val="18"/>
          <w:szCs w:val="18"/>
          <w:color w:val="auto"/>
        </w:rPr>
        <w:t>” means, at any given time, the number of shares of Common Stock actually outstanding at such time, but excluding any shares of Common Stock owned or held by or for the account of the Company or issuable upon conversion and exercise, as applicable, of the Notes and the Warrants.</w:t>
      </w:r>
    </w:p>
    <w:p>
      <w:pPr>
        <w:spacing w:after="0" w:line="51" w:lineRule="exact"/>
        <w:rPr>
          <w:rFonts w:ascii="Arial" w:cs="Arial" w:eastAsia="Arial" w:hAnsi="Arial"/>
          <w:sz w:val="18"/>
          <w:szCs w:val="18"/>
          <w:color w:val="auto"/>
        </w:rPr>
      </w:pPr>
    </w:p>
    <w:p>
      <w:pPr>
        <w:ind w:left="740" w:hanging="297"/>
        <w:spacing w:after="0"/>
        <w:tabs>
          <w:tab w:leader="none" w:pos="7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Conversion Price</w:t>
      </w:r>
      <w:r>
        <w:rPr>
          <w:rFonts w:ascii="Arial" w:cs="Arial" w:eastAsia="Arial" w:hAnsi="Arial"/>
          <w:sz w:val="16"/>
          <w:szCs w:val="16"/>
          <w:color w:val="auto"/>
        </w:rPr>
        <w:t>” means, with respect to a particular date of determination, the lower of (i) the Conversion Price then in effect and</w:t>
      </w:r>
    </w:p>
    <w:p>
      <w:pPr>
        <w:spacing w:after="0" w:line="44" w:lineRule="exact"/>
        <w:rPr>
          <w:rFonts w:ascii="Arial" w:cs="Arial" w:eastAsia="Arial" w:hAnsi="Arial"/>
          <w:sz w:val="16"/>
          <w:szCs w:val="16"/>
          <w:color w:val="auto"/>
        </w:rPr>
      </w:pPr>
    </w:p>
    <w:p>
      <w:pPr>
        <w:ind w:right="200" w:firstLine="4"/>
        <w:spacing w:after="0" w:line="255" w:lineRule="auto"/>
        <w:tabs>
          <w:tab w:leader="none" w:pos="25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price which shall be computed as 85% of Market Price as of the Trading Day immediately prior to the applicable Installment Date. All such determinations to be appropriately adjusted for any stock split, stock dividend, stock combination, recapitalization or other similar transaction during any such measuring period.</w:t>
      </w:r>
    </w:p>
    <w:p>
      <w:pPr>
        <w:spacing w:after="0" w:line="13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700" w:top="280" w:right="239" w:bottom="1440" w:gutter="0" w:footer="0" w:header="0"/>
        </w:sectPr>
      </w:pPr>
    </w:p>
    <w:bookmarkStart w:id="82" w:name="page83"/>
    <w:bookmarkEnd w:id="82"/>
    <w:p>
      <w:pPr>
        <w:ind w:right="280" w:firstLine="443"/>
        <w:spacing w:after="0" w:line="357" w:lineRule="auto"/>
        <w:tabs>
          <w:tab w:leader="none" w:pos="687" w:val="left"/>
        </w:tabs>
        <w:numPr>
          <w:ilvl w:val="0"/>
          <w:numId w:val="7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5"/>
          <w:szCs w:val="15"/>
          <w:b w:val="1"/>
          <w:bCs w:val="1"/>
          <w:color w:val="auto"/>
        </w:rPr>
        <w:t>Conversion Share Ratio</w:t>
      </w:r>
      <w:r>
        <w:rPr>
          <w:rFonts w:ascii="Arial" w:cs="Arial" w:eastAsia="Arial" w:hAnsi="Arial"/>
          <w:sz w:val="15"/>
          <w:szCs w:val="15"/>
          <w:color w:val="auto"/>
        </w:rPr>
        <w:t>” means as to any applicable Installment Date, the quotient of (i) the number of Pre-Installment Conversion Shares delivered in connection with such Installment Date divided by (ii) the number of Installment Conversion Shares applicable to such Installment Date.</w:t>
      </w:r>
    </w:p>
    <w:p>
      <w:pPr>
        <w:ind w:right="340" w:firstLine="443"/>
        <w:spacing w:after="0" w:line="357" w:lineRule="auto"/>
        <w:tabs>
          <w:tab w:leader="none" w:pos="687" w:val="left"/>
        </w:tabs>
        <w:numPr>
          <w:ilvl w:val="0"/>
          <w:numId w:val="7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Convertible Securities</w:t>
      </w:r>
      <w:r>
        <w:rPr>
          <w:rFonts w:ascii="Arial" w:cs="Arial" w:eastAsia="Arial" w:hAnsi="Arial"/>
          <w:sz w:val="15"/>
          <w:szCs w:val="15"/>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jc w:val="both"/>
        <w:ind w:right="20" w:firstLine="443"/>
        <w:spacing w:after="0" w:line="262" w:lineRule="auto"/>
        <w:tabs>
          <w:tab w:leader="none" w:pos="687"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Subsidiary</w:t>
      </w:r>
      <w:r>
        <w:rPr>
          <w:rFonts w:ascii="Arial" w:cs="Arial" w:eastAsia="Arial" w:hAnsi="Arial"/>
          <w:sz w:val="18"/>
          <w:szCs w:val="18"/>
          <w:color w:val="auto"/>
        </w:rPr>
        <w:t>” means any Person in which the Company on the Subscription Date, directly or indirectly, (i) owns any of the outstanding capital stock or holds any equity or similar interest of such Person or (ii) controls or operates all or any part of the business, operations or administration of such Person, and all of the foregoing, collectively, “</w:t>
      </w:r>
      <w:r>
        <w:rPr>
          <w:rFonts w:ascii="Arial" w:cs="Arial" w:eastAsia="Arial" w:hAnsi="Arial"/>
          <w:sz w:val="18"/>
          <w:szCs w:val="18"/>
          <w:b w:val="1"/>
          <w:bCs w:val="1"/>
          <w:color w:val="auto"/>
        </w:rPr>
        <w:t>Current Subsidiaries</w:t>
      </w:r>
      <w:r>
        <w:rPr>
          <w:rFonts w:ascii="Arial" w:cs="Arial" w:eastAsia="Arial" w:hAnsi="Arial"/>
          <w:sz w:val="18"/>
          <w:szCs w:val="18"/>
          <w:color w:val="auto"/>
        </w:rPr>
        <w:t>.”</w:t>
      </w:r>
    </w:p>
    <w:p>
      <w:pPr>
        <w:spacing w:after="0" w:line="51" w:lineRule="exact"/>
        <w:rPr>
          <w:rFonts w:ascii="Arial" w:cs="Arial" w:eastAsia="Arial" w:hAnsi="Arial"/>
          <w:sz w:val="18"/>
          <w:szCs w:val="18"/>
          <w:color w:val="auto"/>
        </w:rPr>
      </w:pPr>
    </w:p>
    <w:p>
      <w:pPr>
        <w:ind w:right="480" w:firstLine="443"/>
        <w:spacing w:after="0" w:line="275" w:lineRule="auto"/>
        <w:tabs>
          <w:tab w:leader="none" w:pos="687"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NYSE Amex, the Nasdaq Capital Market, the Nasdaq Global Market or the Principal Market.</w:t>
      </w:r>
    </w:p>
    <w:p>
      <w:pPr>
        <w:spacing w:after="0" w:line="38" w:lineRule="exact"/>
        <w:rPr>
          <w:rFonts w:ascii="Arial" w:cs="Arial" w:eastAsia="Arial" w:hAnsi="Arial"/>
          <w:sz w:val="18"/>
          <w:szCs w:val="18"/>
          <w:color w:val="auto"/>
        </w:rPr>
      </w:pPr>
    </w:p>
    <w:p>
      <w:pPr>
        <w:ind w:firstLine="443"/>
        <w:spacing w:after="0" w:line="285" w:lineRule="auto"/>
        <w:tabs>
          <w:tab w:leader="none" w:pos="657" w:val="left"/>
        </w:tabs>
        <w:numPr>
          <w:ilvl w:val="0"/>
          <w:numId w:val="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Conditions</w:t>
      </w:r>
      <w:r>
        <w:rPr>
          <w:rFonts w:ascii="Arial" w:cs="Arial" w:eastAsia="Arial" w:hAnsi="Arial"/>
          <w:sz w:val="16"/>
          <w:szCs w:val="16"/>
          <w:color w:val="auto"/>
        </w:rPr>
        <w:t>” means: (i) on each day during the period beginning one month prior to the applicable date of determination and ending on and including the applicable date of determination either (x) one or more Registration Statements filed pursuant to the Registration Rights Agreement shall be effective and the prospectus contained therein shall be available for the resale by the Holder of all of the Initial Registrable Securities (as defined in the Registration Rights Agreement) (which, solely for clarification purposes, includes all shares of Common Stock issuable upon conversion of this Note or otherwise pursuant to the terms of this Note and upon exercise of the Warrants) in accordance with the terms of the Registration Rights Agreement and there shall not have been during such period any Grace Periods (as defined in the Registration Rights Agreement) or (y) all Initial Registrable Securities shall be eligible for sale pursuant to Rule 144 without the need for registration under any applicable federal or state securities laws (in each case, disregarding any limitation on conversion of the Notes, other issuance of securities with respect to the Notes and exercise of the Warrants) and no Current Information Failure (as defined in the Registration Rights Agreement) exists or is continuing; (ii) on each day during the period beginning one month prior to the applicable date of determination and ending on and including the applicable date of determination (the “</w:t>
      </w:r>
      <w:r>
        <w:rPr>
          <w:rFonts w:ascii="Arial" w:cs="Arial" w:eastAsia="Arial" w:hAnsi="Arial"/>
          <w:sz w:val="16"/>
          <w:szCs w:val="16"/>
          <w:b w:val="1"/>
          <w:bCs w:val="1"/>
          <w:color w:val="auto"/>
        </w:rPr>
        <w:t>Equity Conditions Measuring Period</w:t>
      </w:r>
      <w:r>
        <w:rPr>
          <w:rFonts w:ascii="Arial" w:cs="Arial" w:eastAsia="Arial" w:hAnsi="Arial"/>
          <w:sz w:val="16"/>
          <w:szCs w:val="16"/>
          <w:color w:val="auto"/>
        </w:rPr>
        <w:t>”), the Common Stock (including all Registrable Securities) is listed or designated for quotation (as applicable) on an Eligible Market and shall not have been suspended from trading on an Eligible Market (other than suspensions of not more than two (2) days and occurring prior to the applicable date of determination due to business announcements by the Company) nor shall delisting or suspension by an Eligible Market have been threatened (with a reasonable prospect of delisting occurring) or pending either (A) in writing by such Eligible Market or (B) by falling below the minimum listing maintenance requirements of the Eligible Market on which the Common Stock is then listed or designated for quotation (as applicable); (iii) on each day during the Equity Conditions Measuring Period, the Company shall have delivered all shares of Common Stock issuable upon conversion of this Note on a timely basis as set forth in Section 3 hereof and all other shares of capital stock required to be</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00"/>
          </w:cols>
          <w:pgMar w:left="700" w:top="274" w:right="299" w:bottom="1440" w:gutter="0" w:footer="0" w:header="0"/>
        </w:sectPr>
      </w:pPr>
    </w:p>
    <w:bookmarkStart w:id="83" w:name="page84"/>
    <w:bookmarkEnd w:id="83"/>
    <w:p>
      <w:pPr>
        <w:ind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delivered by the Company on a timely basis as set forth in the other Transaction Documents; (iv) any shares of Common Stock to be issued in connection with the event requiring determination may be issued in full without violating Section 3(d) hereof (other than a violation of Section 3(d)(i) solely in connection with a Company Optional Redemption or after giving effect to any Designated Specified Amount adjustment in accordance with Section 8(a));</w:t>
      </w:r>
    </w:p>
    <w:p>
      <w:pPr>
        <w:spacing w:after="0" w:line="1" w:lineRule="exact"/>
        <w:rPr>
          <w:sz w:val="20"/>
          <w:szCs w:val="20"/>
          <w:color w:val="auto"/>
        </w:rPr>
      </w:pPr>
    </w:p>
    <w:p>
      <w:pPr>
        <w:ind w:firstLine="4"/>
        <w:spacing w:after="0" w:line="284" w:lineRule="auto"/>
        <w:tabs>
          <w:tab w:leader="none" w:pos="249"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shares of Common Stock to be issued in connection with the event requiring determination may be issued in full without violating the rules or regulations of the Eligible Market on which the Common Stock is then listed or designated for quotation (as applicable); (vi) on each day during the Equity Conditions Measuring Period, no public announcement of a pending, proposed or intended Fundamental Transaction shall have occurred which has not been abandoned, terminated or consummated; (vii) the Company shall have no knowledge of any fact that would reasonably be expected to cause (1) any Registration Statement required to be filed pursuant to the Registration Rights Agreement to not be effective or the prospectus contained therein to not be available for the resale of all of the Initial Registrable Securities in accordance with the terms of the Registration Rights Agreement or (2) any Initial Registrable Securities to not be eligible for sale pursuant to Rule 144 without the need for registration under any applicable federal or state securities laws (in each case, disregarding any limitation on conversion of the Notes, other issuance of securities with respect to the Notes and exercise of the Warrants) and no Current Information Failure exists or is continuing; (viii) the Holder shall not be in (and no other Buyer shall be in) possession of any material, non-public information provided to any of them by the Company, any of its affiliates or any of their respective employees, officers, representatives, agents or the like; (ix) on each day during the Equity Conditions Measuring Period, the Company otherwise shall have been in compliance with each, and shall not have breached any material provision, covenant, representation or warranty of any Transaction Document (except to the extent such breach has been cured); (x) (A) with respect to Section 8 of this Note, on each day during the period commencing on the Trading Day immediately prior to the applicable Installment Notice Due Date and ending on, and including, the immediately subsequent Installment Date, or (B) with respect to Section 14 of this Note, on each day during the period commencing on the first Trading Day of the applicable Company Optional Redemption Measuring Period and ending on and including the applicable Company Optional Redemption Date, there shall not have occurred any Volume Failure or Price Failure with respect to any such day; and (xi) on each day during the Equity Conditions Measuring Period, there shall not have occurred an Event of Default or an event that with the passage of time or giving of notice would constitute an Event of Default.</w:t>
      </w:r>
    </w:p>
    <w:p>
      <w:pPr>
        <w:spacing w:after="0" w:line="39" w:lineRule="exact"/>
        <w:rPr>
          <w:rFonts w:ascii="Arial" w:cs="Arial" w:eastAsia="Arial" w:hAnsi="Arial"/>
          <w:sz w:val="16"/>
          <w:szCs w:val="16"/>
          <w:color w:val="auto"/>
        </w:rPr>
      </w:pPr>
    </w:p>
    <w:p>
      <w:pPr>
        <w:ind w:right="320" w:firstLine="443"/>
        <w:spacing w:after="0" w:line="310" w:lineRule="auto"/>
        <w:tabs>
          <w:tab w:leader="none" w:pos="667" w:val="left"/>
        </w:tabs>
        <w:numPr>
          <w:ilvl w:val="1"/>
          <w:numId w:val="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Conditions Failure</w:t>
      </w:r>
      <w:r>
        <w:rPr>
          <w:rFonts w:ascii="Arial" w:cs="Arial" w:eastAsia="Arial" w:hAnsi="Arial"/>
          <w:sz w:val="16"/>
          <w:szCs w:val="16"/>
          <w:color w:val="auto"/>
        </w:rPr>
        <w:t>” means that on any day during the period commencing ten (10) Trading Days prior to the applicable Company Installment Notice Date through the later of the applicable Installment Date and the date on which the applicable shares of Common Stock are actually delivered to the Holder, the Equity Conditions have not been satisfied (or waived in writing by the Holder).</w:t>
      </w:r>
    </w:p>
    <w:p>
      <w:pPr>
        <w:spacing w:after="0" w:line="16" w:lineRule="exact"/>
        <w:rPr>
          <w:rFonts w:ascii="Arial" w:cs="Arial" w:eastAsia="Arial" w:hAnsi="Arial"/>
          <w:sz w:val="16"/>
          <w:szCs w:val="16"/>
          <w:color w:val="auto"/>
        </w:rPr>
      </w:pPr>
    </w:p>
    <w:p>
      <w:pPr>
        <w:jc w:val="both"/>
        <w:ind w:right="40" w:firstLine="443"/>
        <w:spacing w:after="0" w:line="262" w:lineRule="auto"/>
        <w:tabs>
          <w:tab w:leader="none" w:pos="648"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Securities</w:t>
      </w:r>
      <w:r>
        <w:rPr>
          <w:rFonts w:ascii="Arial" w:cs="Arial" w:eastAsia="Arial" w:hAnsi="Arial"/>
          <w:sz w:val="18"/>
          <w:szCs w:val="18"/>
          <w:color w:val="auto"/>
        </w:rPr>
        <w:t>” means any (i) shares of Common Stock, Options, stock appreciation rights, restricted shares of Common Stock, restricted stock units and other stock-based awards to directors, officers, employees or consultants of the Company in their capacity as such pursuant to an Approved Stock Plan (as defined below); (ii)</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20"/>
          </w:cols>
          <w:pgMar w:left="700" w:top="280" w:right="279" w:bottom="1440" w:gutter="0" w:footer="0" w:header="0"/>
        </w:sectPr>
      </w:pPr>
    </w:p>
    <w:bookmarkStart w:id="84" w:name="page85"/>
    <w:bookmarkEnd w:id="84"/>
    <w:p>
      <w:pPr>
        <w:ind w:right="4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Convertible Securities or Options and shares of Common Stock issued upon the conversion or exercise of such Convertible Securities or Options, in each case, issued pursuant to a Rights Plan (as defined in the Securities Purchase Agreement) approved by the Board of Directors of the Company, (iii) shares of Common Stock issued upon the conversion or exercise of Convertible Securities (other than options to purchase Common Stock issued pursuant to an Approved Stock Plan that are covered by clause (i) above) issued prior to the date hereof; provided that the conversion price of any such Convertible Securities (other than options to purchase Common Stock issued pursuant to an Approved Stock Plan that are covered by clause (i) above) is not lowered, none of such Convertible Securities (other than options to purchase Common Stock issued pursuant to an Approved Stock Plan that are covered by clause</w:t>
      </w:r>
    </w:p>
    <w:p>
      <w:pPr>
        <w:spacing w:after="0" w:line="1" w:lineRule="exact"/>
        <w:rPr>
          <w:sz w:val="20"/>
          <w:szCs w:val="20"/>
          <w:color w:val="auto"/>
        </w:rPr>
      </w:pPr>
    </w:p>
    <w:p>
      <w:pPr>
        <w:ind w:right="60" w:firstLine="4"/>
        <w:spacing w:after="0" w:line="300" w:lineRule="auto"/>
        <w:tabs>
          <w:tab w:leader="none" w:pos="21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above) are amended to increase the number of shares issuable thereunder and none of the terms or conditions of any such Convertible Securities (other than options to purchase Common Stock issued pursuant to an Approved Stock Plan that are covered by clause (i) above) are otherwise materially changed in any manner that adversely affects any of the Buyers; (iv) the shares of Common Stock issuable upon conversion of the Notes or otherwise pursuant to the terms of the Notes, (v) the shares of Common Stock issuable upon exercise of the Warrants, (vi) the shares of Common Stock or Options issued to financial institutions or lessors in connection with commercial credit arrangements, equipment financings or similar transactions (excluding any shares of Common Stock issuable upon conversion or exercise of any Convertible Securities); (vii) the shares of Common Stock or Options issued in connection with strategic alliances, acquisitions, mergers, and strategic partnerships, provided, that (A) the primary purpose of such issuance is not to raise capital as determined in good faith by the Board of Directors of the Company, (B) the purchaser or acquirer of the securities in such issuance solely consists of either</w:t>
      </w:r>
    </w:p>
    <w:p>
      <w:pPr>
        <w:spacing w:after="0" w:line="3" w:lineRule="exact"/>
        <w:rPr>
          <w:rFonts w:ascii="Arial" w:cs="Arial" w:eastAsia="Arial" w:hAnsi="Arial"/>
          <w:sz w:val="15"/>
          <w:szCs w:val="15"/>
          <w:color w:val="auto"/>
        </w:rPr>
      </w:pPr>
    </w:p>
    <w:p>
      <w:pPr>
        <w:ind w:firstLine="4"/>
        <w:spacing w:after="0" w:line="292" w:lineRule="auto"/>
        <w:tabs>
          <w:tab w:leader="none" w:pos="249"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actual participants in such strategic alliance or strategic partnership, (y) the actual owners of such assets or securities acquired in such acquisition or merger or (z) the stockholders, partners or members of the foregoing Persons and (C) number or amount of securities issued to such Person by the Company shall not be disproportionate (as determined in good faith by the Board of Directors of the Company) to either (x) the fair market value of such Person’s actual contribution to such strategic alliance or strategic partnership or (y) the proportional ownership of such assets or securities to be acquired by the Company, as applicable; and (viii) shares of Common Stock or Options issued to vendors to settle bona fide trade liabilities.</w:t>
      </w:r>
    </w:p>
    <w:p>
      <w:pPr>
        <w:spacing w:after="0" w:line="29" w:lineRule="exact"/>
        <w:rPr>
          <w:rFonts w:ascii="Arial" w:cs="Arial" w:eastAsia="Arial" w:hAnsi="Arial"/>
          <w:sz w:val="16"/>
          <w:szCs w:val="16"/>
          <w:color w:val="auto"/>
        </w:rPr>
      </w:pPr>
    </w:p>
    <w:p>
      <w:pPr>
        <w:ind w:right="80" w:firstLine="443"/>
        <w:spacing w:after="0" w:line="311" w:lineRule="auto"/>
        <w:tabs>
          <w:tab w:leader="none" w:pos="687" w:val="left"/>
        </w:tabs>
        <w:numPr>
          <w:ilvl w:val="1"/>
          <w:numId w:val="7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Fundamental Transaction</w:t>
      </w:r>
      <w:r>
        <w:rPr>
          <w:rFonts w:ascii="Arial" w:cs="Arial" w:eastAsia="Arial" w:hAnsi="Arial"/>
          <w:sz w:val="15"/>
          <w:szCs w:val="15"/>
          <w:color w:val="auto"/>
        </w:rPr>
        <w:t>” means that (i) directly or indirectly, in one or more related transactions, (1) the Company or any of its Subsidiaries shall consolidate or merge with or into (whether or not the Company or any of its Subsidiaries is the surviving corporation) any other Person, or (2) the Company and its Subsidiaries shall, as determined on a consolidated basis, sell, lease, license, assign, transfer, convey or otherwise dispose of all or substantially all of their properties or assets to any other Person, or (3) the Company or any of its Subsidiaries shall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the Company or any of its Subsidiaries shall consummate a stock or share purchase agreement or other business combination (including, without limitation, a reorganization, recapitalization, spin-off or scheme of arrangement) with any other</w:t>
      </w:r>
    </w:p>
    <w:p>
      <w:pPr>
        <w:spacing w:after="0" w:line="9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700" w:top="280" w:right="239" w:bottom="1440" w:gutter="0" w:footer="0" w:header="0"/>
        </w:sectPr>
      </w:pPr>
    </w:p>
    <w:bookmarkStart w:id="85" w:name="page86"/>
    <w:bookmarkEnd w:id="8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the Company shall reorganize, recapitalize or reclassify the Common Stock,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33" w:lineRule="exact"/>
        <w:rPr>
          <w:sz w:val="20"/>
          <w:szCs w:val="20"/>
          <w:color w:val="auto"/>
        </w:rPr>
      </w:pPr>
    </w:p>
    <w:p>
      <w:pPr>
        <w:ind w:left="700" w:hanging="257"/>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90" w:lineRule="exact"/>
        <w:rPr>
          <w:rFonts w:ascii="Arial" w:cs="Arial" w:eastAsia="Arial" w:hAnsi="Arial"/>
          <w:sz w:val="18"/>
          <w:szCs w:val="18"/>
          <w:color w:val="auto"/>
        </w:rPr>
      </w:pPr>
    </w:p>
    <w:p>
      <w:pPr>
        <w:ind w:right="180" w:firstLine="443"/>
        <w:spacing w:after="0" w:line="262" w:lineRule="auto"/>
        <w:tabs>
          <w:tab w:leader="none" w:pos="726"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 Pro Rata Amount</w:t>
      </w:r>
      <w:r>
        <w:rPr>
          <w:rFonts w:ascii="Arial" w:cs="Arial" w:eastAsia="Arial" w:hAnsi="Arial"/>
          <w:sz w:val="18"/>
          <w:szCs w:val="18"/>
          <w:color w:val="auto"/>
        </w:rPr>
        <w:t>” means a fraction (i) the numerator of which is the original Principal amount of this Note on such Closing Date at which this Note was originally issued and (ii) the denominator of which is the aggregate original principal amount of all Notes issued to the Buyers pursuant to the Securities Purchase Agreement.</w:t>
      </w:r>
    </w:p>
    <w:p>
      <w:pPr>
        <w:spacing w:after="0" w:line="51" w:lineRule="exact"/>
        <w:rPr>
          <w:rFonts w:ascii="Arial" w:cs="Arial" w:eastAsia="Arial" w:hAnsi="Arial"/>
          <w:sz w:val="18"/>
          <w:szCs w:val="18"/>
          <w:color w:val="auto"/>
        </w:rPr>
      </w:pPr>
    </w:p>
    <w:p>
      <w:pPr>
        <w:ind w:right="140" w:firstLine="443"/>
        <w:spacing w:after="0" w:line="334" w:lineRule="auto"/>
        <w:tabs>
          <w:tab w:leader="none" w:pos="687" w:val="left"/>
        </w:tabs>
        <w:numPr>
          <w:ilvl w:val="0"/>
          <w:numId w:val="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Closing Date</w:t>
      </w:r>
      <w:r>
        <w:rPr>
          <w:rFonts w:ascii="Arial" w:cs="Arial" w:eastAsia="Arial" w:hAnsi="Arial"/>
          <w:sz w:val="16"/>
          <w:szCs w:val="16"/>
          <w:color w:val="auto"/>
        </w:rPr>
        <w:t>” shall have the meaning ascribed to such term in the Securities Purchase Agreement, which date is the date the Company initially issued Initial Notes (as defined in the Securities Purchase Agreement) pursuant to the terms of the Securities Purchase Agreement.</w:t>
      </w:r>
    </w:p>
    <w:p>
      <w:pPr>
        <w:spacing w:after="0" w:line="1" w:lineRule="exact"/>
        <w:rPr>
          <w:rFonts w:ascii="Arial" w:cs="Arial" w:eastAsia="Arial" w:hAnsi="Arial"/>
          <w:sz w:val="16"/>
          <w:szCs w:val="16"/>
          <w:color w:val="auto"/>
        </w:rPr>
      </w:pPr>
    </w:p>
    <w:p>
      <w:pPr>
        <w:ind w:firstLine="443"/>
        <w:spacing w:after="0" w:line="275" w:lineRule="auto"/>
        <w:tabs>
          <w:tab w:leader="none" w:pos="687"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Notes</w:t>
      </w:r>
      <w:r>
        <w:rPr>
          <w:rFonts w:ascii="Arial" w:cs="Arial" w:eastAsia="Arial" w:hAnsi="Arial"/>
          <w:sz w:val="18"/>
          <w:szCs w:val="18"/>
          <w:color w:val="auto"/>
        </w:rPr>
        <w:t>” shall have the meaning ascribed to such term in the Securities Purchase Agreement, and shall include all notes issued in exchange therefor or replacement thereof.</w:t>
      </w:r>
    </w:p>
    <w:p>
      <w:pPr>
        <w:spacing w:after="0" w:line="38" w:lineRule="exact"/>
        <w:rPr>
          <w:rFonts w:ascii="Arial" w:cs="Arial" w:eastAsia="Arial" w:hAnsi="Arial"/>
          <w:sz w:val="18"/>
          <w:szCs w:val="18"/>
          <w:color w:val="auto"/>
        </w:rPr>
      </w:pPr>
    </w:p>
    <w:p>
      <w:pPr>
        <w:ind w:firstLine="443"/>
        <w:spacing w:after="0" w:line="293" w:lineRule="auto"/>
        <w:tabs>
          <w:tab w:leader="none" w:pos="677" w:val="left"/>
        </w:tabs>
        <w:numPr>
          <w:ilvl w:val="0"/>
          <w:numId w:val="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Installment Amount</w:t>
      </w:r>
      <w:r>
        <w:rPr>
          <w:rFonts w:ascii="Arial" w:cs="Arial" w:eastAsia="Arial" w:hAnsi="Arial"/>
          <w:sz w:val="16"/>
          <w:szCs w:val="16"/>
          <w:color w:val="auto"/>
        </w:rPr>
        <w:t>” means (i) with respect to any Installment Date other than the Maturity Date, the lesser of (A) $925,925.93 and (B) the Principal amount then outstanding under this Note as of such Installment Date, and (ii) with respect to the Installment Date that is the Maturity Date, the Principal amount then outstanding under this Note as of such Installment Date, in each case, as any such Installment Amount may be reduced or increased pursuant to the terms of this Note, whether upon conversion, redemption or otherwise, together with, in each case of clauses (i) and (ii), the sum of any accrued and unpaid Interest as of such Installment Date under this Note. In the event the Holder shall sell or otherwise transfer any portion of this Note, the transferee shall be allocated a pro rata portion of each unpaid Installment Amount hereunder.</w:t>
      </w:r>
    </w:p>
    <w:p>
      <w:pPr>
        <w:spacing w:after="0" w:line="30" w:lineRule="exact"/>
        <w:rPr>
          <w:sz w:val="20"/>
          <w:szCs w:val="20"/>
          <w:color w:val="auto"/>
        </w:rPr>
      </w:pPr>
    </w:p>
    <w:p>
      <w:pPr>
        <w:ind w:right="60" w:firstLine="443"/>
        <w:spacing w:after="0" w:line="334" w:lineRule="auto"/>
        <w:tabs>
          <w:tab w:leader="none" w:pos="755" w:val="left"/>
        </w:tabs>
        <w:numPr>
          <w:ilvl w:val="0"/>
          <w:numId w:val="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Installment Conversion Shares</w:t>
      </w:r>
      <w:r>
        <w:rPr>
          <w:rFonts w:ascii="Arial" w:cs="Arial" w:eastAsia="Arial" w:hAnsi="Arial"/>
          <w:sz w:val="16"/>
          <w:szCs w:val="16"/>
          <w:color w:val="auto"/>
        </w:rPr>
        <w:t>” means that number of shares of Common Stock that would be required to be delivered pursuant to Section 8 on an applicable Installment Date without taking into account the delivery of any Pre-Installment Conversion Shares.</w:t>
      </w:r>
    </w:p>
    <w:p>
      <w:pPr>
        <w:spacing w:after="0" w:line="1" w:lineRule="exact"/>
        <w:rPr>
          <w:rFonts w:ascii="Arial" w:cs="Arial" w:eastAsia="Arial" w:hAnsi="Arial"/>
          <w:sz w:val="16"/>
          <w:szCs w:val="16"/>
          <w:color w:val="auto"/>
        </w:rPr>
      </w:pPr>
    </w:p>
    <w:p>
      <w:pPr>
        <w:ind w:right="60" w:firstLine="443"/>
        <w:spacing w:after="0" w:line="339" w:lineRule="auto"/>
        <w:tabs>
          <w:tab w:leader="none" w:pos="775" w:val="left"/>
        </w:tabs>
        <w:numPr>
          <w:ilvl w:val="0"/>
          <w:numId w:val="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Installment Date</w:t>
      </w:r>
      <w:r>
        <w:rPr>
          <w:rFonts w:ascii="Arial" w:cs="Arial" w:eastAsia="Arial" w:hAnsi="Arial"/>
          <w:sz w:val="16"/>
          <w:szCs w:val="16"/>
          <w:color w:val="auto"/>
        </w:rPr>
        <w:t>” means (i) initially, the date that is four months after the Initial Closing Date, (ii) then, on each subsequent first (1</w:t>
      </w:r>
      <w:r>
        <w:rPr>
          <w:rFonts w:ascii="Arial" w:cs="Arial" w:eastAsia="Arial" w:hAnsi="Arial"/>
          <w:sz w:val="10"/>
          <w:szCs w:val="10"/>
          <w:color w:val="auto"/>
        </w:rPr>
        <w:t>st</w:t>
      </w:r>
      <w:r>
        <w:rPr>
          <w:rFonts w:ascii="Arial" w:cs="Arial" w:eastAsia="Arial" w:hAnsi="Arial"/>
          <w:sz w:val="16"/>
          <w:szCs w:val="16"/>
          <w:color w:val="auto"/>
        </w:rPr>
        <w:t>) Trading Day of each calendar month thereafter, but prior to the calendar month in which the Maturity Date occurs and (iii) the Maturity Date.</w:t>
      </w:r>
    </w:p>
    <w:p>
      <w:pPr>
        <w:spacing w:after="0" w:line="6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20"/>
          </w:cols>
          <w:pgMar w:left="700" w:top="280" w:right="279" w:bottom="1440" w:gutter="0" w:footer="0" w:header="0"/>
        </w:sectPr>
      </w:pPr>
    </w:p>
    <w:bookmarkStart w:id="86" w:name="page87"/>
    <w:bookmarkEnd w:id="86"/>
    <w:p>
      <w:pPr>
        <w:ind w:left="760" w:hanging="317"/>
        <w:spacing w:after="0"/>
        <w:tabs>
          <w:tab w:leader="none" w:pos="760" w:val="left"/>
        </w:tabs>
        <w:numPr>
          <w:ilvl w:val="1"/>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Interest Rate</w:t>
      </w:r>
      <w:r>
        <w:rPr>
          <w:rFonts w:ascii="Arial" w:cs="Arial" w:eastAsia="Arial" w:hAnsi="Arial"/>
          <w:sz w:val="18"/>
          <w:szCs w:val="18"/>
          <w:color w:val="auto"/>
        </w:rPr>
        <w:t>” means seven percent (7%) per annum, as may be adjusted from time to time in accordance with Section 2.</w:t>
      </w:r>
    </w:p>
    <w:p>
      <w:pPr>
        <w:spacing w:after="0" w:line="90" w:lineRule="exact"/>
        <w:rPr>
          <w:rFonts w:ascii="Arial" w:cs="Arial" w:eastAsia="Arial" w:hAnsi="Arial"/>
          <w:sz w:val="18"/>
          <w:szCs w:val="18"/>
          <w:color w:val="auto"/>
        </w:rPr>
      </w:pPr>
    </w:p>
    <w:p>
      <w:pPr>
        <w:ind w:right="160" w:firstLine="443"/>
        <w:spacing w:after="0" w:line="256" w:lineRule="auto"/>
        <w:tabs>
          <w:tab w:leader="none" w:pos="775"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Price</w:t>
      </w:r>
      <w:r>
        <w:rPr>
          <w:rFonts w:ascii="Arial" w:cs="Arial" w:eastAsia="Arial" w:hAnsi="Arial"/>
          <w:sz w:val="18"/>
          <w:szCs w:val="18"/>
          <w:color w:val="auto"/>
        </w:rPr>
        <w:t>” means, for any given date, the lesser of (x) the VWAP of the Common Stock on the Trading Day immediately preceding such given date and (y) quotient of (I) the sum of the VWAP of the Common Stock for each of the Trading Days during the ten (10) consecutive Trading Day period ending and including the Trading Day immediately prior to such given date, divided by (II) ten (10) (such period, the “</w:t>
      </w:r>
      <w:r>
        <w:rPr>
          <w:rFonts w:ascii="Arial" w:cs="Arial" w:eastAsia="Arial" w:hAnsi="Arial"/>
          <w:sz w:val="18"/>
          <w:szCs w:val="18"/>
          <w:b w:val="1"/>
          <w:bCs w:val="1"/>
          <w:color w:val="auto"/>
        </w:rPr>
        <w:t>Market Price Measuring</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All such determinations to be appropriately adjusted for any stock splits, stock dividends, stock combinations, recapitalizations or other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during such Market Price Measuring Period.</w:t>
      </w:r>
    </w:p>
    <w:p>
      <w:pPr>
        <w:spacing w:after="0" w:line="57" w:lineRule="exact"/>
        <w:rPr>
          <w:rFonts w:ascii="Arial" w:cs="Arial" w:eastAsia="Arial" w:hAnsi="Arial"/>
          <w:sz w:val="18"/>
          <w:szCs w:val="18"/>
          <w:color w:val="auto"/>
        </w:rPr>
      </w:pPr>
    </w:p>
    <w:p>
      <w:pPr>
        <w:ind w:right="40" w:firstLine="443"/>
        <w:spacing w:after="0" w:line="291" w:lineRule="auto"/>
        <w:tabs>
          <w:tab w:leader="none" w:pos="755" w:val="left"/>
        </w:tabs>
        <w:numPr>
          <w:ilvl w:val="1"/>
          <w:numId w:val="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Maturity Date</w:t>
      </w:r>
      <w:r>
        <w:rPr>
          <w:rFonts w:ascii="Arial" w:cs="Arial" w:eastAsia="Arial" w:hAnsi="Arial"/>
          <w:sz w:val="16"/>
          <w:szCs w:val="16"/>
          <w:color w:val="auto"/>
        </w:rPr>
        <w:t>” means October 4, 2014; provided, however, the Maturity Date may be extended at the option of the Holder (i) in the event that, and for so long as, an Event of Default shall have occurred and be continuing or any event shall have occurred and be continuing that with the passage of time and the failure to cure would result in an Event of Default or (ii) through the date that is twenty (20) Business Days after the consummation of a Fundamental Transaction in the event that a Fundamental Transaction is publicly announced or a Fundamental Transaction Notice is delivered prior to the Maturity Date, provided further that if a Holder elects to convert some or all of this Note pursuant to Section 3 hereof, and the Conversion Amount would be limited pursuant to Section 3(d) hereunder, the Maturity Date shall automatically be extended until such time as such provision shall not limit the conversion of this Note.</w:t>
      </w:r>
    </w:p>
    <w:p>
      <w:pPr>
        <w:spacing w:after="0" w:line="32" w:lineRule="exact"/>
        <w:rPr>
          <w:rFonts w:ascii="Arial" w:cs="Arial" w:eastAsia="Arial" w:hAnsi="Arial"/>
          <w:sz w:val="16"/>
          <w:szCs w:val="16"/>
          <w:color w:val="auto"/>
        </w:rPr>
      </w:pPr>
    </w:p>
    <w:p>
      <w:pPr>
        <w:ind w:firstLine="443"/>
        <w:spacing w:after="0" w:line="301" w:lineRule="auto"/>
        <w:tabs>
          <w:tab w:leader="none" w:pos="713" w:val="left"/>
        </w:tabs>
        <w:numPr>
          <w:ilvl w:val="1"/>
          <w:numId w:val="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Net Sale Proceeds</w:t>
      </w:r>
      <w:r>
        <w:rPr>
          <w:rFonts w:ascii="Arial" w:cs="Arial" w:eastAsia="Arial" w:hAnsi="Arial"/>
          <w:sz w:val="16"/>
          <w:szCs w:val="16"/>
          <w:color w:val="auto"/>
        </w:rPr>
        <w:t xml:space="preserve">” means, with respect to any Sale, the absolute value of (i) $25,000,000 minus (ii) an amount equal to: (A) the sum of cash payments and cash equivalents received by the Company or any of its Subsidiaries, from such Sale (including any cash or cash equivalents received by way of deferred payment pursuant to, or by monetization of, a note receivable or otherwise, but only as and when so received),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any reasonable direct out-of-pocket actual and estimated professional fees and other costs or expenses incurred in connection with such Sale.</w:t>
      </w:r>
    </w:p>
    <w:p>
      <w:pPr>
        <w:spacing w:after="0" w:line="22" w:lineRule="exact"/>
        <w:rPr>
          <w:rFonts w:ascii="Arial" w:cs="Arial" w:eastAsia="Arial" w:hAnsi="Arial"/>
          <w:sz w:val="16"/>
          <w:szCs w:val="16"/>
          <w:color w:val="auto"/>
        </w:rPr>
      </w:pPr>
    </w:p>
    <w:p>
      <w:pPr>
        <w:ind w:left="780" w:hanging="337"/>
        <w:spacing w:after="0"/>
        <w:tabs>
          <w:tab w:leader="none" w:pos="780" w:val="left"/>
        </w:tabs>
        <w:numPr>
          <w:ilvl w:val="1"/>
          <w:numId w:val="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New Subsidiary</w:t>
      </w:r>
      <w:r>
        <w:rPr>
          <w:rFonts w:ascii="Arial" w:cs="Arial" w:eastAsia="Arial" w:hAnsi="Arial"/>
          <w:sz w:val="16"/>
          <w:szCs w:val="16"/>
          <w:color w:val="auto"/>
        </w:rPr>
        <w:t>” means, as of any date of determination, any Person in which the Company after the Subscription Date, directly or indirectly,</w:t>
      </w:r>
    </w:p>
    <w:p>
      <w:pPr>
        <w:spacing w:after="0" w:line="44" w:lineRule="exact"/>
        <w:rPr>
          <w:rFonts w:ascii="Arial" w:cs="Arial" w:eastAsia="Arial" w:hAnsi="Arial"/>
          <w:sz w:val="16"/>
          <w:szCs w:val="16"/>
          <w:color w:val="auto"/>
        </w:rPr>
      </w:pPr>
    </w:p>
    <w:p>
      <w:pPr>
        <w:ind w:right="180" w:firstLine="4"/>
        <w:spacing w:after="0" w:line="261" w:lineRule="auto"/>
        <w:tabs>
          <w:tab w:leader="none" w:pos="21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owns or acquires any of the outstanding capital stock or holds any equity or similar interest of such Person or (ii) controls or operates all or any part of the business, operations or administration of such Person, and all of the foregoing, collectively, “</w:t>
      </w:r>
      <w:r>
        <w:rPr>
          <w:rFonts w:ascii="Arial" w:cs="Arial" w:eastAsia="Arial" w:hAnsi="Arial"/>
          <w:sz w:val="18"/>
          <w:szCs w:val="18"/>
          <w:b w:val="1"/>
          <w:bCs w:val="1"/>
          <w:color w:val="auto"/>
        </w:rPr>
        <w:t>New Subsidiaries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780" w:hanging="337"/>
        <w:spacing w:after="0"/>
        <w:tabs>
          <w:tab w:leader="none" w:pos="780" w:val="left"/>
        </w:tabs>
        <w:numPr>
          <w:ilvl w:val="1"/>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113" w:lineRule="exact"/>
        <w:rPr>
          <w:rFonts w:ascii="Arial" w:cs="Arial" w:eastAsia="Arial" w:hAnsi="Arial"/>
          <w:sz w:val="16"/>
          <w:szCs w:val="16"/>
          <w:color w:val="auto"/>
        </w:rPr>
      </w:pPr>
    </w:p>
    <w:p>
      <w:pPr>
        <w:ind w:right="260" w:firstLine="443"/>
        <w:spacing w:after="0" w:line="310" w:lineRule="auto"/>
        <w:tabs>
          <w:tab w:leader="none" w:pos="697" w:val="left"/>
        </w:tabs>
        <w:numPr>
          <w:ilvl w:val="1"/>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 Entity</w:t>
      </w:r>
      <w:r>
        <w:rPr>
          <w:rFonts w:ascii="Arial" w:cs="Arial" w:eastAsia="Arial" w:hAnsi="Arial"/>
          <w:sz w:val="16"/>
          <w:szCs w:val="16"/>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6" w:lineRule="exact"/>
        <w:rPr>
          <w:rFonts w:ascii="Arial" w:cs="Arial" w:eastAsia="Arial" w:hAnsi="Arial"/>
          <w:sz w:val="16"/>
          <w:szCs w:val="16"/>
          <w:color w:val="auto"/>
        </w:rPr>
      </w:pPr>
    </w:p>
    <w:p>
      <w:pPr>
        <w:ind w:left="700" w:hanging="257"/>
        <w:spacing w:after="0"/>
        <w:tabs>
          <w:tab w:leader="none" w:pos="7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Indebtedness</w:t>
      </w:r>
      <w:r>
        <w:rPr>
          <w:rFonts w:ascii="Arial" w:cs="Arial" w:eastAsia="Arial" w:hAnsi="Arial"/>
          <w:sz w:val="16"/>
          <w:szCs w:val="16"/>
          <w:color w:val="auto"/>
        </w:rPr>
        <w:t>” means (i) Indebtedness evidenced by this Note and the Other Notes; (ii) Permitted Senior Indebtedness,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(iii) Indebtedness incurred by</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700" w:top="274" w:right="239" w:bottom="1440" w:gutter="0" w:footer="0" w:header="0"/>
        </w:sectPr>
      </w:pPr>
    </w:p>
    <w:bookmarkStart w:id="87" w:name="page88"/>
    <w:bookmarkEnd w:id="87"/>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that is made expressly subordinate in right of payment to the Indebtedness evidenced by this Note, as reflected in a written agreement acceptable to the Required Holders, and which Indebtedness does not provide at any time for (1) the payment, prepayment, repayment, repurchase or defeasance, directly or indirectly, of any principal or premium, if any, thereon until ninety-one (91) days after the Maturity Date or later and (2) total interest and fees at a rate in excess of seven percent (7%) per annum (collectively, the “</w:t>
      </w:r>
      <w:r>
        <w:rPr>
          <w:rFonts w:ascii="Arial" w:cs="Arial" w:eastAsia="Arial" w:hAnsi="Arial"/>
          <w:sz w:val="16"/>
          <w:szCs w:val="16"/>
          <w:b w:val="1"/>
          <w:bCs w:val="1"/>
          <w:color w:val="auto"/>
        </w:rPr>
        <w:t>Subordinated Indebtedness</w:t>
      </w:r>
      <w:r>
        <w:rPr>
          <w:rFonts w:ascii="Arial" w:cs="Arial" w:eastAsia="Arial" w:hAnsi="Arial"/>
          <w:sz w:val="16"/>
          <w:szCs w:val="16"/>
          <w:color w:val="auto"/>
        </w:rPr>
        <w:t>”), (iv) Indebtedness described in Schedule 3(s) of the Securities Purchase Agreement as in effect as of the Subscription Date; provided, that the principal amount of such Indebtedness is not increased, the terms of such Indebtedness are not modified to impose more burdensome terms upon the Company or any of its Subsidiaries and the terms of such Indebtedness are not materially changed in any manner that adversely affects the Holder or any of the Buyers, (v) Indebtedness constituting reimbursement obligations with respect to letters of credit issued in the ordinary course of business, including letters of credit in respect of workers’ compensation claims, or other Indebtedness with respect to reimbursement of the types of obligations regarding workers’ compensation claims,</w:t>
      </w:r>
    </w:p>
    <w:p>
      <w:pPr>
        <w:spacing w:after="0" w:line="5" w:lineRule="exact"/>
        <w:rPr>
          <w:sz w:val="20"/>
          <w:szCs w:val="20"/>
          <w:color w:val="auto"/>
        </w:rPr>
      </w:pPr>
    </w:p>
    <w:p>
      <w:pPr>
        <w:ind w:firstLine="4"/>
        <w:spacing w:after="0" w:line="281" w:lineRule="auto"/>
        <w:tabs>
          <w:tab w:leader="none" w:pos="297"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Indebtedness arising from agreements providing for indemnification, adjustment of purchase price, earnouts or similar obligations, in each case, incurred or assumed in connection with the disposition of any business, assets or a subsidiary, (vii) intercompany Indebtedness, (viii) hedging obligations (excluding hedging obligations entered into for speculative purposes) for the purposes of limiting (a) interest rate risk with respect to any Indebtedness that is permitted by the terms of this Note, (b) exchange rate risk with respect to any currency exchange or (c) commodity pricing risk with respect to any commodity, (ix) obligations in respect of performance, bid, appeal and surety bonds and completion guarantees and similar obligations provided in the ordinary course of business, (x) Indebtedness arising from the honoring by a bank or other financial institution of a check, draft or similar instrument drawn against insufficient funds in the ordinary course of business, (xi) Indebtedness supported by a letter of credit excess of the amount of the Indebtedness,</w:t>
      </w:r>
    </w:p>
    <w:p>
      <w:pPr>
        <w:spacing w:after="0" w:line="4" w:lineRule="exact"/>
        <w:rPr>
          <w:rFonts w:ascii="Arial" w:cs="Arial" w:eastAsia="Arial" w:hAnsi="Arial"/>
          <w:sz w:val="16"/>
          <w:szCs w:val="16"/>
          <w:color w:val="auto"/>
        </w:rPr>
      </w:pPr>
    </w:p>
    <w:p>
      <w:pPr>
        <w:ind w:right="100" w:firstLine="4"/>
        <w:spacing w:after="0" w:line="281" w:lineRule="auto"/>
        <w:tabs>
          <w:tab w:leader="none" w:pos="346"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Indebtedness consisting of the financing of insurance premiums or take-or-pay obligations contained in supply arrangements in each case, incurred in the ordinary course of business, (xiii) customer deposits and advance payments received in the ordinary course of business from customers for goods purchased in the ordinary course of business (xiv) Indebtedness incurred in connection with bankers’ acceptances, discounted bills of exchange or the discounting or factoring of receivables for credit management purposes, in each case incurred or undertaken in the ordinary course of business on arm’s length commercial terms on a recourse basis, (xv) capital leases entered into in the ordinary course of business and (xvi) any item described in clauses</w:t>
      </w:r>
    </w:p>
    <w:p>
      <w:pPr>
        <w:spacing w:after="0" w:line="3" w:lineRule="exact"/>
        <w:rPr>
          <w:rFonts w:ascii="Arial" w:cs="Arial" w:eastAsia="Arial" w:hAnsi="Arial"/>
          <w:sz w:val="16"/>
          <w:szCs w:val="16"/>
          <w:color w:val="auto"/>
        </w:rPr>
      </w:pPr>
    </w:p>
    <w:p>
      <w:pPr>
        <w:ind w:right="200"/>
        <w:spacing w:after="0" w:line="261" w:lineRule="auto"/>
        <w:rPr>
          <w:rFonts w:ascii="Arial" w:cs="Arial" w:eastAsia="Arial" w:hAnsi="Arial"/>
          <w:sz w:val="16"/>
          <w:szCs w:val="16"/>
          <w:color w:val="auto"/>
        </w:rPr>
      </w:pPr>
      <w:r>
        <w:rPr>
          <w:rFonts w:ascii="Arial" w:cs="Arial" w:eastAsia="Arial" w:hAnsi="Arial"/>
          <w:sz w:val="18"/>
          <w:szCs w:val="18"/>
          <w:color w:val="auto"/>
        </w:rPr>
        <w:t>(A) through (H) of the definition of Indebtedness that was not Indebtedness on the date of the Securities Purchase Agreement that becomes Indebtedness after the date of the Securities Purchase Agreement as a result of a change in GAAP.</w:t>
      </w:r>
    </w:p>
    <w:p>
      <w:pPr>
        <w:spacing w:after="0" w:line="50" w:lineRule="exact"/>
        <w:rPr>
          <w:rFonts w:ascii="Arial" w:cs="Arial" w:eastAsia="Arial" w:hAnsi="Arial"/>
          <w:sz w:val="16"/>
          <w:szCs w:val="16"/>
          <w:color w:val="auto"/>
        </w:rPr>
      </w:pPr>
    </w:p>
    <w:p>
      <w:pPr>
        <w:ind w:right="40" w:firstLine="443"/>
        <w:spacing w:after="0" w:line="301" w:lineRule="auto"/>
        <w:tabs>
          <w:tab w:leader="none" w:pos="775" w:val="left"/>
        </w:tabs>
        <w:numPr>
          <w:ilvl w:val="1"/>
          <w:numId w:val="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Senior Indebtedness</w:t>
      </w:r>
      <w:r>
        <w:rPr>
          <w:rFonts w:ascii="Arial" w:cs="Arial" w:eastAsia="Arial" w:hAnsi="Arial"/>
          <w:sz w:val="16"/>
          <w:szCs w:val="16"/>
          <w:color w:val="auto"/>
        </w:rPr>
        <w:t>” means the principal of (and premium, if any), interest on, and all fees and other amounts (including, without limitation, any reasonable out-of-pocket costs, enforcement expenses (including reasonable out-of-pocket legal fees and disbursements), collateral protection expenses and other reimbursement or indemnity obligations relating thereto) payable by Company and/or its Subsidiaries under or in connection with any credit facility to be entered into by the Company and/or its Subsidiaries with one or more financial institutions (and on terms</w:t>
      </w:r>
    </w:p>
    <w:p>
      <w:pPr>
        <w:spacing w:after="0" w:line="9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700" w:top="280" w:right="259" w:bottom="1440" w:gutter="0" w:footer="0" w:header="0"/>
        </w:sectPr>
      </w:pPr>
    </w:p>
    <w:bookmarkStart w:id="88" w:name="page89"/>
    <w:bookmarkEnd w:id="88"/>
    <w:p>
      <w:pPr>
        <w:ind w:right="260"/>
        <w:spacing w:after="0" w:line="33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conditions), in form and substance reasonably satisfactory to the Required Holders (subject, for the avoidance of doubt, to Section 25(b));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aggregate outstanding principal amount of such Indebtedness does not at any time exceed $10,000,000.</w:t>
      </w:r>
    </w:p>
    <w:p>
      <w:pPr>
        <w:spacing w:after="0" w:line="1" w:lineRule="exact"/>
        <w:rPr>
          <w:sz w:val="20"/>
          <w:szCs w:val="20"/>
          <w:color w:val="auto"/>
        </w:rPr>
      </w:pPr>
    </w:p>
    <w:p>
      <w:pPr>
        <w:ind w:firstLine="443"/>
        <w:spacing w:after="0" w:line="283" w:lineRule="auto"/>
        <w:tabs>
          <w:tab w:leader="none" w:pos="697" w:val="left"/>
        </w:tabs>
        <w:numPr>
          <w:ilvl w:val="1"/>
          <w:numId w:val="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in either case, with respect to indebtedness in an aggregate amount not to exceed $10,000,000, (v) Liens on property or shares of stock or other assets of a Person at the time such Person becomes a Subsidiary, provided that such Liens are not created or incurred in connection with, or in contemplation of, such other Person becoming a Subsidiary, (vi) Liens on property or other assets at the time the Company or a Subsidiary acquired the property or such other assets, including any acquisition by means of a merger or consolidation with or into the Company or any Subsidiary, provided that such Liens are not created or incurred in connection with, or in contemplation of, such acquisition, (vii) Liens existing on the Subscription Date,</w:t>
      </w:r>
    </w:p>
    <w:p>
      <w:pPr>
        <w:spacing w:after="0" w:line="1" w:lineRule="exact"/>
        <w:rPr>
          <w:rFonts w:ascii="Arial" w:cs="Arial" w:eastAsia="Arial" w:hAnsi="Arial"/>
          <w:sz w:val="16"/>
          <w:szCs w:val="16"/>
          <w:color w:val="auto"/>
        </w:rPr>
      </w:pPr>
    </w:p>
    <w:p>
      <w:pPr>
        <w:ind w:left="400" w:hanging="396"/>
        <w:spacing w:after="0"/>
        <w:tabs>
          <w:tab w:leader="none" w:pos="4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Liens incurred in connection with the extension, renewal or refinancing of the indebtedness secured by Liens of the type described in clause (iv), (v),</w:t>
      </w:r>
    </w:p>
    <w:p>
      <w:pPr>
        <w:spacing w:after="0" w:line="32" w:lineRule="exact"/>
        <w:rPr>
          <w:rFonts w:ascii="Arial" w:cs="Arial" w:eastAsia="Arial" w:hAnsi="Arial"/>
          <w:sz w:val="16"/>
          <w:szCs w:val="16"/>
          <w:color w:val="auto"/>
        </w:rPr>
      </w:pPr>
    </w:p>
    <w:p>
      <w:pPr>
        <w:ind w:firstLine="4"/>
        <w:spacing w:after="0" w:line="300" w:lineRule="auto"/>
        <w:tabs>
          <w:tab w:leader="none" w:pos="297" w:val="left"/>
        </w:tabs>
        <w:numPr>
          <w:ilvl w:val="0"/>
          <w:numId w:val="88"/>
        </w:numPr>
        <w:rPr>
          <w:rFonts w:ascii="Arial" w:cs="Arial" w:eastAsia="Arial" w:hAnsi="Arial"/>
          <w:sz w:val="15"/>
          <w:szCs w:val="15"/>
          <w:color w:val="auto"/>
        </w:rPr>
      </w:pPr>
      <w:r>
        <w:rPr>
          <w:rFonts w:ascii="Arial" w:cs="Arial" w:eastAsia="Arial" w:hAnsi="Arial"/>
          <w:sz w:val="15"/>
          <w:szCs w:val="15"/>
          <w:color w:val="auto"/>
        </w:rPr>
        <w:t>or (vii) above, provided that any extension, renewal or replacement Lien shall be limited to the property encumbered by the existing Lien and the principal amount of the Indebtedness being extended, renewed or refinanced does not increase, (ix) leases or subleases and licenses and sublicenses granted to others in the ordinary course of the Company’s business, not interfering in any material respect with the business of the Company and its Subsidiaries taken as a whole, (x) Liens in favor of customs and revenue authorities arising as a matter of law to secure payments of custom duties in connection with the importation of goods, (xi) Liens arising from judgments, decrees or attachments in circumstances not constituting an Event of Default under</w:t>
      </w:r>
    </w:p>
    <w:p>
      <w:pPr>
        <w:spacing w:after="0" w:line="2" w:lineRule="exact"/>
        <w:rPr>
          <w:rFonts w:ascii="Arial" w:cs="Arial" w:eastAsia="Arial" w:hAnsi="Arial"/>
          <w:sz w:val="15"/>
          <w:szCs w:val="15"/>
          <w:color w:val="auto"/>
        </w:rPr>
      </w:pPr>
    </w:p>
    <w:p>
      <w:pPr>
        <w:spacing w:after="0" w:line="288" w:lineRule="auto"/>
        <w:rPr>
          <w:rFonts w:ascii="Arial" w:cs="Arial" w:eastAsia="Arial" w:hAnsi="Arial"/>
          <w:sz w:val="15"/>
          <w:szCs w:val="15"/>
          <w:color w:val="auto"/>
        </w:rPr>
      </w:pPr>
      <w:r>
        <w:rPr>
          <w:rFonts w:ascii="Arial" w:cs="Arial" w:eastAsia="Arial" w:hAnsi="Arial"/>
          <w:sz w:val="16"/>
          <w:szCs w:val="16"/>
          <w:color w:val="auto"/>
        </w:rPr>
        <w:t>Section 4(a)(x), (xii) pledges or deposits under workmen’s compensation laws, unemployment insurance laws or similar legislation, (xiii) good faith deposits, prepayments or cash pledges to secure bids, tenders, contracts (other than for the payment of Indebtedness) or leases to which the Company is a party, (xiv) deposits to secure public or statutory obligations of the Company or deposits of cash or U.S. Government bonds to secure surety or appeal bonds to which the Company is a party, in each case incurred in the ordinary course of business. (xv) letters of credit issued pursuant to the request of and for the account of the Company in the ordinary course of its business, (xvi) minor survey exceptions, minor encumbrances, easements or reservations of, or rights of others for, licenses, rights-of-way, sewers, electric lines, telegraph and telephone lines and other similar purposes, or zoning or other restrictions as to the use of real properties or Liens incidental to the conduct of business of the Company</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40"/>
          </w:cols>
          <w:pgMar w:left="700" w:top="280" w:right="259" w:bottom="1440" w:gutter="0" w:footer="0" w:header="0"/>
        </w:sectPr>
      </w:pPr>
    </w:p>
    <w:bookmarkStart w:id="89" w:name="page90"/>
    <w:bookmarkEnd w:id="89"/>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the ownership of its properties, in each case, which were not incurred in connection with Indebtedness and which do not in the aggregate materially adversely affect the value of said properties and materially impair their use in the operation of the business of the Company; (xvii) liens on specific items of inventory or other goods and proceeds of the Company securing the Company’s obligations in respect of bankers’ acceptances issued or created for the account of the Company to facilitate the purchase, shipment or storage of such inventory or other goods, (xviii) Liens arising from financing statement filings under the Uniform Commercial Code or similar state laws regarding operating leases entered into by the Company in the ordinary course of business, (xix) Liens on inventory or equipment of the Company granted in the ordinary course of business to the Company’s client at which such inventory or equipment is located, (xx) deposits in the ordinary course of business to secure liability to insurance carriers, (xxi) Liens (a) of a collection bank arising under Section 4-210 of the Uniform Commercial Code or any comparable or successor provision, on items in the course of collection,</w:t>
      </w:r>
    </w:p>
    <w:p>
      <w:pPr>
        <w:spacing w:after="0" w:line="6" w:lineRule="exact"/>
        <w:rPr>
          <w:sz w:val="20"/>
          <w:szCs w:val="20"/>
          <w:color w:val="auto"/>
        </w:rPr>
      </w:pPr>
    </w:p>
    <w:p>
      <w:pPr>
        <w:ind w:right="20" w:firstLine="4"/>
        <w:spacing w:after="0" w:line="300" w:lineRule="auto"/>
        <w:tabs>
          <w:tab w:leader="none" w:pos="249" w:val="left"/>
        </w:tabs>
        <w:numPr>
          <w:ilvl w:val="0"/>
          <w:numId w:val="89"/>
        </w:numPr>
        <w:rPr>
          <w:rFonts w:ascii="Arial" w:cs="Arial" w:eastAsia="Arial" w:hAnsi="Arial"/>
          <w:sz w:val="15"/>
          <w:szCs w:val="15"/>
          <w:color w:val="auto"/>
        </w:rPr>
      </w:pPr>
      <w:r>
        <w:rPr>
          <w:rFonts w:ascii="Arial" w:cs="Arial" w:eastAsia="Arial" w:hAnsi="Arial"/>
          <w:sz w:val="15"/>
          <w:szCs w:val="15"/>
          <w:color w:val="auto"/>
        </w:rPr>
        <w:t>attaching to commodity trading accounts or other commodity brokerage accounts incurred in the ordinary course of business and (c) in favor of banking institutions arising as a matter of law encumbering deposits (including the right of set-off) and which are within the general parameters customary in the banking industry, (xxii) Liens that are contractual rights of set-off (a) relating to the establishment of depository relations with banks not given in connection with the issuance of Indebtedness, (b) relating to pooled deposit or sweep accounts of the Company to permit satisfaction of overdraft or similar obligations incurred in the ordinary course of business of the Company or (c) relating to purchase orders and other agreements entered into with customers of the Company in its ordinary course of business, (xxiii) Liens encumbering reasonably customary initial deposits and margin deposits and similar Liens attaching to commodity trading accounts or other brokerage accounts incurred in the ordinary course of business and not for speculative purposes,</w:t>
      </w:r>
    </w:p>
    <w:p>
      <w:pPr>
        <w:spacing w:after="0" w:line="3" w:lineRule="exact"/>
        <w:rPr>
          <w:rFonts w:ascii="Arial" w:cs="Arial" w:eastAsia="Arial" w:hAnsi="Arial"/>
          <w:sz w:val="15"/>
          <w:szCs w:val="15"/>
          <w:color w:val="auto"/>
        </w:rPr>
      </w:pPr>
    </w:p>
    <w:p>
      <w:pPr>
        <w:ind w:right="60"/>
        <w:spacing w:after="0" w:line="302" w:lineRule="auto"/>
        <w:rPr>
          <w:rFonts w:ascii="Arial" w:cs="Arial" w:eastAsia="Arial" w:hAnsi="Arial"/>
          <w:sz w:val="15"/>
          <w:szCs w:val="15"/>
          <w:color w:val="auto"/>
        </w:rPr>
      </w:pPr>
      <w:r>
        <w:rPr>
          <w:rFonts w:ascii="Arial" w:cs="Arial" w:eastAsia="Arial" w:hAnsi="Arial"/>
          <w:sz w:val="16"/>
          <w:szCs w:val="16"/>
          <w:color w:val="auto"/>
        </w:rPr>
        <w:t>(xxiv) Liens securing hedging obligations of the Company, provided that to the extent any such hedging obligation is related to Indebtedness, such related Indebtedness is, and is permitted to be under this Note, secured by a Lien on the same property securing such hedging obligations, (xxv) Liens securing the Company’s obligations under the Notes; and (xxvi) any Lien securing Permitted Senior Indebtedness.</w:t>
      </w:r>
    </w:p>
    <w:p>
      <w:pPr>
        <w:spacing w:after="0" w:line="22" w:lineRule="exact"/>
        <w:rPr>
          <w:rFonts w:ascii="Arial" w:cs="Arial" w:eastAsia="Arial" w:hAnsi="Arial"/>
          <w:sz w:val="15"/>
          <w:szCs w:val="15"/>
          <w:color w:val="auto"/>
        </w:rPr>
      </w:pPr>
    </w:p>
    <w:p>
      <w:pPr>
        <w:ind w:right="20" w:firstLine="443"/>
        <w:spacing w:after="0" w:line="275" w:lineRule="auto"/>
        <w:tabs>
          <w:tab w:leader="none" w:pos="872" w:val="left"/>
        </w:tabs>
        <w:numPr>
          <w:ilvl w:val="1"/>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38" w:lineRule="exact"/>
        <w:rPr>
          <w:rFonts w:ascii="Arial" w:cs="Arial" w:eastAsia="Arial" w:hAnsi="Arial"/>
          <w:sz w:val="18"/>
          <w:szCs w:val="18"/>
          <w:color w:val="auto"/>
        </w:rPr>
      </w:pPr>
    </w:p>
    <w:p>
      <w:pPr>
        <w:jc w:val="both"/>
        <w:ind w:right="140" w:firstLine="443"/>
        <w:spacing w:after="0" w:line="258" w:lineRule="auto"/>
        <w:tabs>
          <w:tab w:leader="none" w:pos="775" w:val="left"/>
        </w:tabs>
        <w:numPr>
          <w:ilvl w:val="1"/>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Pre-Installment Period Conversion Price</w:t>
      </w:r>
      <w:r>
        <w:rPr>
          <w:rFonts w:ascii="Arial" w:cs="Arial" w:eastAsia="Arial" w:hAnsi="Arial"/>
          <w:sz w:val="18"/>
          <w:szCs w:val="18"/>
          <w:color w:val="auto"/>
        </w:rPr>
        <w:t>” means, with respect to a particular date of determination, the lower of (i) the Conversion Price then in effect and (ii) 85% of the Market Price as of the Trading Day immediately preceding the delivery or deemed delivery of the applicable Company Installment Notice. All such determinations to be appropriately adjusted for any stock split, stock dividend, stock combination or other similar transaction during any such measuring period.</w:t>
      </w:r>
    </w:p>
    <w:p>
      <w:pPr>
        <w:spacing w:after="0" w:line="55" w:lineRule="exact"/>
        <w:rPr>
          <w:rFonts w:ascii="Arial" w:cs="Arial" w:eastAsia="Arial" w:hAnsi="Arial"/>
          <w:sz w:val="18"/>
          <w:szCs w:val="18"/>
          <w:color w:val="auto"/>
        </w:rPr>
      </w:pPr>
    </w:p>
    <w:p>
      <w:pPr>
        <w:ind w:right="240" w:firstLine="443"/>
        <w:spacing w:after="0" w:line="258" w:lineRule="auto"/>
        <w:tabs>
          <w:tab w:leader="none" w:pos="775" w:val="left"/>
        </w:tabs>
        <w:numPr>
          <w:ilvl w:val="1"/>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Price Failure</w:t>
      </w:r>
      <w:r>
        <w:rPr>
          <w:rFonts w:ascii="Arial" w:cs="Arial" w:eastAsia="Arial" w:hAnsi="Arial"/>
          <w:sz w:val="18"/>
          <w:szCs w:val="18"/>
          <w:color w:val="auto"/>
        </w:rPr>
        <w:t>” means, with respect to a particular date of determination, that the quotient of (I) the sum of the VWAP of the Common Stock for each Trading Day in the thirty (30) consecutive Trading Day period ending and including the Trading Day immediately preceding such date of determination, divided by (II) thirty (30) is less than $1.00 (as adjusted for stock splits, stock dividends, stock combinations, recapitalizations or other similar transactions).</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700" w:top="280" w:right="239" w:bottom="1440" w:gutter="0" w:footer="0" w:header="0"/>
        </w:sectPr>
      </w:pPr>
    </w:p>
    <w:bookmarkStart w:id="90" w:name="page91"/>
    <w:bookmarkEnd w:id="90"/>
    <w:p>
      <w:pPr>
        <w:ind w:left="780" w:hanging="337"/>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Select Market.</w:t>
      </w:r>
    </w:p>
    <w:p>
      <w:pPr>
        <w:spacing w:after="0" w:line="90" w:lineRule="exact"/>
        <w:rPr>
          <w:rFonts w:ascii="Arial" w:cs="Arial" w:eastAsia="Arial" w:hAnsi="Arial"/>
          <w:sz w:val="18"/>
          <w:szCs w:val="18"/>
          <w:color w:val="auto"/>
        </w:rPr>
      </w:pPr>
    </w:p>
    <w:p>
      <w:pPr>
        <w:ind w:right="120" w:firstLine="443"/>
        <w:spacing w:after="0" w:line="262" w:lineRule="auto"/>
        <w:tabs>
          <w:tab w:leader="none" w:pos="7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Notices</w:t>
      </w:r>
      <w:r>
        <w:rPr>
          <w:rFonts w:ascii="Arial" w:cs="Arial" w:eastAsia="Arial" w:hAnsi="Arial"/>
          <w:sz w:val="18"/>
          <w:szCs w:val="18"/>
          <w:color w:val="auto"/>
        </w:rPr>
        <w:t>” means, collectively, the Event of Default Redemption Notices, the Company Installment Notices with respect to any Company Redemption, the Company Optional Redemption Notice, the Sale Redemption Notice and the Change of Control Redemption Notices, and each of the foregoing, individually, a “</w:t>
      </w:r>
      <w:r>
        <w:rPr>
          <w:rFonts w:ascii="Arial" w:cs="Arial" w:eastAsia="Arial" w:hAnsi="Arial"/>
          <w:sz w:val="18"/>
          <w:szCs w:val="18"/>
          <w:b w:val="1"/>
          <w:bCs w:val="1"/>
          <w:color w:val="auto"/>
        </w:rPr>
        <w:t>Redemption Notice</w:t>
      </w:r>
      <w:r>
        <w:rPr>
          <w:rFonts w:ascii="Arial" w:cs="Arial" w:eastAsia="Arial" w:hAnsi="Arial"/>
          <w:sz w:val="18"/>
          <w:szCs w:val="18"/>
          <w:color w:val="auto"/>
        </w:rPr>
        <w:t>.”</w:t>
      </w:r>
    </w:p>
    <w:p>
      <w:pPr>
        <w:spacing w:after="0" w:line="51" w:lineRule="exact"/>
        <w:rPr>
          <w:rFonts w:ascii="Arial" w:cs="Arial" w:eastAsia="Arial" w:hAnsi="Arial"/>
          <w:sz w:val="18"/>
          <w:szCs w:val="18"/>
          <w:color w:val="auto"/>
        </w:rPr>
      </w:pPr>
    </w:p>
    <w:p>
      <w:pPr>
        <w:ind w:right="20" w:firstLine="443"/>
        <w:spacing w:after="0" w:line="275" w:lineRule="auto"/>
        <w:tabs>
          <w:tab w:leader="none" w:pos="716"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Premium</w:t>
      </w:r>
      <w:r>
        <w:rPr>
          <w:rFonts w:ascii="Arial" w:cs="Arial" w:eastAsia="Arial" w:hAnsi="Arial"/>
          <w:sz w:val="18"/>
          <w:szCs w:val="18"/>
          <w:color w:val="auto"/>
        </w:rPr>
        <w:t>” means (i) in the case of the Events of Default described in Section 4(a) (other than Sections 4(a)(vi) through 4(a)(viii)), 125% or (ii) in the case of the Events of Default described in Sections 4(a)(vi) through 4(a)(viii), 100%.</w:t>
      </w:r>
    </w:p>
    <w:p>
      <w:pPr>
        <w:spacing w:after="0" w:line="38" w:lineRule="exact"/>
        <w:rPr>
          <w:rFonts w:ascii="Arial" w:cs="Arial" w:eastAsia="Arial" w:hAnsi="Arial"/>
          <w:sz w:val="18"/>
          <w:szCs w:val="18"/>
          <w:color w:val="auto"/>
        </w:rPr>
      </w:pPr>
    </w:p>
    <w:p>
      <w:pPr>
        <w:jc w:val="both"/>
        <w:ind w:right="560" w:firstLine="443"/>
        <w:spacing w:after="0" w:line="310" w:lineRule="auto"/>
        <w:tabs>
          <w:tab w:leader="none" w:pos="736" w:val="left"/>
        </w:tabs>
        <w:numPr>
          <w:ilvl w:val="0"/>
          <w:numId w:val="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Prices</w:t>
      </w:r>
      <w:r>
        <w:rPr>
          <w:rFonts w:ascii="Arial" w:cs="Arial" w:eastAsia="Arial" w:hAnsi="Arial"/>
          <w:sz w:val="16"/>
          <w:szCs w:val="16"/>
          <w:color w:val="auto"/>
        </w:rPr>
        <w:t>” means, collectively, Event of Default Redemption Prices, the Change of Control Redemption Prices, the Company Optional Redemption Price, the Sale Redemption Price and the Company Installment Redemption Prices, and each of the foregoing, individually, a “</w:t>
      </w:r>
      <w:r>
        <w:rPr>
          <w:rFonts w:ascii="Arial" w:cs="Arial" w:eastAsia="Arial" w:hAnsi="Arial"/>
          <w:sz w:val="16"/>
          <w:szCs w:val="16"/>
          <w:b w:val="1"/>
          <w:bCs w:val="1"/>
          <w:color w:val="auto"/>
        </w:rPr>
        <w:t>Redemption Price</w:t>
      </w:r>
      <w:r>
        <w:rPr>
          <w:rFonts w:ascii="Arial" w:cs="Arial" w:eastAsia="Arial" w:hAnsi="Arial"/>
          <w:sz w:val="16"/>
          <w:szCs w:val="16"/>
          <w:color w:val="auto"/>
        </w:rPr>
        <w:t>.”</w:t>
      </w:r>
    </w:p>
    <w:p>
      <w:pPr>
        <w:spacing w:after="0" w:line="16" w:lineRule="exact"/>
        <w:rPr>
          <w:rFonts w:ascii="Arial" w:cs="Arial" w:eastAsia="Arial" w:hAnsi="Arial"/>
          <w:sz w:val="16"/>
          <w:szCs w:val="16"/>
          <w:color w:val="auto"/>
        </w:rPr>
      </w:pPr>
    </w:p>
    <w:p>
      <w:pPr>
        <w:ind w:right="140" w:firstLine="443"/>
        <w:spacing w:after="0" w:line="310" w:lineRule="auto"/>
        <w:tabs>
          <w:tab w:leader="none" w:pos="697" w:val="left"/>
        </w:tabs>
        <w:numPr>
          <w:ilvl w:val="0"/>
          <w:numId w:val="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means that certain registration rights agreement, dated as of the Initial Closing Date, by and among the Company and the initial holders of the Notes relating to, among other things, the registration of the resale of the Common Stock issuable upon conversion of the Notes or otherwise pursuant to the terms of the Notes and exercise of the Warrants, as may be amended from time to time.</w:t>
      </w:r>
    </w:p>
    <w:p>
      <w:pPr>
        <w:spacing w:after="0" w:line="16" w:lineRule="exact"/>
        <w:rPr>
          <w:rFonts w:ascii="Arial" w:cs="Arial" w:eastAsia="Arial" w:hAnsi="Arial"/>
          <w:sz w:val="16"/>
          <w:szCs w:val="16"/>
          <w:color w:val="auto"/>
        </w:rPr>
      </w:pPr>
    </w:p>
    <w:p>
      <w:pPr>
        <w:ind w:firstLine="443"/>
        <w:spacing w:after="0" w:line="320" w:lineRule="auto"/>
        <w:tabs>
          <w:tab w:leader="none" w:pos="775" w:val="left"/>
        </w:tabs>
        <w:numPr>
          <w:ilvl w:val="0"/>
          <w:numId w:val="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Sale</w:t>
      </w:r>
      <w:r>
        <w:rPr>
          <w:rFonts w:ascii="Arial" w:cs="Arial" w:eastAsia="Arial" w:hAnsi="Arial"/>
          <w:sz w:val="15"/>
          <w:szCs w:val="15"/>
          <w:color w:val="auto"/>
        </w:rPr>
        <w:t>” means any sale, lease or sub-lease (as lessor or sublessor), sale and leaseback, assignment, conveyance, transfer or other disposition to, or any exchange of property with, any Person, in an arm’s length transaction or a series of such transactions, of all or any part of the Company’s or any of its Subsidiaries’ businesses, assets or properties of any kind, whether real, personal, or mixed and whether tangible or intangible, whether now owned or hereafter acquired, including the sale or issuance of capital stock of any of the Company’s Subsidiaries, other than inventory or other assets sold, licensed or leased in the ordinary course of business of the Company or any of its Subsidiaries or the sale or disposition of obsolete, worn out or surplus property.</w:t>
      </w:r>
    </w:p>
    <w:p>
      <w:pPr>
        <w:spacing w:after="0" w:line="11" w:lineRule="exact"/>
        <w:rPr>
          <w:rFonts w:ascii="Arial" w:cs="Arial" w:eastAsia="Arial" w:hAnsi="Arial"/>
          <w:sz w:val="15"/>
          <w:szCs w:val="15"/>
          <w:color w:val="auto"/>
        </w:rPr>
      </w:pPr>
    </w:p>
    <w:p>
      <w:pPr>
        <w:ind w:right="40" w:firstLine="443"/>
        <w:spacing w:after="0" w:line="275" w:lineRule="auto"/>
        <w:tabs>
          <w:tab w:leader="none" w:pos="7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Redemption Eligibility Amount</w:t>
      </w:r>
      <w:r>
        <w:rPr>
          <w:rFonts w:ascii="Arial" w:cs="Arial" w:eastAsia="Arial" w:hAnsi="Arial"/>
          <w:sz w:val="18"/>
          <w:szCs w:val="18"/>
          <w:color w:val="auto"/>
        </w:rPr>
        <w:t>” means, with respect to any Sale, the product of (i) the Holder Pro Rata Amount and (ii) 50% of the Net Sale Proceeds for such Sale.</w:t>
      </w:r>
    </w:p>
    <w:p>
      <w:pPr>
        <w:spacing w:after="0" w:line="38" w:lineRule="exact"/>
        <w:rPr>
          <w:rFonts w:ascii="Arial" w:cs="Arial" w:eastAsia="Arial" w:hAnsi="Arial"/>
          <w:sz w:val="18"/>
          <w:szCs w:val="18"/>
          <w:color w:val="auto"/>
        </w:rPr>
      </w:pPr>
    </w:p>
    <w:p>
      <w:pPr>
        <w:ind w:left="860" w:hanging="417"/>
        <w:spacing w:after="0"/>
        <w:tabs>
          <w:tab w:leader="none" w:pos="8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 or the successor thereto.</w:t>
      </w:r>
    </w:p>
    <w:p>
      <w:pPr>
        <w:spacing w:after="0" w:line="90" w:lineRule="exact"/>
        <w:rPr>
          <w:rFonts w:ascii="Arial" w:cs="Arial" w:eastAsia="Arial" w:hAnsi="Arial"/>
          <w:sz w:val="18"/>
          <w:szCs w:val="18"/>
          <w:color w:val="auto"/>
        </w:rPr>
      </w:pPr>
    </w:p>
    <w:p>
      <w:pPr>
        <w:ind w:right="460" w:firstLine="443"/>
        <w:spacing w:after="0" w:line="357" w:lineRule="auto"/>
        <w:tabs>
          <w:tab w:leader="none" w:pos="775" w:val="left"/>
        </w:tabs>
        <w:numPr>
          <w:ilvl w:val="0"/>
          <w:numId w:val="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Securities Purchase Agreement</w:t>
      </w:r>
      <w:r>
        <w:rPr>
          <w:rFonts w:ascii="Arial" w:cs="Arial" w:eastAsia="Arial" w:hAnsi="Arial"/>
          <w:sz w:val="15"/>
          <w:szCs w:val="15"/>
          <w:color w:val="auto"/>
        </w:rPr>
        <w:t>” means that certain securities purchase agreement, dated as of the Subscription Date, by and among the Company and the initial holders of the Notes pursuant to which the Company issued the Notes and Warrants, as may be amended from time to time.</w:t>
      </w:r>
    </w:p>
    <w:p>
      <w:pPr>
        <w:ind w:left="780" w:hanging="337"/>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Date</w:t>
      </w:r>
      <w:r>
        <w:rPr>
          <w:rFonts w:ascii="Arial" w:cs="Arial" w:eastAsia="Arial" w:hAnsi="Arial"/>
          <w:sz w:val="18"/>
          <w:szCs w:val="18"/>
          <w:color w:val="auto"/>
        </w:rPr>
        <w:t>” means April 4, 2012</w:t>
      </w:r>
    </w:p>
    <w:p>
      <w:pPr>
        <w:spacing w:after="0" w:line="16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700" w:top="274" w:right="239" w:bottom="1440" w:gutter="0" w:footer="0" w:header="0"/>
        </w:sectPr>
      </w:pPr>
    </w:p>
    <w:bookmarkStart w:id="91" w:name="page92"/>
    <w:bookmarkEnd w:id="91"/>
    <w:p>
      <w:pPr>
        <w:jc w:val="both"/>
        <w:ind w:firstLine="443"/>
        <w:spacing w:after="0" w:line="309" w:lineRule="auto"/>
        <w:tabs>
          <w:tab w:leader="none" w:pos="755" w:val="left"/>
        </w:tabs>
        <w:numPr>
          <w:ilvl w:val="1"/>
          <w:numId w:val="9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5"/>
          <w:szCs w:val="15"/>
          <w:b w:val="1"/>
          <w:bCs w:val="1"/>
          <w:color w:val="auto"/>
        </w:rPr>
        <w:t>Significant Subsidiary</w:t>
      </w:r>
      <w:r>
        <w:rPr>
          <w:rFonts w:ascii="Arial" w:cs="Arial" w:eastAsia="Arial" w:hAnsi="Arial"/>
          <w:sz w:val="15"/>
          <w:szCs w:val="15"/>
          <w:color w:val="auto"/>
        </w:rPr>
        <w:t>” means a Subsidiary of the Company that meets the definition of “significant subsidiary” in Article 1, Rule 1-02(w) of Regulation S-X under the Exchange Act; provided that, in the case of a Subsidiary of the Company that meets the criteria of clause (3) but not clause (1) or</w:t>
      </w:r>
    </w:p>
    <w:p>
      <w:pPr>
        <w:jc w:val="both"/>
        <w:ind w:right="140" w:firstLine="4"/>
        <w:spacing w:after="0" w:line="302" w:lineRule="auto"/>
        <w:tabs>
          <w:tab w:leader="none" w:pos="249"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thereof, such Subsidiary shall not be deemed to be a Significant Subsidiary unless the Subsidiary’s income from continuing operations before income taxes, extraordinary items and cumulative effect of a change in accounting principle exclusive of amounts attributable to any non-controlling interests for the last completed fiscal year prior to the date of such determination exceeds $5,000,000 million.</w:t>
      </w:r>
    </w:p>
    <w:p>
      <w:pPr>
        <w:spacing w:after="0" w:line="22" w:lineRule="exact"/>
        <w:rPr>
          <w:rFonts w:ascii="Arial" w:cs="Arial" w:eastAsia="Arial" w:hAnsi="Arial"/>
          <w:sz w:val="16"/>
          <w:szCs w:val="16"/>
          <w:color w:val="auto"/>
        </w:rPr>
      </w:pPr>
    </w:p>
    <w:p>
      <w:pPr>
        <w:ind w:right="660" w:firstLine="443"/>
        <w:spacing w:after="0" w:line="334" w:lineRule="auto"/>
        <w:tabs>
          <w:tab w:leader="none" w:pos="833" w:val="left"/>
        </w:tabs>
        <w:numPr>
          <w:ilvl w:val="1"/>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Subsidiaries</w:t>
      </w:r>
      <w:r>
        <w:rPr>
          <w:rFonts w:ascii="Arial" w:cs="Arial" w:eastAsia="Arial" w:hAnsi="Arial"/>
          <w:sz w:val="16"/>
          <w:szCs w:val="16"/>
          <w:color w:val="auto"/>
        </w:rPr>
        <w:t>” means, as of any date of determination, collectively, all Current Subsidiaries and all New Subsidiaries, and each of the foregoing, individually, a “</w:t>
      </w:r>
      <w:r>
        <w:rPr>
          <w:rFonts w:ascii="Arial" w:cs="Arial" w:eastAsia="Arial" w:hAnsi="Arial"/>
          <w:sz w:val="16"/>
          <w:szCs w:val="16"/>
          <w:b w:val="1"/>
          <w:bCs w:val="1"/>
          <w:color w:val="auto"/>
        </w:rPr>
        <w:t>Subsidiary</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500" w:firstLine="443"/>
        <w:spacing w:after="0" w:line="310" w:lineRule="auto"/>
        <w:tabs>
          <w:tab w:leader="none" w:pos="862" w:val="left"/>
        </w:tabs>
        <w:numPr>
          <w:ilvl w:val="1"/>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Entity</w:t>
      </w:r>
      <w:r>
        <w:rPr>
          <w:rFonts w:ascii="Arial" w:cs="Arial" w:eastAsia="Arial" w:hAnsi="Arial"/>
          <w:sz w:val="16"/>
          <w:szCs w:val="16"/>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6" w:lineRule="exact"/>
        <w:rPr>
          <w:rFonts w:ascii="Arial" w:cs="Arial" w:eastAsia="Arial" w:hAnsi="Arial"/>
          <w:sz w:val="16"/>
          <w:szCs w:val="16"/>
          <w:color w:val="auto"/>
        </w:rPr>
      </w:pPr>
    </w:p>
    <w:p>
      <w:pPr>
        <w:ind w:right="20" w:firstLine="443"/>
        <w:spacing w:after="0" w:line="296" w:lineRule="auto"/>
        <w:tabs>
          <w:tab w:leader="none" w:pos="833" w:val="left"/>
        </w:tabs>
        <w:numPr>
          <w:ilvl w:val="1"/>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City time).</w:t>
      </w:r>
    </w:p>
    <w:p>
      <w:pPr>
        <w:spacing w:after="0" w:line="26" w:lineRule="exact"/>
        <w:rPr>
          <w:rFonts w:ascii="Arial" w:cs="Arial" w:eastAsia="Arial" w:hAnsi="Arial"/>
          <w:sz w:val="16"/>
          <w:szCs w:val="16"/>
          <w:color w:val="auto"/>
        </w:rPr>
      </w:pPr>
    </w:p>
    <w:p>
      <w:pPr>
        <w:ind w:right="20" w:firstLine="443"/>
        <w:spacing w:after="0" w:line="288" w:lineRule="auto"/>
        <w:tabs>
          <w:tab w:leader="none" w:pos="862" w:val="left"/>
        </w:tabs>
        <w:numPr>
          <w:ilvl w:val="1"/>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Volume Failure</w:t>
      </w:r>
      <w:r>
        <w:rPr>
          <w:rFonts w:ascii="Arial" w:cs="Arial" w:eastAsia="Arial" w:hAnsi="Arial"/>
          <w:sz w:val="16"/>
          <w:szCs w:val="16"/>
          <w:color w:val="auto"/>
        </w:rPr>
        <w:t xml:space="preserve">” means, with respect to a particular date of determination, that the aggregate daily dollar trading volume (as reported on Bloomberg) of the Common Stock on the Eligible Market on which the Common Stock is listed or designated for quotation (the “ADTV”) on any of the twenty-five (25) Trading Days with the highest such aggregate daily trading volume during the thirty (30) consecutive Trading Day period ending on the Trading Day immediately preceding such date of determination (the “Volume Measurement Period”) is less than $850,000 (as adjusted for any stock splits, stock dividends, stock combinations, recapitalizations or other similar transactions); </w:t>
      </w:r>
      <w:r>
        <w:rPr>
          <w:rFonts w:ascii="Arial" w:cs="Arial" w:eastAsia="Arial" w:hAnsi="Arial"/>
          <w:sz w:val="16"/>
          <w:szCs w:val="16"/>
          <w:i w:val="1"/>
          <w:iCs w:val="1"/>
          <w:color w:val="auto"/>
        </w:rPr>
        <w:t>provided, however</w:t>
      </w:r>
      <w:r>
        <w:rPr>
          <w:rFonts w:ascii="Arial" w:cs="Arial" w:eastAsia="Arial" w:hAnsi="Arial"/>
          <w:sz w:val="16"/>
          <w:szCs w:val="16"/>
          <w:color w:val="auto"/>
        </w:rPr>
        <w:t>, with respect to a Company Conversion pursuant to Section 8, if the ADTV is between $50,000 and $850,000, a Volume Failure shall not be deemed to have occurred, but the Company Conversion Amount with respect to such Company Conversion will be reduced to an amount determined by multiplying (i) the applicable Installment Amount payable in respect to such Installment Date (not including any amounts previously deferred to such Installment Date pursuant to Section 8(e) hereof) by (ii) a fraction with a numerator equal to the average of the ADTV during the Volume Measurement Period and a denominator equal to $850,000, which fraction shall not be greater than one (1) (i.e 1/1).</w:t>
      </w:r>
    </w:p>
    <w:p>
      <w:pPr>
        <w:spacing w:after="0" w:line="10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20"/>
          </w:cols>
          <w:pgMar w:left="700" w:top="274" w:right="279" w:bottom="1440" w:gutter="0" w:footer="0" w:header="0"/>
        </w:sectPr>
      </w:pPr>
    </w:p>
    <w:bookmarkStart w:id="92" w:name="page93"/>
    <w:bookmarkEnd w:id="92"/>
    <w:p>
      <w:pPr>
        <w:jc w:val="both"/>
        <w:ind w:left="420" w:right="200" w:firstLine="443"/>
        <w:spacing w:after="0" w:line="301" w:lineRule="auto"/>
        <w:tabs>
          <w:tab w:leader="none" w:pos="1253" w:val="left"/>
        </w:tabs>
        <w:numPr>
          <w:ilvl w:val="1"/>
          <w:numId w:val="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trustees or other similar governing body of such Person (irrespective of whether or not at the time capital stock of any other class or classes shall have or might have voting power by reason of the happening of any contingency).</w:t>
      </w:r>
    </w:p>
    <w:p>
      <w:pPr>
        <w:spacing w:after="0" w:line="22" w:lineRule="exact"/>
        <w:rPr>
          <w:rFonts w:ascii="Arial" w:cs="Arial" w:eastAsia="Arial" w:hAnsi="Arial"/>
          <w:sz w:val="16"/>
          <w:szCs w:val="16"/>
          <w:color w:val="auto"/>
        </w:rPr>
      </w:pPr>
    </w:p>
    <w:p>
      <w:pPr>
        <w:ind w:left="420" w:right="60" w:firstLine="443"/>
        <w:spacing w:after="0" w:line="287" w:lineRule="auto"/>
        <w:tabs>
          <w:tab w:leader="none" w:pos="1188" w:val="left"/>
        </w:tabs>
        <w:numPr>
          <w:ilvl w:val="1"/>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Sale Price of any of the market makers for such security as reported in the “pink sheets” by OTC Markets Group Inc. (formerly Pink Sheets LLC).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24. All such determinations shall be appropriately adjusted for any stock dividend, stock split, stock combination, recapitalization or other similar transaction during such period.</w:t>
      </w:r>
    </w:p>
    <w:p>
      <w:pPr>
        <w:spacing w:after="0" w:line="33" w:lineRule="exact"/>
        <w:rPr>
          <w:rFonts w:ascii="Arial" w:cs="Arial" w:eastAsia="Arial" w:hAnsi="Arial"/>
          <w:sz w:val="16"/>
          <w:szCs w:val="16"/>
          <w:color w:val="auto"/>
        </w:rPr>
      </w:pPr>
    </w:p>
    <w:p>
      <w:pPr>
        <w:ind w:left="420" w:right="500" w:firstLine="443"/>
        <w:spacing w:after="0" w:line="339" w:lineRule="auto"/>
        <w:tabs>
          <w:tab w:leader="none" w:pos="1282" w:val="left"/>
        </w:tabs>
        <w:numPr>
          <w:ilvl w:val="1"/>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Warrants</w:t>
      </w:r>
      <w:r>
        <w:rPr>
          <w:rFonts w:ascii="Arial" w:cs="Arial" w:eastAsia="Arial" w:hAnsi="Arial"/>
          <w:sz w:val="16"/>
          <w:szCs w:val="16"/>
          <w:color w:val="auto"/>
        </w:rPr>
        <w:t>” shall have the meaning ascribed to such term in the Securities Purchase Agreement, and shall include all warrants issued in exchange therefor or replacement thereof.</w:t>
      </w:r>
    </w:p>
    <w:p>
      <w:pPr>
        <w:spacing w:after="0" w:line="80" w:lineRule="exact"/>
        <w:rPr>
          <w:rFonts w:ascii="Arial" w:cs="Arial" w:eastAsia="Arial" w:hAnsi="Arial"/>
          <w:sz w:val="16"/>
          <w:szCs w:val="16"/>
          <w:color w:val="auto"/>
        </w:rPr>
      </w:pPr>
    </w:p>
    <w:p>
      <w:pPr>
        <w:ind w:left="-40" w:firstLine="464"/>
        <w:spacing w:after="0" w:line="289" w:lineRule="auto"/>
        <w:tabs>
          <w:tab w:leader="none" w:pos="680"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Upon receipt or delivery by the Company of any notice in accordance with the terms of this Note, unless the Company has in good faith determined that the matters relating to such notice do not constitute material, non-public information relating to the Company or any of its Subsidiaries, the Company shall within two (2) Business Days after any such receipt or delivery publicly disclose such material, non-public information on a press release, Current Report on Form 8-K or otherwise. In the event that the Company believes that a notice contains material, non-public information relating to the Company or any of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 Nothing contained in this Section 32 shall limit any obligations of the Company, or any rights of the Holder, under Section 4(i) of the Securities Purchase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80" w:top="274" w:right="27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Note to be duly executed as of the Issuance Date set forth above.</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UPERCONDUCTOR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David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10795</wp:posOffset>
            </wp:positionV>
            <wp:extent cx="26841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David A. Henry</w:t>
      </w:r>
    </w:p>
    <w:p>
      <w:pPr>
        <w:spacing w:after="0" w:line="1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9900"/>
          </w:cols>
          <w:pgMar w:left="700" w:top="280" w:right="1299" w:bottom="1440" w:gutter="0" w:footer="0" w:header="0"/>
        </w:sectPr>
      </w:pPr>
    </w:p>
    <w:bookmarkStart w:id="94" w:name="page95"/>
    <w:bookmarkEnd w:id="94"/>
    <w:p>
      <w:pPr>
        <w:ind w:left="4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4(a)(x)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Controversy with Sinovel Wind Group Co., Ltd.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Controversy with S &amp; C Electric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Controversy with Ghodawat Energy Pvt Ltd.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Controversy with John J. Kenney, Jr.</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Controversies with respect to securities litigation disclosed in the SEC Documents (as defined in the Securities Purchase Agreement)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Controversies arising out of or related to any adverse purchase commitment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Adverse purchase commitments in excess of the Company’s estimated future demand from certain of its customers in China.</w:t>
      </w:r>
    </w:p>
    <w:p>
      <w:pPr>
        <w:sectPr>
          <w:pgSz w:w="11900" w:h="16838" w:orient="portrait"/>
          <w:cols w:equalWidth="0" w:num="1">
            <w:col w:w="10219"/>
          </w:cols>
          <w:pgMar w:left="240" w:top="274" w:right="1440" w:bottom="1440" w:gutter="0" w:footer="0" w:header="0"/>
        </w:sectPr>
      </w:pPr>
    </w:p>
    <w:bookmarkStart w:id="95" w:name="page96"/>
    <w:bookmarkEnd w:id="95"/>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4(a)(xi)</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Controversy with Sinovel Wind Group Co., Ltd.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Controversy with S &amp; C Electric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Controversy with Ghodawat Energy Pvt Ltd.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Controversy with John J. Kenney, Jr.</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Controversies with respect to securities litigation disclosed in the SEC Documents (as defined in the Securities Purchase Agreement)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Controversies arising out of or related to any adverse purchase commitment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Adverse purchase commitments in excess of the Company’s estimated future demand from certain of its customers in China.</w:t>
      </w:r>
    </w:p>
    <w:p>
      <w:pPr>
        <w:sectPr>
          <w:pgSz w:w="11900" w:h="16838" w:orient="portrait"/>
          <w:cols w:equalWidth="0" w:num="1">
            <w:col w:w="10219"/>
          </w:cols>
          <w:pgMar w:left="240" w:top="274" w:right="1440"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 NOTICE</w:t>
      </w:r>
    </w:p>
    <w:p>
      <w:pPr>
        <w:spacing w:after="0" w:line="159" w:lineRule="exact"/>
        <w:rPr>
          <w:sz w:val="20"/>
          <w:szCs w:val="20"/>
          <w:color w:val="auto"/>
        </w:rPr>
      </w:pPr>
    </w:p>
    <w:p>
      <w:pPr>
        <w:jc w:val="both"/>
        <w:ind w:right="140" w:firstLine="456"/>
        <w:spacing w:after="0" w:line="310" w:lineRule="auto"/>
        <w:rPr>
          <w:sz w:val="20"/>
          <w:szCs w:val="20"/>
          <w:color w:val="auto"/>
        </w:rPr>
      </w:pPr>
      <w:r>
        <w:rPr>
          <w:rFonts w:ascii="Arial" w:cs="Arial" w:eastAsia="Arial" w:hAnsi="Arial"/>
          <w:sz w:val="16"/>
          <w:szCs w:val="16"/>
          <w:color w:val="auto"/>
        </w:rPr>
        <w:t>Reference is made to the Senior Convertible Note (the “</w:t>
      </w:r>
      <w:r>
        <w:rPr>
          <w:rFonts w:ascii="Arial" w:cs="Arial" w:eastAsia="Arial" w:hAnsi="Arial"/>
          <w:sz w:val="16"/>
          <w:szCs w:val="16"/>
          <w:b w:val="1"/>
          <w:bCs w:val="1"/>
          <w:color w:val="auto"/>
        </w:rPr>
        <w:t>Note</w:t>
      </w:r>
      <w:r>
        <w:rPr>
          <w:rFonts w:ascii="Arial" w:cs="Arial" w:eastAsia="Arial" w:hAnsi="Arial"/>
          <w:sz w:val="16"/>
          <w:szCs w:val="16"/>
          <w:color w:val="auto"/>
        </w:rPr>
        <w:t>”) issued to the undersigned by American Superconductor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accordance with and pursuant to the Note, the undersigned hereby elects to convert the Conversion Amount (as defined in the Note) of the Note indicated below into shares of Common Stock, $0.01 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Company, as of the date specified below.</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10795</wp:posOffset>
            </wp:positionV>
            <wp:extent cx="58400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Aggregate Principal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10795</wp:posOffset>
            </wp:positionV>
            <wp:extent cx="46907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pacing w:after="0" w:line="2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Aggregate accrued and unpaid Interest</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with respect to such portion of the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Aggregate Principal and such</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Aggregate Interest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-9525</wp:posOffset>
            </wp:positionV>
            <wp:extent cx="46907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AGGREGATE CONVERSION AMOUNT TO</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-9525</wp:posOffset>
            </wp:positionV>
            <wp:extent cx="46564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656455"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10795</wp:posOffset>
            </wp:positionV>
            <wp:extent cx="5977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77255" cy="8890"/>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shares of Common Stock to be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-9525</wp:posOffset>
            </wp:positionV>
            <wp:extent cx="48621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62195" cy="8890"/>
                    </a:xfrm>
                    <a:prstGeom prst="rect">
                      <a:avLst/>
                    </a:prstGeom>
                    <a:noFill/>
                  </pic:spPr>
                </pic:pic>
              </a:graphicData>
            </a:graphic>
          </wp:anchor>
        </w:drawing>
      </w:r>
    </w:p>
    <w:p>
      <w:pPr>
        <w:spacing w:after="0" w:line="1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By delivering this Conversion Notice, the Holder hereby represents that, after giving effect to the conversion provided for in this Conversion Notice, the Holder will not have direct or indirect beneficial ownership of a number of shares of Common Stock which exceeds the Maximum Percentage (as defined in the Note) as of the date of this Conversion Notice.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Please issue the Common Stock into which the Note is being converted in the following name and to the following address: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10795</wp:posOffset>
            </wp:positionV>
            <wp:extent cx="64662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234315</wp:posOffset>
            </wp:positionV>
            <wp:extent cx="64662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66205" cy="8890"/>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457200</wp:posOffset>
            </wp:positionV>
            <wp:extent cx="64662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662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10795</wp:posOffset>
            </wp:positionV>
            <wp:extent cx="59086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08675" cy="8890"/>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10795</wp:posOffset>
            </wp:positionV>
            <wp:extent cx="65347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7" w:name="page98"/>
    <w:bookmarkEnd w:id="97"/>
    <w:p>
      <w:pPr>
        <w:ind w:left="1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10795</wp:posOffset>
            </wp:positionV>
            <wp:extent cx="58661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3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10795</wp:posOffset>
            </wp:positionV>
            <wp:extent cx="55657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65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10795</wp:posOffset>
            </wp:positionV>
            <wp:extent cx="68694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10795</wp:posOffset>
            </wp:positionV>
            <wp:extent cx="58661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electronic book entry transfer)</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10795</wp:posOffset>
            </wp:positionV>
            <wp:extent cx="54197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(if electronic book entry transfer)</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Installment Amount(s) to be reduced (and corresponding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Installment Date(s)) and amount of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-129540</wp:posOffset>
            </wp:positionV>
            <wp:extent cx="36449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98" w:name="page99"/>
    <w:bookmarkEnd w:id="98"/>
    <w:p>
      <w:pPr>
        <w:ind w:left="10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II</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hereby acknowledges this Conversion Notice and hereby directs to issue the above indicated number of shares of Common Stock in accordance with the Transfer Agent Instructions dated , 20 from the Company and acknowledged and agreed to by .</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UPERCONDUCTOR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4"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Daniel P. McGahn, certify that:</w:t>
      </w:r>
    </w:p>
    <w:p>
      <w:pPr>
        <w:spacing w:after="0" w:line="90"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5880" w:val="left"/>
          <w:tab w:leader="none" w:pos="7820" w:val="left"/>
        </w:tabs>
        <w:rPr>
          <w:sz w:val="20"/>
          <w:szCs w:val="20"/>
          <w:color w:val="auto"/>
        </w:rPr>
      </w:pPr>
      <w:r>
        <w:rPr>
          <w:rFonts w:ascii="Arial" w:cs="Arial" w:eastAsia="Arial" w:hAnsi="Arial"/>
          <w:sz w:val="18"/>
          <w:szCs w:val="18"/>
          <w:color w:val="auto"/>
        </w:rPr>
        <w:t>Date: February 11, 2013</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D</w:t>
      </w:r>
      <w:r>
        <w:rPr>
          <w:rFonts w:ascii="Arial" w:cs="Arial" w:eastAsia="Arial" w:hAnsi="Arial"/>
          <w:sz w:val="14"/>
          <w:szCs w:val="14"/>
          <w:b w:val="1"/>
          <w:bCs w:val="1"/>
          <w:color w:val="auto"/>
        </w:rPr>
        <w:t>ANIEL</w:t>
      </w:r>
      <w:r>
        <w:rPr>
          <w:rFonts w:ascii="Arial" w:cs="Arial" w:eastAsia="Arial" w:hAnsi="Arial"/>
          <w:sz w:val="18"/>
          <w:szCs w:val="18"/>
          <w:b w:val="1"/>
          <w:bCs w:val="1"/>
          <w:color w:val="auto"/>
        </w:rPr>
        <w:t xml:space="preserve"> P. M</w:t>
      </w:r>
      <w:r>
        <w:rPr>
          <w:rFonts w:ascii="Arial" w:cs="Arial" w:eastAsia="Arial" w:hAnsi="Arial"/>
          <w:sz w:val="14"/>
          <w:szCs w:val="14"/>
          <w:b w:val="1"/>
          <w:bCs w:val="1"/>
          <w:color w:val="auto"/>
        </w:rPr>
        <w:t>C</w:t>
      </w:r>
      <w:r>
        <w:rPr>
          <w:rFonts w:ascii="Arial" w:cs="Arial" w:eastAsia="Arial" w:hAnsi="Arial"/>
          <w:sz w:val="18"/>
          <w:szCs w:val="18"/>
          <w:b w:val="1"/>
          <w:bCs w:val="1"/>
          <w:color w:val="auto"/>
        </w:rPr>
        <w:t>G</w:t>
      </w:r>
      <w:r>
        <w:rPr>
          <w:rFonts w:ascii="Arial" w:cs="Arial" w:eastAsia="Arial" w:hAnsi="Arial"/>
          <w:sz w:val="14"/>
          <w:szCs w:val="14"/>
          <w:b w:val="1"/>
          <w:bCs w:val="1"/>
          <w:color w:val="auto"/>
        </w:rPr>
        <w:t>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23495</wp:posOffset>
            </wp:positionV>
            <wp:extent cx="35674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2"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Daniel P. McGahn</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Henry, certify that:</w:t>
      </w:r>
    </w:p>
    <w:p>
      <w:pPr>
        <w:spacing w:after="0" w:line="90"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5880" w:val="left"/>
          <w:tab w:leader="none" w:pos="7960" w:val="left"/>
        </w:tabs>
        <w:rPr>
          <w:sz w:val="20"/>
          <w:szCs w:val="20"/>
          <w:color w:val="auto"/>
        </w:rPr>
      </w:pPr>
      <w:r>
        <w:rPr>
          <w:rFonts w:ascii="Arial" w:cs="Arial" w:eastAsia="Arial" w:hAnsi="Arial"/>
          <w:sz w:val="18"/>
          <w:szCs w:val="18"/>
          <w:color w:val="auto"/>
        </w:rPr>
        <w:t>Date: February 11, 2013</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D</w:t>
      </w:r>
      <w:r>
        <w:rPr>
          <w:rFonts w:ascii="Arial" w:cs="Arial" w:eastAsia="Arial" w:hAnsi="Arial"/>
          <w:sz w:val="14"/>
          <w:szCs w:val="14"/>
          <w:b w:val="1"/>
          <w:bCs w:val="1"/>
          <w:color w:val="auto"/>
        </w:rPr>
        <w:t>AVID</w:t>
      </w:r>
      <w:r>
        <w:rPr>
          <w:rFonts w:ascii="Arial" w:cs="Arial" w:eastAsia="Arial" w:hAnsi="Arial"/>
          <w:sz w:val="18"/>
          <w:szCs w:val="18"/>
          <w:b w:val="1"/>
          <w:bCs w:val="1"/>
          <w:color w:val="auto"/>
        </w:rPr>
        <w:t xml:space="preserve"> A. H</w:t>
      </w:r>
      <w:r>
        <w:rPr>
          <w:rFonts w:ascii="Arial" w:cs="Arial" w:eastAsia="Arial" w:hAnsi="Arial"/>
          <w:sz w:val="14"/>
          <w:szCs w:val="14"/>
          <w:b w:val="1"/>
          <w:bCs w:val="1"/>
          <w:color w:val="auto"/>
        </w:rPr>
        <w:t>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23495</wp:posOffset>
            </wp:positionV>
            <wp:extent cx="35674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2"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David A. Henry</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52"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December 31, 2012,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143" w:lineRule="exact"/>
        <w:rPr>
          <w:sz w:val="20"/>
          <w:szCs w:val="20"/>
          <w:color w:val="auto"/>
        </w:rPr>
      </w:pPr>
    </w:p>
    <w:p>
      <w:pPr>
        <w:ind w:left="720" w:hanging="256"/>
        <w:spacing w:after="0"/>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5880" w:val="left"/>
          <w:tab w:leader="none" w:pos="7820" w:val="left"/>
        </w:tabs>
        <w:rPr>
          <w:sz w:val="20"/>
          <w:szCs w:val="20"/>
          <w:color w:val="auto"/>
        </w:rPr>
      </w:pPr>
      <w:r>
        <w:rPr>
          <w:rFonts w:ascii="Arial" w:cs="Arial" w:eastAsia="Arial" w:hAnsi="Arial"/>
          <w:sz w:val="18"/>
          <w:szCs w:val="18"/>
          <w:color w:val="auto"/>
        </w:rPr>
        <w:t>Date: February 11, 2013</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D</w:t>
      </w:r>
      <w:r>
        <w:rPr>
          <w:rFonts w:ascii="Arial" w:cs="Arial" w:eastAsia="Arial" w:hAnsi="Arial"/>
          <w:sz w:val="14"/>
          <w:szCs w:val="14"/>
          <w:b w:val="1"/>
          <w:bCs w:val="1"/>
          <w:color w:val="auto"/>
        </w:rPr>
        <w:t>ANIEL</w:t>
      </w:r>
      <w:r>
        <w:rPr>
          <w:rFonts w:ascii="Arial" w:cs="Arial" w:eastAsia="Arial" w:hAnsi="Arial"/>
          <w:sz w:val="18"/>
          <w:szCs w:val="18"/>
          <w:b w:val="1"/>
          <w:bCs w:val="1"/>
          <w:color w:val="auto"/>
        </w:rPr>
        <w:t xml:space="preserve"> P. M</w:t>
      </w:r>
      <w:r>
        <w:rPr>
          <w:rFonts w:ascii="Arial" w:cs="Arial" w:eastAsia="Arial" w:hAnsi="Arial"/>
          <w:sz w:val="14"/>
          <w:szCs w:val="14"/>
          <w:b w:val="1"/>
          <w:bCs w:val="1"/>
          <w:color w:val="auto"/>
        </w:rPr>
        <w:t>C</w:t>
      </w:r>
      <w:r>
        <w:rPr>
          <w:rFonts w:ascii="Arial" w:cs="Arial" w:eastAsia="Arial" w:hAnsi="Arial"/>
          <w:sz w:val="18"/>
          <w:szCs w:val="18"/>
          <w:b w:val="1"/>
          <w:bCs w:val="1"/>
          <w:color w:val="auto"/>
        </w:rPr>
        <w:t>G</w:t>
      </w:r>
      <w:r>
        <w:rPr>
          <w:rFonts w:ascii="Arial" w:cs="Arial" w:eastAsia="Arial" w:hAnsi="Arial"/>
          <w:sz w:val="14"/>
          <w:szCs w:val="14"/>
          <w:b w:val="1"/>
          <w:bCs w:val="1"/>
          <w:color w:val="auto"/>
        </w:rPr>
        <w:t>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14605</wp:posOffset>
            </wp:positionV>
            <wp:extent cx="35674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Daniel P. McGahn</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52"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In connection with the Quarterly Report on Form 10-Q of American Superconductor Corporation (the “Company”) for the period ended December 31, 2012, as filed with the Securities and Exchange Commission on the date hereof (the “Report”), the undersigned, David A. Henry, Chief Financial Officer of the Company, hereby certifies, pursuant to 18 U.S.C. Section 1350, as adopted pursuant to Section 906 of the Sarbanes-Oxley Act of 2002, that, to my knowledge:</w:t>
      </w:r>
    </w:p>
    <w:p>
      <w:pPr>
        <w:spacing w:after="0" w:line="88" w:lineRule="exact"/>
        <w:rPr>
          <w:sz w:val="20"/>
          <w:szCs w:val="20"/>
          <w:color w:val="auto"/>
        </w:rPr>
      </w:pPr>
    </w:p>
    <w:p>
      <w:pPr>
        <w:ind w:left="720" w:hanging="256"/>
        <w:spacing w:after="0"/>
        <w:tabs>
          <w:tab w:leader="none" w:pos="7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5880" w:val="left"/>
          <w:tab w:leader="none" w:pos="8080" w:val="left"/>
        </w:tabs>
        <w:rPr>
          <w:sz w:val="20"/>
          <w:szCs w:val="20"/>
          <w:color w:val="auto"/>
        </w:rPr>
      </w:pPr>
      <w:r>
        <w:rPr>
          <w:rFonts w:ascii="Arial" w:cs="Arial" w:eastAsia="Arial" w:hAnsi="Arial"/>
          <w:sz w:val="18"/>
          <w:szCs w:val="18"/>
          <w:color w:val="auto"/>
        </w:rPr>
        <w:t>Date: February 11, 2013</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w:t>
      </w:r>
      <w:r>
        <w:rPr>
          <w:rFonts w:ascii="Arial" w:cs="Arial" w:eastAsia="Arial" w:hAnsi="Arial"/>
          <w:sz w:val="13"/>
          <w:szCs w:val="13"/>
          <w:b w:val="1"/>
          <w:bCs w:val="1"/>
          <w:color w:val="auto"/>
        </w:rPr>
        <w:t>S</w:t>
      </w:r>
      <w:r>
        <w:rPr>
          <w:rFonts w:ascii="Arial" w:cs="Arial" w:eastAsia="Arial" w:hAnsi="Arial"/>
          <w:sz w:val="16"/>
          <w:szCs w:val="16"/>
          <w:b w:val="1"/>
          <w:bCs w:val="1"/>
          <w:color w:val="auto"/>
        </w:rPr>
        <w:t>/ D</w:t>
      </w:r>
      <w:r>
        <w:rPr>
          <w:rFonts w:ascii="Arial" w:cs="Arial" w:eastAsia="Arial" w:hAnsi="Arial"/>
          <w:sz w:val="13"/>
          <w:szCs w:val="13"/>
          <w:b w:val="1"/>
          <w:bCs w:val="1"/>
          <w:color w:val="auto"/>
        </w:rPr>
        <w:t>AVID</w:t>
      </w:r>
      <w:r>
        <w:rPr>
          <w:rFonts w:ascii="Arial" w:cs="Arial" w:eastAsia="Arial" w:hAnsi="Arial"/>
          <w:sz w:val="16"/>
          <w:szCs w:val="16"/>
          <w:b w:val="1"/>
          <w:bCs w:val="1"/>
          <w:color w:val="auto"/>
        </w:rPr>
        <w:t xml:space="preserve"> A. H</w:t>
      </w:r>
      <w:r>
        <w:rPr>
          <w:rFonts w:ascii="Arial" w:cs="Arial" w:eastAsia="Arial" w:hAnsi="Arial"/>
          <w:sz w:val="13"/>
          <w:szCs w:val="13"/>
          <w:b w:val="1"/>
          <w:bCs w:val="1"/>
          <w:color w:val="auto"/>
        </w:rPr>
        <w:t>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14605</wp:posOffset>
            </wp:positionV>
            <wp:extent cx="35674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David A. Henry</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1."/>
      <w:numFmt w:val="decimal"/>
      <w:start w:val="10"/>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1."/>
      <w:numFmt w:val="decimal"/>
      <w:start w:val="13"/>
    </w:lvl>
  </w:abstractNum>
  <w:abstractNum w:abstractNumId="5">
    <w:nsid w:val="75C6C33A"/>
    <w:multiLevelType w:val="hybridMultilevel"/>
    <w:lvl w:ilvl="0">
      <w:lvlJc w:val="left"/>
      <w:lvlText w:val="%1."/>
      <w:numFmt w:val="decimal"/>
      <w:start w:val="14"/>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1)"/>
      <w:numFmt w:val="decimal"/>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1)"/>
      <w:numFmt w:val="lowerRoman"/>
      <w:start w:val="4"/>
    </w:lvl>
  </w:abstractNum>
  <w:abstractNum w:abstractNumId="13">
    <w:nsid w:val="275AC794"/>
    <w:multiLevelType w:val="hybridMultilevel"/>
    <w:lvl w:ilvl="0">
      <w:lvlJc w:val="left"/>
      <w:lvlText w:val="%1."/>
      <w:numFmt w:val="decimal"/>
      <w:start w:val="1"/>
    </w:lvl>
    <w:lvl w:ilvl="1">
      <w:lvlJc w:val="left"/>
      <w:lvlText w:val="(%2)"/>
      <w:numFmt w:val="lowerLetter"/>
      <w:start w:val="1"/>
    </w:lvl>
  </w:abstractNum>
  <w:abstractNum w:abstractNumId="14">
    <w:nsid w:val="39386575"/>
    <w:multiLevelType w:val="hybridMultilevel"/>
    <w:lvl w:ilvl="0">
      <w:lvlJc w:val="left"/>
      <w:lvlText w:val="(%1)"/>
      <w:numFmt w:val="lowerLetter"/>
      <w:start w:val="2"/>
    </w:lvl>
    <w:lvl w:ilvl="1">
      <w:lvlJc w:val="left"/>
      <w:lvlText w:val="(%2)"/>
      <w:numFmt w:val="lowerRoman"/>
      <w:start w:val="1"/>
    </w:lvl>
  </w:abstractNum>
  <w:abstractNum w:abstractNumId="15">
    <w:nsid w:val="1CF10FD8"/>
    <w:multiLevelType w:val="hybridMultilevel"/>
    <w:lvl w:ilvl="0">
      <w:lvlJc w:val="left"/>
      <w:lvlText w:val="%1"/>
      <w:numFmt w:val="decimal"/>
      <w:start w:val="1"/>
    </w:lvl>
    <w:lvl w:ilvl="1">
      <w:lvlJc w:val="left"/>
      <w:lvlText w:val="(%2)"/>
      <w:numFmt w:val="lowerRoman"/>
      <w:start w:val="2"/>
    </w:lvl>
  </w:abstractNum>
  <w:abstractNum w:abstractNumId="16">
    <w:nsid w:val="180115BE"/>
    <w:multiLevelType w:val="hybridMultilevel"/>
    <w:lvl w:ilvl="0">
      <w:lvlJc w:val="left"/>
      <w:lvlText w:val="(%1)"/>
      <w:numFmt w:val="decimal"/>
      <w:start w:val="3"/>
    </w:lvl>
    <w:lvl w:ilvl="1">
      <w:lvlJc w:val="left"/>
      <w:lvlText w:val="%2"/>
      <w:numFmt w:val="lowerRoman"/>
      <w:start w:val="1"/>
    </w:lvl>
  </w:abstractNum>
  <w:abstractNum w:abstractNumId="17">
    <w:nsid w:val="235BA861"/>
    <w:multiLevelType w:val="hybridMultilevel"/>
    <w:lvl w:ilvl="0">
      <w:lvlJc w:val="left"/>
      <w:lvlText w:val="(%1)"/>
      <w:numFmt w:val="decimal"/>
      <w:start w:val="3"/>
    </w:lvl>
    <w:lvl w:ilvl="1">
      <w:lvlJc w:val="left"/>
      <w:lvlText w:val="%2"/>
      <w:numFmt w:val="lowerRoman"/>
      <w:start w:val="1"/>
    </w:lvl>
  </w:abstractNum>
  <w:abstractNum w:abstractNumId="18">
    <w:nsid w:val="47398C89"/>
    <w:multiLevelType w:val="hybridMultilevel"/>
    <w:lvl w:ilvl="0">
      <w:lvlJc w:val="left"/>
      <w:lvlText w:val="(%1)"/>
      <w:numFmt w:val="lowerRoman"/>
      <w:start w:val="3"/>
    </w:lvl>
  </w:abstractNum>
  <w:abstractNum w:abstractNumId="19">
    <w:nsid w:val="354FE9F9"/>
    <w:multiLevelType w:val="hybridMultilevel"/>
    <w:lvl w:ilvl="0">
      <w:lvlJc w:val="left"/>
      <w:lvlText w:val="(%1)"/>
      <w:numFmt w:val="lowerLetter"/>
      <w:start w:val="4"/>
    </w:lvl>
    <w:lvl w:ilvl="1">
      <w:lvlJc w:val="left"/>
      <w:lvlText w:val="(%2)"/>
      <w:numFmt w:val="lowerRoman"/>
      <w:start w:val="1"/>
    </w:lvl>
  </w:abstractNum>
  <w:abstractNum w:abstractNumId="20">
    <w:nsid w:val="15B5AF5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1">
    <w:nsid w:val="741226BB"/>
    <w:multiLevelType w:val="hybridMultilevel"/>
    <w:lvl w:ilvl="0">
      <w:lvlJc w:val="left"/>
      <w:lvlText w:val="%1"/>
      <w:numFmt w:val="decimal"/>
      <w:start w:val="1"/>
    </w:lvl>
    <w:lvl w:ilvl="1">
      <w:lvlJc w:val="left"/>
      <w:lvlText w:val="(%2)"/>
      <w:numFmt w:val="lowerRoman"/>
      <w:start w:val="8"/>
    </w:lvl>
  </w:abstractNum>
  <w:abstractNum w:abstractNumId="22">
    <w:nsid w:val="D34B6A8"/>
    <w:multiLevelType w:val="hybridMultilevel"/>
    <w:lvl w:ilvl="0">
      <w:lvlJc w:val="left"/>
      <w:lvlText w:val="(%1)"/>
      <w:numFmt w:val="decimal"/>
      <w:start w:val="30"/>
    </w:lvl>
    <w:lvl w:ilvl="1">
      <w:lvlJc w:val="left"/>
      <w:lvlText w:val="(%2)"/>
      <w:numFmt w:val="lowerRoman"/>
      <w:start w:val="10"/>
    </w:lvl>
  </w:abstractNum>
  <w:abstractNum w:abstractNumId="23">
    <w:nsid w:val="10233C9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1"/>
    </w:lvl>
  </w:abstractNum>
  <w:abstractNum w:abstractNumId="24">
    <w:nsid w:val="3F6AB60F"/>
    <w:multiLevelType w:val="hybridMultilevel"/>
    <w:lvl w:ilvl="0">
      <w:lvlJc w:val="left"/>
      <w:lvlText w:val="%1"/>
      <w:numFmt w:val="lowerLetter"/>
      <w:start w:val="1"/>
    </w:lvl>
    <w:lvl w:ilvl="1">
      <w:lvlJc w:val="left"/>
      <w:lvlText w:val="(%2)"/>
      <w:numFmt w:val="lowerRoman"/>
      <w:start w:val="11"/>
    </w:lvl>
    <w:lvl w:ilvl="2">
      <w:lvlJc w:val="left"/>
      <w:lvlText w:val="(%3)"/>
      <w:numFmt w:val="lowerRoman"/>
      <w:start w:val="12"/>
    </w:lvl>
  </w:abstractNum>
  <w:abstractNum w:abstractNumId="25">
    <w:nsid w:val="61574095"/>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26">
    <w:nsid w:val="7E0C57B1"/>
    <w:multiLevelType w:val="hybridMultilevel"/>
    <w:lvl w:ilvl="0">
      <w:lvlJc w:val="left"/>
      <w:lvlText w:val="%1."/>
      <w:numFmt w:val="decimal"/>
      <w:start w:val="5"/>
    </w:lvl>
  </w:abstractNum>
  <w:abstractNum w:abstractNumId="27">
    <w:nsid w:val="77AE35EB"/>
    <w:multiLevelType w:val="hybridMultilevel"/>
    <w:lvl w:ilvl="0">
      <w:lvlJc w:val="left"/>
      <w:lvlText w:val="(%1)"/>
      <w:numFmt w:val="lowerLetter"/>
      <w:start w:val="1"/>
    </w:lvl>
  </w:abstractNum>
  <w:abstractNum w:abstractNumId="28">
    <w:nsid w:val="579BE4F1"/>
    <w:multiLevelType w:val="hybridMultilevel"/>
    <w:lvl w:ilvl="0">
      <w:lvlJc w:val="left"/>
      <w:lvlText w:val="(%1)"/>
      <w:numFmt w:val="lowerLetter"/>
      <w:start w:val="2"/>
    </w:lvl>
  </w:abstractNum>
  <w:abstractNum w:abstractNumId="29">
    <w:nsid w:val="310C50B3"/>
    <w:multiLevelType w:val="hybridMultilevel"/>
    <w:lvl w:ilvl="0">
      <w:lvlJc w:val="left"/>
      <w:lvlText w:val="(%1)"/>
      <w:numFmt w:val="upperLetter"/>
      <w:start w:val="9"/>
    </w:lvl>
  </w:abstractNum>
  <w:abstractNum w:abstractNumId="30">
    <w:nsid w:val="5FF87E05"/>
    <w:multiLevelType w:val="hybridMultilevel"/>
    <w:lvl w:ilvl="0">
      <w:lvlJc w:val="left"/>
      <w:lvlText w:val="(%1)"/>
      <w:numFmt w:val="upperLetter"/>
      <w:start w:val="35"/>
    </w:lvl>
  </w:abstractNum>
  <w:abstractNum w:abstractNumId="31">
    <w:nsid w:val="2F305DEF"/>
    <w:multiLevelType w:val="hybridMultilevel"/>
    <w:lvl w:ilvl="0">
      <w:lvlJc w:val="left"/>
      <w:lvlText w:val="%1."/>
      <w:numFmt w:val="decimal"/>
      <w:start w:val="6"/>
    </w:lvl>
    <w:lvl w:ilvl="1">
      <w:lvlJc w:val="left"/>
      <w:lvlText w:val="(%2)"/>
      <w:numFmt w:val="lowerLetter"/>
      <w:start w:val="1"/>
    </w:lvl>
  </w:abstractNum>
  <w:abstractNum w:abstractNumId="32">
    <w:nsid w:val="25A70BF7"/>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3">
    <w:nsid w:val="1DBABF00"/>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34">
    <w:nsid w:val="4AD084E9"/>
    <w:multiLevelType w:val="hybridMultilevel"/>
    <w:lvl w:ilvl="0">
      <w:lvlJc w:val="left"/>
      <w:lvlText w:val="(%1)"/>
      <w:numFmt w:val="lowerRoman"/>
      <w:start w:val="2"/>
    </w:lvl>
  </w:abstractNum>
  <w:abstractNum w:abstractNumId="35">
    <w:nsid w:val="1F48EAA1"/>
    <w:multiLevelType w:val="hybridMultilevel"/>
    <w:lvl w:ilvl="0">
      <w:lvlJc w:val="left"/>
      <w:lvlText w:val="%1"/>
      <w:numFmt w:val="lowerRoman"/>
      <w:start w:val="1"/>
    </w:lvl>
    <w:lvl w:ilvl="1">
      <w:lvlJc w:val="left"/>
      <w:lvlText w:val="(%2)"/>
      <w:numFmt w:val="lowerRoman"/>
      <w:start w:val="3"/>
    </w:lvl>
  </w:abstractNum>
  <w:abstractNum w:abstractNumId="36">
    <w:nsid w:val="1381823A"/>
    <w:multiLevelType w:val="hybridMultilevel"/>
    <w:lvl w:ilvl="0">
      <w:lvlJc w:val="left"/>
      <w:lvlText w:val="(%1)"/>
      <w:numFmt w:val="lowerRoman"/>
      <w:start w:val="1"/>
    </w:lvl>
    <w:lvl w:ilvl="1">
      <w:lvlJc w:val="left"/>
      <w:lvlText w:val="(%2)"/>
      <w:numFmt w:val="lowerRoman"/>
      <w:start w:val="4"/>
    </w:lvl>
  </w:abstractNum>
  <w:abstractNum w:abstractNumId="37">
    <w:nsid w:val="5DB70AE5"/>
    <w:multiLevelType w:val="hybridMultilevel"/>
    <w:lvl w:ilvl="0">
      <w:lvlJc w:val="left"/>
      <w:lvlText w:val="%1"/>
      <w:numFmt w:val="lowerLetter"/>
      <w:start w:val="1"/>
    </w:lvl>
    <w:lvl w:ilvl="1">
      <w:lvlJc w:val="left"/>
      <w:lvlText w:val="(%2)"/>
      <w:numFmt w:val="lowerLetter"/>
      <w:start w:val="22"/>
    </w:lvl>
  </w:abstractNum>
  <w:abstractNum w:abstractNumId="38">
    <w:nsid w:val="100F8FCA"/>
    <w:multiLevelType w:val="hybridMultilevel"/>
    <w:lvl w:ilvl="0">
      <w:lvlJc w:val="left"/>
      <w:lvlText w:val="(%1)"/>
      <w:numFmt w:val="lowerLetter"/>
      <w:start w:val="2"/>
    </w:lvl>
    <w:lvl w:ilvl="1">
      <w:lvlJc w:val="left"/>
      <w:lvlText w:val="%2"/>
      <w:numFmt w:val="lowerLetter"/>
      <w:start w:val="1"/>
    </w:lvl>
  </w:abstractNum>
  <w:abstractNum w:abstractNumId="39">
    <w:nsid w:val="6590700B"/>
    <w:multiLevelType w:val="hybridMultilevel"/>
    <w:lvl w:ilvl="0">
      <w:lvlJc w:val="left"/>
      <w:lvlText w:val="(%1)"/>
      <w:numFmt w:val="lowerLetter"/>
      <w:start w:val="3"/>
    </w:lvl>
  </w:abstractNum>
  <w:abstractNum w:abstractNumId="40">
    <w:nsid w:val="15014ACB"/>
    <w:multiLevelType w:val="hybridMultilevel"/>
    <w:lvl w:ilvl="0">
      <w:lvlJc w:val="left"/>
      <w:lvlText w:val="(%1)"/>
      <w:numFmt w:val="lowerLetter"/>
      <w:start w:val="4"/>
    </w:lvl>
  </w:abstractNum>
  <w:abstractNum w:abstractNumId="41">
    <w:nsid w:val="5F5E7FD0"/>
    <w:multiLevelType w:val="hybridMultilevel"/>
    <w:lvl w:ilvl="0">
      <w:lvlJc w:val="left"/>
      <w:lvlText w:val="%1."/>
      <w:numFmt w:val="decimal"/>
      <w:start w:val="8"/>
    </w:lvl>
    <w:lvl w:ilvl="1">
      <w:lvlJc w:val="left"/>
      <w:lvlText w:val="(%2)"/>
      <w:numFmt w:val="lowerLetter"/>
      <w:start w:val="1"/>
    </w:lvl>
  </w:abstractNum>
  <w:abstractNum w:abstractNumId="42">
    <w:nsid w:val="98A3148"/>
    <w:multiLevelType w:val="hybridMultilevel"/>
    <w:lvl w:ilvl="0">
      <w:lvlJc w:val="left"/>
      <w:lvlText w:val="(%1)"/>
      <w:numFmt w:val="lowerLetter"/>
      <w:start w:val="2"/>
    </w:lvl>
  </w:abstractNum>
  <w:abstractNum w:abstractNumId="43">
    <w:nsid w:val="799D0247"/>
    <w:multiLevelType w:val="hybridMultilevel"/>
    <w:lvl w:ilvl="0">
      <w:lvlJc w:val="left"/>
      <w:lvlText w:val="(%1)"/>
      <w:numFmt w:val="lowerLetter"/>
      <w:start w:val="3"/>
    </w:lvl>
  </w:abstractNum>
  <w:abstractNum w:abstractNumId="44">
    <w:nsid w:val="6B94764"/>
    <w:multiLevelType w:val="hybridMultilevel"/>
    <w:lvl w:ilvl="0">
      <w:lvlJc w:val="left"/>
      <w:lvlText w:val="(%1)"/>
      <w:numFmt w:val="lowerLetter"/>
      <w:start w:val="4"/>
    </w:lvl>
  </w:abstractNum>
  <w:abstractNum w:abstractNumId="45">
    <w:nsid w:val="42C296BD"/>
    <w:multiLevelType w:val="hybridMultilevel"/>
    <w:lvl w:ilvl="0">
      <w:lvlJc w:val="left"/>
      <w:lvlText w:val="(%1)"/>
      <w:numFmt w:val="lowerLetter"/>
      <w:start w:val="6"/>
    </w:lvl>
  </w:abstractNum>
  <w:abstractNum w:abstractNumId="46">
    <w:nsid w:val="168E121F"/>
    <w:multiLevelType w:val="hybridMultilevel"/>
    <w:lvl w:ilvl="0">
      <w:lvlJc w:val="left"/>
      <w:lvlText w:val="%1"/>
      <w:numFmt w:val="decimal"/>
      <w:start w:val="1"/>
    </w:lvl>
    <w:lvl w:ilvl="1">
      <w:lvlJc w:val="left"/>
      <w:lvlText w:val="(%2)"/>
      <w:numFmt w:val="lowerLetter"/>
      <w:start w:val="7"/>
    </w:lvl>
  </w:abstractNum>
  <w:abstractNum w:abstractNumId="47">
    <w:nsid w:val="1EBA5D23"/>
    <w:multiLevelType w:val="hybridMultilevel"/>
    <w:lvl w:ilvl="0">
      <w:lvlJc w:val="left"/>
      <w:lvlText w:val="%1."/>
      <w:numFmt w:val="decimal"/>
      <w:start w:val="9"/>
    </w:lvl>
    <w:lvl w:ilvl="1">
      <w:lvlJc w:val="left"/>
      <w:lvlText w:val="%2"/>
      <w:numFmt w:val="lowerLetter"/>
      <w:start w:val="1"/>
    </w:lvl>
  </w:abstractNum>
  <w:abstractNum w:abstractNumId="48">
    <w:nsid w:val="661E3F1E"/>
    <w:multiLevelType w:val="hybridMultilevel"/>
    <w:lvl w:ilvl="0">
      <w:lvlJc w:val="left"/>
      <w:lvlText w:val="%1."/>
      <w:numFmt w:val="decimal"/>
      <w:start w:val="10"/>
    </w:lvl>
    <w:lvl w:ilvl="1">
      <w:lvlJc w:val="left"/>
      <w:lvlText w:val="(%2)"/>
      <w:numFmt w:val="lowerLetter"/>
      <w:start w:val="1"/>
    </w:lvl>
  </w:abstractNum>
  <w:abstractNum w:abstractNumId="49">
    <w:nsid w:val="5DC79EA8"/>
    <w:multiLevelType w:val="hybridMultilevel"/>
    <w:lvl w:ilvl="0">
      <w:lvlJc w:val="left"/>
      <w:lvlText w:val="%1"/>
      <w:numFmt w:val="decimal"/>
      <w:start w:val="1"/>
    </w:lvl>
    <w:lvl w:ilvl="1">
      <w:lvlJc w:val="left"/>
      <w:lvlText w:val="(%2)"/>
      <w:numFmt w:val="lowerLetter"/>
      <w:start w:val="2"/>
    </w:lvl>
  </w:abstractNum>
  <w:abstractNum w:abstractNumId="50">
    <w:nsid w:val="540A471C"/>
    <w:multiLevelType w:val="hybridMultilevel"/>
    <w:lvl w:ilvl="0">
      <w:lvlJc w:val="left"/>
      <w:lvlText w:val="%1."/>
      <w:numFmt w:val="decimal"/>
      <w:start w:val="11"/>
    </w:lvl>
    <w:lvl w:ilvl="1">
      <w:lvlJc w:val="left"/>
      <w:lvlText w:val="(%2)"/>
      <w:numFmt w:val="lowerLetter"/>
      <w:start w:val="1"/>
    </w:lvl>
  </w:abstractNum>
  <w:abstractNum w:abstractNumId="51">
    <w:nsid w:val="7BD3EE7B"/>
    <w:multiLevelType w:val="hybridMultilevel"/>
    <w:lvl w:ilvl="0">
      <w:lvlJc w:val="left"/>
      <w:lvlText w:val="%1"/>
      <w:numFmt w:val="decimal"/>
      <w:start w:val="1"/>
    </w:lvl>
    <w:lvl w:ilvl="1">
      <w:lvlJc w:val="left"/>
      <w:lvlText w:val="(%2)"/>
      <w:numFmt w:val="lowerLetter"/>
      <w:start w:val="2"/>
    </w:lvl>
  </w:abstractNum>
  <w:abstractNum w:abstractNumId="52">
    <w:nsid w:val="51D9C564"/>
    <w:multiLevelType w:val="hybridMultilevel"/>
    <w:lvl w:ilvl="0">
      <w:lvlJc w:val="left"/>
      <w:lvlText w:val="(%1)"/>
      <w:numFmt w:val="decimal"/>
      <w:start w:val="7"/>
    </w:lvl>
    <w:lvl w:ilvl="1">
      <w:lvlJc w:val="left"/>
      <w:lvlText w:val="%2"/>
      <w:numFmt w:val="lowerLetter"/>
      <w:start w:val="1"/>
    </w:lvl>
  </w:abstractNum>
  <w:abstractNum w:abstractNumId="53">
    <w:nsid w:val="613EFDC5"/>
    <w:multiLevelType w:val="hybridMultilevel"/>
    <w:lvl w:ilvl="0">
      <w:lvlJc w:val="left"/>
      <w:lvlText w:val="%1."/>
      <w:numFmt w:val="decimal"/>
      <w:start w:val="12"/>
    </w:lvl>
    <w:lvl w:ilvl="1">
      <w:lvlJc w:val="left"/>
      <w:lvlText w:val="(%2)"/>
      <w:numFmt w:val="lowerLetter"/>
      <w:start w:val="1"/>
    </w:lvl>
  </w:abstractNum>
  <w:abstractNum w:abstractNumId="54">
    <w:nsid w:val="BF72B14"/>
    <w:multiLevelType w:val="hybridMultilevel"/>
    <w:lvl w:ilvl="0">
      <w:lvlJc w:val="left"/>
      <w:lvlText w:val="(%1)"/>
      <w:numFmt w:val="lowerLetter"/>
      <w:start w:val="4"/>
    </w:lvl>
  </w:abstractNum>
  <w:abstractNum w:abstractNumId="55">
    <w:nsid w:val="11447B7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0"/>
    </w:lvl>
  </w:abstractNum>
  <w:abstractNum w:abstractNumId="56">
    <w:nsid w:val="42963E5A"/>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abstractNum>
  <w:abstractNum w:abstractNumId="57">
    <w:nsid w:val="A0382C5"/>
    <w:multiLevelType w:val="hybridMultilevel"/>
    <w:lvl w:ilvl="0">
      <w:lvlJc w:val="left"/>
      <w:lvlText w:val="(%1)"/>
      <w:numFmt w:val="decimal"/>
      <w:start w:val="90"/>
    </w:lvl>
    <w:lvl w:ilvl="1">
      <w:lvlJc w:val="left"/>
      <w:lvlText w:val="%2"/>
      <w:numFmt w:val="decimal"/>
      <w:start w:val="1"/>
    </w:lvl>
    <w:lvl w:ilvl="2">
      <w:lvlJc w:val="left"/>
      <w:lvlText w:val="%3"/>
      <w:numFmt w:val="lowerLetter"/>
      <w:start w:val="1"/>
    </w:lvl>
  </w:abstractNum>
  <w:abstractNum w:abstractNumId="58">
    <w:nsid w:val="8F2B15E"/>
    <w:multiLevelType w:val="hybridMultilevel"/>
    <w:lvl w:ilvl="0">
      <w:lvlJc w:val="left"/>
      <w:lvlText w:val="%1"/>
      <w:numFmt w:val="lowerRoman"/>
      <w:start w:val="1"/>
    </w:lvl>
    <w:lvl w:ilvl="1">
      <w:lvlJc w:val="left"/>
      <w:lvlText w:val="%2."/>
      <w:numFmt w:val="decimal"/>
      <w:start w:val="15"/>
    </w:lvl>
  </w:abstractNum>
  <w:abstractNum w:abstractNumId="59">
    <w:nsid w:val="1A32234B"/>
    <w:multiLevelType w:val="hybridMultilevel"/>
    <w:lvl w:ilvl="0">
      <w:lvlJc w:val="left"/>
      <w:lvlText w:val="(%1)"/>
      <w:numFmt w:val="lowerRoman"/>
      <w:start w:val="1"/>
    </w:lvl>
    <w:lvl w:ilvl="1">
      <w:lvlJc w:val="left"/>
      <w:lvlText w:val="%2."/>
      <w:numFmt w:val="decimal"/>
      <w:start w:val="16"/>
    </w:lvl>
  </w:abstractNum>
  <w:abstractNum w:abstractNumId="60">
    <w:nsid w:val="3B0FD379"/>
    <w:multiLevelType w:val="hybridMultilevel"/>
    <w:lvl w:ilvl="0">
      <w:lvlJc w:val="left"/>
      <w:lvlText w:val="%1."/>
      <w:numFmt w:val="decimal"/>
      <w:start w:val="17"/>
    </w:lvl>
    <w:lvl w:ilvl="1">
      <w:lvlJc w:val="left"/>
      <w:lvlText w:val="(%2)"/>
      <w:numFmt w:val="lowerLetter"/>
      <w:start w:val="1"/>
    </w:lvl>
  </w:abstractNum>
  <w:abstractNum w:abstractNumId="61">
    <w:nsid w:val="68EB2F63"/>
    <w:multiLevelType w:val="hybridMultilevel"/>
    <w:lvl w:ilvl="0">
      <w:lvlJc w:val="left"/>
      <w:lvlText w:val="%1."/>
      <w:numFmt w:val="decimal"/>
      <w:start w:val="18"/>
    </w:lvl>
    <w:lvl w:ilvl="1">
      <w:lvlJc w:val="left"/>
      <w:lvlText w:val="(%2)"/>
      <w:numFmt w:val="lowerLetter"/>
      <w:start w:val="1"/>
    </w:lvl>
  </w:abstractNum>
  <w:abstractNum w:abstractNumId="62">
    <w:nsid w:val="4962813B"/>
    <w:multiLevelType w:val="hybridMultilevel"/>
    <w:lvl w:ilvl="0">
      <w:lvlJc w:val="left"/>
      <w:lvlText w:val="%1"/>
      <w:numFmt w:val="lowerRoman"/>
      <w:start w:val="1"/>
    </w:lvl>
    <w:lvl w:ilvl="1">
      <w:lvlJc w:val="left"/>
      <w:lvlText w:val="(%2)"/>
      <w:numFmt w:val="lowerLetter"/>
      <w:start w:val="3"/>
    </w:lvl>
  </w:abstractNum>
  <w:abstractNum w:abstractNumId="63">
    <w:nsid w:val="60B6DF70"/>
    <w:multiLevelType w:val="hybridMultilevel"/>
    <w:lvl w:ilvl="0">
      <w:lvlJc w:val="left"/>
      <w:lvlText w:val="(%1)"/>
      <w:numFmt w:val="lowerRoman"/>
      <w:start w:val="4"/>
    </w:lvl>
    <w:lvl w:ilvl="1">
      <w:lvlJc w:val="left"/>
      <w:lvlText w:val="%2"/>
      <w:numFmt w:val="lowerLetter"/>
      <w:start w:val="1"/>
    </w:lvl>
  </w:abstractNum>
  <w:abstractNum w:abstractNumId="64">
    <w:nsid w:val="6A5EE64"/>
    <w:multiLevelType w:val="hybridMultilevel"/>
    <w:lvl w:ilvl="0">
      <w:lvlJc w:val="left"/>
      <w:lvlText w:val="%1."/>
      <w:numFmt w:val="decimal"/>
      <w:start w:val="20"/>
    </w:lvl>
  </w:abstractNum>
  <w:abstractNum w:abstractNumId="65">
    <w:nsid w:val="14330624"/>
    <w:multiLevelType w:val="hybridMultilevel"/>
    <w:lvl w:ilvl="0">
      <w:lvlJc w:val="left"/>
      <w:lvlText w:val="%1."/>
      <w:numFmt w:val="decimal"/>
      <w:start w:val="22"/>
    </w:lvl>
  </w:abstractNum>
  <w:abstractNum w:abstractNumId="66">
    <w:nsid w:val="7FFFCA11"/>
    <w:multiLevelType w:val="hybridMultilevel"/>
    <w:lvl w:ilvl="0">
      <w:lvlJc w:val="left"/>
      <w:lvlText w:val="%1."/>
      <w:numFmt w:val="decimal"/>
      <w:start w:val="25"/>
    </w:lvl>
    <w:lvl w:ilvl="1">
      <w:lvlJc w:val="left"/>
      <w:lvlText w:val="(%2)"/>
      <w:numFmt w:val="lowerLetter"/>
      <w:start w:val="1"/>
    </w:lvl>
  </w:abstractNum>
  <w:abstractNum w:abstractNumId="67">
    <w:nsid w:val="1A27709E"/>
    <w:multiLevelType w:val="hybridMultilevel"/>
    <w:lvl w:ilvl="0">
      <w:lvlJc w:val="left"/>
      <w:lvlText w:val="%1."/>
      <w:numFmt w:val="decimal"/>
      <w:start w:val="26"/>
    </w:lvl>
  </w:abstractNum>
  <w:abstractNum w:abstractNumId="68">
    <w:nsid w:val="71EA1109"/>
    <w:multiLevelType w:val="hybridMultilevel"/>
    <w:lvl w:ilvl="0">
      <w:lvlJc w:val="left"/>
      <w:lvlText w:val="%1."/>
      <w:numFmt w:val="decimal"/>
      <w:start w:val="30"/>
    </w:lvl>
  </w:abstractNum>
  <w:abstractNum w:abstractNumId="69">
    <w:nsid w:val="100F59DC"/>
    <w:multiLevelType w:val="hybridMultilevel"/>
    <w:lvl w:ilvl="0">
      <w:lvlJc w:val="left"/>
      <w:lvlText w:val="%1"/>
      <w:numFmt w:val="decimal"/>
      <w:start w:val="1"/>
    </w:lvl>
    <w:lvl w:ilvl="1">
      <w:lvlJc w:val="left"/>
      <w:lvlText w:val="(%2)"/>
      <w:numFmt w:val="lowerLetter"/>
      <w:start w:val="1"/>
    </w:lvl>
  </w:abstractNum>
  <w:abstractNum w:abstractNumId="70">
    <w:nsid w:val="7FB7E0AA"/>
    <w:multiLevelType w:val="hybridMultilevel"/>
    <w:lvl w:ilvl="0">
      <w:lvlJc w:val="left"/>
      <w:lvlText w:val="%1."/>
      <w:numFmt w:val="decimal"/>
      <w:start w:val="31"/>
    </w:lvl>
    <w:lvl w:ilvl="1">
      <w:lvlJc w:val="left"/>
      <w:lvlText w:val="(%2)"/>
      <w:numFmt w:val="lowerLetter"/>
      <w:start w:val="1"/>
    </w:lvl>
  </w:abstractNum>
  <w:abstractNum w:abstractNumId="71">
    <w:nsid w:val="6EB5BD4"/>
    <w:multiLevelType w:val="hybridMultilevel"/>
    <w:lvl w:ilvl="0">
      <w:lvlJc w:val="left"/>
      <w:lvlText w:val="%1"/>
      <w:numFmt w:val="lowerRoman"/>
      <w:start w:val="1"/>
    </w:lvl>
    <w:lvl w:ilvl="1">
      <w:lvlJc w:val="left"/>
      <w:lvlText w:val="(%2)"/>
      <w:numFmt w:val="lowerLetter"/>
      <w:start w:val="4"/>
    </w:lvl>
  </w:abstractNum>
  <w:abstractNum w:abstractNumId="72">
    <w:nsid w:val="6F6DD9AC"/>
    <w:multiLevelType w:val="hybridMultilevel"/>
    <w:lvl w:ilvl="0">
      <w:lvlJc w:val="left"/>
      <w:lvlText w:val="(%1)"/>
      <w:numFmt w:val="lowerRoman"/>
      <w:start w:val="4"/>
    </w:lvl>
    <w:lvl w:ilvl="1">
      <w:lvlJc w:val="left"/>
      <w:lvlText w:val="(%2)"/>
      <w:numFmt w:val="lowerLetter"/>
      <w:start w:val="6"/>
    </w:lvl>
  </w:abstractNum>
  <w:abstractNum w:abstractNumId="73">
    <w:nsid w:val="94211F2"/>
    <w:multiLevelType w:val="hybridMultilevel"/>
    <w:lvl w:ilvl="0">
      <w:lvlJc w:val="left"/>
      <w:lvlText w:val="%1"/>
      <w:numFmt w:val="lowerLetter"/>
      <w:start w:val="1"/>
    </w:lvl>
    <w:lvl w:ilvl="1">
      <w:lvlJc w:val="left"/>
      <w:lvlText w:val="(%2)"/>
      <w:numFmt w:val="lowerLetter"/>
      <w:start w:val="9"/>
    </w:lvl>
  </w:abstractNum>
  <w:abstractNum w:abstractNumId="74">
    <w:nsid w:val="885E1B"/>
    <w:multiLevelType w:val="hybridMultilevel"/>
    <w:lvl w:ilvl="0">
      <w:lvlJc w:val="left"/>
      <w:lvlText w:val="(%1)"/>
      <w:numFmt w:val="lowerLetter"/>
      <w:start w:val="35"/>
    </w:lvl>
    <w:lvl w:ilvl="1">
      <w:lvlJc w:val="left"/>
      <w:lvlText w:val="%2"/>
      <w:numFmt w:val="lowerLetter"/>
      <w:start w:val="1"/>
    </w:lvl>
  </w:abstractNum>
  <w:abstractNum w:abstractNumId="75">
    <w:nsid w:val="76272110"/>
    <w:multiLevelType w:val="hybridMultilevel"/>
    <w:lvl w:ilvl="0">
      <w:lvlJc w:val="left"/>
      <w:lvlText w:val="(%1)"/>
      <w:numFmt w:val="lowerLetter"/>
      <w:start w:val="14"/>
    </w:lvl>
  </w:abstractNum>
  <w:abstractNum w:abstractNumId="76">
    <w:nsid w:val="4C04A8AF"/>
    <w:multiLevelType w:val="hybridMultilevel"/>
    <w:lvl w:ilvl="0">
      <w:lvlJc w:val="left"/>
      <w:lvlText w:val="(%1)"/>
      <w:numFmt w:val="lowerLetter"/>
      <w:start w:val="22"/>
    </w:lvl>
    <w:lvl w:ilvl="1">
      <w:lvlJc w:val="left"/>
      <w:lvlText w:val="(%2)"/>
      <w:numFmt w:val="lowerLetter"/>
      <w:start w:val="19"/>
    </w:lvl>
  </w:abstractNum>
  <w:abstractNum w:abstractNumId="77">
    <w:nsid w:val="1716703B"/>
    <w:multiLevelType w:val="hybridMultilevel"/>
    <w:lvl w:ilvl="0">
      <w:lvlJc w:val="left"/>
      <w:lvlText w:val="(%1)"/>
      <w:numFmt w:val="lowerLetter"/>
      <w:start w:val="9"/>
    </w:lvl>
    <w:lvl w:ilvl="1">
      <w:lvlJc w:val="left"/>
      <w:lvlText w:val="%2"/>
      <w:numFmt w:val="lowerLetter"/>
      <w:start w:val="1"/>
    </w:lvl>
  </w:abstractNum>
  <w:abstractNum w:abstractNumId="78">
    <w:nsid w:val="14E17E33"/>
    <w:multiLevelType w:val="hybridMultilevel"/>
    <w:lvl w:ilvl="0">
      <w:lvlJc w:val="left"/>
      <w:lvlText w:val="(%1)"/>
      <w:numFmt w:val="lowerLetter"/>
      <w:start w:val="24"/>
    </w:lvl>
    <w:lvl w:ilvl="1">
      <w:lvlJc w:val="left"/>
      <w:lvlText w:val="(%2)"/>
      <w:numFmt w:val="lowerLetter"/>
      <w:start w:val="21"/>
    </w:lvl>
  </w:abstractNum>
  <w:abstractNum w:abstractNumId="79">
    <w:nsid w:val="3222E7CD"/>
    <w:multiLevelType w:val="hybridMultilevel"/>
    <w:lvl w:ilvl="0">
      <w:lvlJc w:val="left"/>
      <w:lvlText w:val="(%1)"/>
      <w:numFmt w:val="lowerLetter"/>
      <w:start w:val="22"/>
    </w:lvl>
  </w:abstractNum>
  <w:abstractNum w:abstractNumId="80">
    <w:nsid w:val="74DE0EE3"/>
    <w:multiLevelType w:val="hybridMultilevel"/>
    <w:lvl w:ilvl="0">
      <w:lvlJc w:val="left"/>
      <w:lvlText w:val="(%1)"/>
      <w:numFmt w:val="lowerLetter"/>
      <w:start w:val="27"/>
    </w:lvl>
  </w:abstractNum>
  <w:abstractNum w:abstractNumId="81">
    <w:nsid w:val="68EBC550"/>
    <w:multiLevelType w:val="hybridMultilevel"/>
    <w:lvl w:ilvl="0">
      <w:lvlJc w:val="left"/>
      <w:lvlText w:val="%1"/>
      <w:numFmt w:val="lowerLetter"/>
      <w:start w:val="1"/>
    </w:lvl>
    <w:lvl w:ilvl="1">
      <w:lvlJc w:val="left"/>
      <w:lvlText w:val="(%2)"/>
      <w:numFmt w:val="lowerLetter"/>
      <w:start w:val="29"/>
    </w:lvl>
  </w:abstractNum>
  <w:abstractNum w:abstractNumId="82">
    <w:nsid w:val="2DF6D648"/>
    <w:multiLevelType w:val="hybridMultilevel"/>
    <w:lvl w:ilvl="0">
      <w:lvlJc w:val="left"/>
      <w:lvlText w:val="(%1)"/>
      <w:numFmt w:val="lowerLetter"/>
      <w:start w:val="9"/>
    </w:lvl>
    <w:lvl w:ilvl="1">
      <w:lvlJc w:val="left"/>
      <w:lvlText w:val="(%2)"/>
      <w:numFmt w:val="lowerLetter"/>
      <w:start w:val="34"/>
    </w:lvl>
  </w:abstractNum>
  <w:abstractNum w:abstractNumId="83">
    <w:nsid w:val="46B7D447"/>
    <w:multiLevelType w:val="hybridMultilevel"/>
    <w:lvl w:ilvl="0">
      <w:lvlJc w:val="left"/>
      <w:lvlText w:val="(%1)"/>
      <w:numFmt w:val="lowerRoman"/>
      <w:start w:val="6"/>
    </w:lvl>
    <w:lvl w:ilvl="1">
      <w:lvlJc w:val="left"/>
      <w:lvlText w:val="%2"/>
      <w:numFmt w:val="lowerLetter"/>
      <w:start w:val="1"/>
    </w:lvl>
  </w:abstractNum>
  <w:abstractNum w:abstractNumId="84">
    <w:nsid w:val="4A2AC315"/>
    <w:multiLevelType w:val="hybridMultilevel"/>
    <w:lvl w:ilvl="0">
      <w:lvlJc w:val="left"/>
      <w:lvlText w:val="(%1)"/>
      <w:numFmt w:val="lowerRoman"/>
      <w:start w:val="12"/>
    </w:lvl>
    <w:lvl w:ilvl="1">
      <w:lvlJc w:val="left"/>
      <w:lvlText w:val="(%2)"/>
      <w:numFmt w:val="lowerLetter"/>
      <w:start w:val="37"/>
    </w:lvl>
  </w:abstractNum>
  <w:abstractNum w:abstractNumId="85">
    <w:nsid w:val="39EE015C"/>
    <w:multiLevelType w:val="hybridMultilevel"/>
    <w:lvl w:ilvl="0">
      <w:lvlJc w:val="left"/>
      <w:lvlText w:val="%1"/>
      <w:numFmt w:val="lowerRoman"/>
      <w:start w:val="1"/>
    </w:lvl>
    <w:lvl w:ilvl="1">
      <w:lvlJc w:val="left"/>
      <w:lvlText w:val="(%2)"/>
      <w:numFmt w:val="lowerLetter"/>
      <w:start w:val="38"/>
    </w:lvl>
  </w:abstractNum>
  <w:abstractNum w:abstractNumId="86">
    <w:nsid w:val="57FC4FBB"/>
    <w:multiLevelType w:val="hybridMultilevel"/>
    <w:lvl w:ilvl="0">
      <w:lvlJc w:val="left"/>
      <w:lvlText w:val="(%1)"/>
      <w:numFmt w:val="lowerRoman"/>
      <w:start w:val="8"/>
    </w:lvl>
    <w:lvl w:ilvl="1">
      <w:lvlJc w:val="left"/>
      <w:lvlText w:val="%2"/>
      <w:numFmt w:val="lowerLetter"/>
      <w:start w:val="1"/>
    </w:lvl>
  </w:abstractNum>
  <w:abstractNum w:abstractNumId="87">
    <w:nsid w:val="CC1016F"/>
    <w:multiLevelType w:val="hybridMultilevel"/>
    <w:lvl w:ilvl="0">
      <w:lvlJc w:val="left"/>
      <w:lvlText w:val="(%1)"/>
      <w:numFmt w:val="lowerRoman"/>
      <w:start w:val="6"/>
    </w:lvl>
    <w:lvl w:ilvl="1">
      <w:lvlJc w:val="left"/>
      <w:lvlText w:val="%2"/>
      <w:numFmt w:val="lowerLetter"/>
      <w:start w:val="1"/>
    </w:lvl>
  </w:abstractNum>
  <w:abstractNum w:abstractNumId="88">
    <w:nsid w:val="43F18422"/>
    <w:multiLevelType w:val="hybridMultilevel"/>
    <w:lvl w:ilvl="0">
      <w:lvlJc w:val="left"/>
      <w:lvlText w:val="(%1)"/>
      <w:numFmt w:val="lowerLetter"/>
      <w:start w:val="2"/>
    </w:lvl>
    <w:lvl w:ilvl="1">
      <w:lvlJc w:val="left"/>
      <w:lvlText w:val="(%2)"/>
      <w:numFmt w:val="lowerLetter"/>
      <w:start w:val="39"/>
    </w:lvl>
  </w:abstractNum>
  <w:abstractNum w:abstractNumId="89">
    <w:nsid w:val="60EF0119"/>
    <w:multiLevelType w:val="hybridMultilevel"/>
    <w:lvl w:ilvl="0">
      <w:lvlJc w:val="left"/>
      <w:lvlText w:val="(%1)"/>
      <w:numFmt w:val="lowerLetter"/>
      <w:start w:val="42"/>
    </w:lvl>
  </w:abstractNum>
  <w:abstractNum w:abstractNumId="90">
    <w:nsid w:val="26F324BA"/>
    <w:multiLevelType w:val="hybridMultilevel"/>
    <w:lvl w:ilvl="0">
      <w:lvlJc w:val="left"/>
      <w:lvlText w:val="%1"/>
      <w:numFmt w:val="decimal"/>
      <w:start w:val="1"/>
    </w:lvl>
    <w:lvl w:ilvl="1">
      <w:lvlJc w:val="left"/>
      <w:lvlText w:val="(%2)"/>
      <w:numFmt w:val="lowerLetter"/>
      <w:start w:val="52"/>
    </w:lvl>
  </w:abstractNum>
  <w:abstractNum w:abstractNumId="91">
    <w:nsid w:val="7F01579B"/>
    <w:multiLevelType w:val="hybridMultilevel"/>
    <w:lvl w:ilvl="0">
      <w:lvlJc w:val="left"/>
      <w:lvlText w:val="(%1)"/>
      <w:numFmt w:val="decimal"/>
      <w:start w:val="2"/>
    </w:lvl>
    <w:lvl w:ilvl="1">
      <w:lvlJc w:val="left"/>
      <w:lvlText w:val="(%2)"/>
      <w:numFmt w:val="lowerLetter"/>
      <w:start w:val="53"/>
    </w:lvl>
  </w:abstractNum>
  <w:abstractNum w:abstractNumId="92">
    <w:nsid w:val="49DA307D"/>
    <w:multiLevelType w:val="hybridMultilevel"/>
    <w:lvl w:ilvl="0">
      <w:lvlJc w:val="left"/>
      <w:lvlText w:val="%1"/>
      <w:numFmt w:val="decimal"/>
      <w:start w:val="1"/>
    </w:lvl>
    <w:lvl w:ilvl="1">
      <w:lvlJc w:val="left"/>
      <w:lvlText w:val="(%2)"/>
      <w:numFmt w:val="lowerLetter"/>
      <w:start w:val="57"/>
    </w:lvl>
  </w:abstractNum>
  <w:abstractNum w:abstractNumId="93">
    <w:nsid w:val="7055A5F5"/>
    <w:multiLevelType w:val="hybridMultilevel"/>
    <w:lvl w:ilvl="0">
      <w:lvlJc w:val="left"/>
      <w:lvlText w:val="%1."/>
      <w:numFmt w:val="decimal"/>
      <w:start w:val="32"/>
    </w:lvl>
    <w:lvl w:ilvl="1">
      <w:lvlJc w:val="left"/>
      <w:lvlText w:val="%2"/>
      <w:numFmt w:val="lowerLetter"/>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2019-12-06T06:17:34Z</dcterms:created>
  <dcterms:modified xsi:type="dcterms:W3CDTF">2019-12-06T06:17:34Z</dcterms:modified>
</cp:coreProperties>
</file>