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29845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2" w:lineRule="exact"/>
        <w:rPr>
          <w:sz w:val="24"/>
          <w:szCs w:val="24"/>
          <w:color w:val="auto"/>
        </w:rPr>
      </w:pPr>
    </w:p>
    <w:p>
      <w:pPr>
        <w:ind w:left="820" w:right="360" w:hanging="812"/>
        <w:spacing w:after="0" w:line="256" w:lineRule="auto"/>
        <w:tabs>
          <w:tab w:leader="none" w:pos="8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20" w:right="260" w:hanging="812"/>
        <w:spacing w:after="0" w:line="256" w:lineRule="auto"/>
        <w:tabs>
          <w:tab w:leader="none" w:pos="8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p>
      <w:pPr>
        <w:spacing w:after="0" w:line="21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04-2959321</w:t>
      </w:r>
    </w:p>
    <w:p>
      <w:pPr>
        <w:spacing w:after="0" w:line="50" w:lineRule="exact"/>
        <w:rPr>
          <w:sz w:val="24"/>
          <w:szCs w:val="24"/>
          <w:color w:val="auto"/>
        </w:rPr>
      </w:pPr>
    </w:p>
    <w:p>
      <w:pPr>
        <w:sectPr>
          <w:pgSz w:w="11900" w:h="16838" w:orient="portrait"/>
          <w:cols w:equalWidth="0" w:num="2">
            <w:col w:w="7280" w:space="720"/>
            <w:col w:w="3240"/>
          </w:cols>
          <w:pgMar w:left="320" w:top="1160" w:right="339" w:bottom="1440" w:gutter="0" w:footer="0" w:header="0"/>
          <w:type w:val="continuous"/>
        </w:sectPr>
      </w:pPr>
    </w:p>
    <w:p>
      <w:pPr>
        <w:jc w:val="center"/>
        <w:ind w:right="1260"/>
        <w:spacing w:after="0"/>
        <w:rPr>
          <w:sz w:val="20"/>
          <w:szCs w:val="20"/>
          <w:color w:val="auto"/>
        </w:rPr>
      </w:pPr>
      <w:r>
        <w:rPr>
          <w:rFonts w:ascii="Arial" w:cs="Arial" w:eastAsia="Arial" w:hAnsi="Arial"/>
          <w:sz w:val="16"/>
          <w:szCs w:val="16"/>
          <w:b w:val="1"/>
          <w:bCs w:val="1"/>
          <w:color w:val="auto"/>
        </w:rPr>
        <w:t>(State or Other Jurisdiction</w:t>
      </w:r>
    </w:p>
    <w:p>
      <w:pPr>
        <w:spacing w:after="0" w:line="13" w:lineRule="exact"/>
        <w:rPr>
          <w:sz w:val="24"/>
          <w:szCs w:val="24"/>
          <w:color w:val="auto"/>
        </w:rPr>
      </w:pPr>
    </w:p>
    <w:p>
      <w:pPr>
        <w:jc w:val="center"/>
        <w:ind w:right="1260"/>
        <w:spacing w:after="0"/>
        <w:rPr>
          <w:sz w:val="20"/>
          <w:szCs w:val="20"/>
          <w:color w:val="auto"/>
        </w:rPr>
      </w:pPr>
      <w:r>
        <w:rPr>
          <w:rFonts w:ascii="Arial" w:cs="Arial" w:eastAsia="Arial" w:hAnsi="Arial"/>
          <w:sz w:val="15"/>
          <w:szCs w:val="15"/>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6"/>
          <w:szCs w:val="16"/>
          <w:b w:val="1"/>
          <w:bCs w:val="1"/>
          <w:color w:val="auto"/>
        </w:rPr>
        <w:t>(IRS Employer</w:t>
      </w:r>
    </w:p>
    <w:p>
      <w:pPr>
        <w:spacing w:after="0" w:line="13"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620"/>
          </w:cols>
          <w:pgMar w:left="320" w:top="1160" w:right="339" w:bottom="1440" w:gutter="0" w:footer="0" w:header="0"/>
          <w:type w:val="continuous"/>
        </w:sectPr>
      </w:pPr>
    </w:p>
    <w:p>
      <w:pPr>
        <w:spacing w:after="0" w:line="20"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114 East Main Street</w:t>
      </w:r>
    </w:p>
    <w:p>
      <w:pPr>
        <w:spacing w:after="0" w:line="50" w:lineRule="exact"/>
        <w:rPr>
          <w:sz w:val="24"/>
          <w:szCs w:val="24"/>
          <w:color w:val="auto"/>
        </w:rPr>
      </w:pPr>
    </w:p>
    <w:p>
      <w:pPr>
        <w:ind w:left="2040"/>
        <w:spacing w:after="0"/>
        <w:rPr>
          <w:sz w:val="20"/>
          <w:szCs w:val="20"/>
          <w:color w:val="auto"/>
        </w:rPr>
      </w:pPr>
      <w:r>
        <w:rPr>
          <w:rFonts w:ascii="Arial" w:cs="Arial" w:eastAsia="Arial" w:hAnsi="Arial"/>
          <w:sz w:val="15"/>
          <w:szCs w:val="15"/>
          <w:b w:val="1"/>
          <w:bCs w:val="1"/>
          <w:color w:val="auto"/>
        </w:rPr>
        <w:t>Ayer, Massachusetts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01432</w:t>
      </w:r>
    </w:p>
    <w:p>
      <w:pPr>
        <w:spacing w:after="0" w:line="50" w:lineRule="exact"/>
        <w:rPr>
          <w:sz w:val="24"/>
          <w:szCs w:val="24"/>
          <w:color w:val="auto"/>
        </w:rPr>
      </w:pPr>
    </w:p>
    <w:p>
      <w:pPr>
        <w:sectPr>
          <w:pgSz w:w="11900" w:h="16838" w:orient="portrait"/>
          <w:cols w:equalWidth="0" w:num="2">
            <w:col w:w="7480" w:space="720"/>
            <w:col w:w="3040"/>
          </w:cols>
          <w:pgMar w:left="320" w:top="1160" w:right="33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340" w:space="720"/>
            <w:col w:w="3180"/>
          </w:cols>
          <w:pgMar w:left="320" w:top="1160"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(978) 842-3000</w:t>
      </w:r>
    </w:p>
    <w:p>
      <w:pPr>
        <w:sectPr>
          <w:pgSz w:w="11900" w:h="16838" w:orient="portrait"/>
          <w:cols w:equalWidth="0" w:num="1">
            <w:col w:w="11240"/>
          </w:cols>
          <w:pgMar w:left="320" w:top="1160" w:right="33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jc w:val="center"/>
        <w:ind w:left="940"/>
        <w:spacing w:after="0" w:line="266" w:lineRule="auto"/>
        <w:rPr>
          <w:sz w:val="20"/>
          <w:szCs w:val="20"/>
          <w:color w:val="auto"/>
        </w:rPr>
      </w:pPr>
      <w:r>
        <w:rPr>
          <w:rFonts w:ascii="Arial" w:cs="Arial" w:eastAsia="Arial" w:hAnsi="Arial"/>
          <w:sz w:val="18"/>
          <w:szCs w:val="18"/>
          <w:b w:val="1"/>
          <w:bCs w:val="1"/>
          <w:color w:val="auto"/>
        </w:rPr>
        <w:t>Title of each class Common Stock, $0.01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ind w:left="840"/>
        <w:spacing w:after="0"/>
        <w:tabs>
          <w:tab w:leader="none" w:pos="292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280"/>
        <w:spacing w:after="0"/>
        <w:tabs>
          <w:tab w:leader="none" w:pos="3460" w:val="left"/>
        </w:tabs>
        <w:rPr>
          <w:sz w:val="20"/>
          <w:szCs w:val="20"/>
          <w:color w:val="auto"/>
        </w:rPr>
      </w:pPr>
      <w:r>
        <w:rPr>
          <w:rFonts w:ascii="Arial" w:cs="Arial" w:eastAsia="Arial" w:hAnsi="Arial"/>
          <w:sz w:val="18"/>
          <w:szCs w:val="18"/>
          <w:b w:val="1"/>
          <w:bCs w:val="1"/>
          <w:color w:val="auto"/>
        </w:rPr>
        <w:t>AMSC</w:t>
      </w:r>
      <w:r>
        <w:rPr>
          <w:sz w:val="20"/>
          <w:szCs w:val="20"/>
          <w:color w:val="auto"/>
        </w:rPr>
        <w:tab/>
      </w:r>
      <w:r>
        <w:rPr>
          <w:rFonts w:ascii="Arial" w:cs="Arial" w:eastAsia="Arial" w:hAnsi="Arial"/>
          <w:sz w:val="18"/>
          <w:szCs w:val="18"/>
          <w:b w:val="1"/>
          <w:bCs w:val="1"/>
          <w:color w:val="auto"/>
        </w:rPr>
        <w:t>Nasdaq Global Select Market</w:t>
      </w:r>
    </w:p>
    <w:p>
      <w:pPr>
        <w:spacing w:after="0" w:line="422" w:lineRule="exact"/>
        <w:rPr>
          <w:sz w:val="24"/>
          <w:szCs w:val="24"/>
          <w:color w:val="auto"/>
        </w:rPr>
      </w:pPr>
    </w:p>
    <w:p>
      <w:pPr>
        <w:sectPr>
          <w:pgSz w:w="11900" w:h="16838" w:orient="portrait"/>
          <w:cols w:equalWidth="0" w:num="2">
            <w:col w:w="2880" w:space="540"/>
            <w:col w:w="7820"/>
          </w:cols>
          <w:pgMar w:left="320" w:top="116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240"/>
          </w:cols>
          <w:pgMar w:left="320" w:top="1160" w:right="339" w:bottom="1440" w:gutter="0" w:footer="0" w:header="0"/>
          <w:type w:val="continuous"/>
        </w:sectPr>
      </w:pPr>
    </w:p>
    <w:p>
      <w:pPr>
        <w:spacing w:after="0" w:line="21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900" w:space="160"/>
            <w:col w:w="280" w:space="80"/>
            <w:col w:w="160" w:space="180"/>
            <w:col w:w="220" w:space="100"/>
            <w:col w:w="1160"/>
          </w:cols>
          <w:pgMar w:left="320" w:top="1160" w:right="339" w:bottom="1440" w:gutter="0" w:footer="0" w:header="0"/>
          <w:type w:val="continuous"/>
        </w:sectPr>
      </w:pPr>
    </w:p>
    <w:p>
      <w:pPr>
        <w:spacing w:after="0" w:line="37"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9060" w:space="180"/>
            <w:col w:w="260" w:space="80"/>
            <w:col w:w="160" w:space="180"/>
            <w:col w:w="220" w:space="100"/>
            <w:col w:w="1000"/>
          </w:cols>
          <w:pgMar w:left="320" w:top="1160" w:right="339" w:bottom="1440" w:gutter="0" w:footer="0" w:header="0"/>
          <w:type w:val="continuous"/>
        </w:sectPr>
      </w:pPr>
    </w:p>
    <w:p>
      <w:pPr>
        <w:spacing w:after="0" w:line="3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1" w:name="page2"/>
    <w:bookmarkEnd w:id="1"/>
    <w:p>
      <w:pPr>
        <w:jc w:val="both"/>
        <w:ind w:firstLine="486"/>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left="280" w:right="2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500"/>
        <w:spacing w:after="0" w:line="207" w:lineRule="exact"/>
        <w:tabs>
          <w:tab w:leader="none" w:pos="8020" w:val="left"/>
          <w:tab w:leader="none" w:pos="8720" w:val="left"/>
        </w:tabs>
        <w:rPr>
          <w:sz w:val="20"/>
          <w:szCs w:val="20"/>
          <w:color w:val="auto"/>
        </w:rPr>
      </w:pPr>
      <w:r>
        <w:rPr>
          <w:rFonts w:ascii="Arial" w:cs="Arial" w:eastAsia="Arial" w:hAnsi="Arial"/>
          <w:sz w:val="17"/>
          <w:szCs w:val="17"/>
          <w:color w:val="auto"/>
        </w:rPr>
        <w:t>Indicate by checkmark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September 30, 2020, based on the closing price of the shares of Common Stock on the Nasdaq Global Select Market on that date ($14.48 per share) was $318.9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Number of shares outstanding of the registrant’s Common Stock, as of May 28, 2021 was 28,016,716</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Portions of the definitive proxy statement for the annual meeting of stockholders scheduled to be held on July 30, 2021, to be filed with the Securities and Exchange Commission (the “SEC”), are incorporated by reference in answer 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gridSpan w:val="11"/>
          </w:tcPr>
          <w:p>
            <w:pPr>
              <w:jc w:val="center"/>
              <w:ind w:right="2640"/>
              <w:spacing w:after="0"/>
              <w:rPr>
                <w:sz w:val="20"/>
                <w:szCs w:val="20"/>
                <w:color w:val="auto"/>
              </w:rPr>
            </w:pPr>
            <w:r>
              <w:rPr>
                <w:rFonts w:ascii="Arial" w:cs="Arial" w:eastAsia="Arial" w:hAnsi="Arial"/>
                <w:sz w:val="18"/>
                <w:szCs w:val="18"/>
                <w:b w:val="1"/>
                <w:bCs w:val="1"/>
                <w:color w:val="auto"/>
              </w:rPr>
              <w:t>AMERICAN SUPERCONDUCTOR CORPORATION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90"/>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1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920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Unresolved Staff Comments</w:t>
              </w:r>
            </w:hyperlink>
          </w:p>
        </w:tc>
        <w:tc>
          <w:tcPr>
            <w:tcW w:w="806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20</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9380" w:type="dxa"/>
            <w:vAlign w:val="bottom"/>
            <w:gridSpan w:val="19"/>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21</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1012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66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21</w:t>
              </w:r>
            </w:hyperlink>
          </w:p>
        </w:tc>
      </w:tr>
      <w:tr>
        <w:trPr>
          <w:trHeight w:val="20"/>
        </w:trPr>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012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6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21</w:t>
              </w:r>
            </w:hyperlink>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012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22</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4"/>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23</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1012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24</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36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36</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7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37</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6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Changes in and Disagreements With Accountants on Accounting and Financial Disclosure</w:t>
              </w:r>
            </w:hyperlink>
          </w:p>
        </w:tc>
        <w:tc>
          <w:tcPr>
            <w:tcW w:w="36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68</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Controls and Procedures</w:t>
              </w:r>
            </w:hyperlink>
          </w:p>
        </w:tc>
        <w:tc>
          <w:tcPr>
            <w:tcW w:w="83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68</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9B.</w:t>
            </w:r>
          </w:p>
        </w:tc>
        <w:tc>
          <w:tcPr>
            <w:tcW w:w="1012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66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68</w:t>
              </w:r>
            </w:hyperlink>
          </w:p>
        </w:tc>
      </w:tr>
      <w:tr>
        <w:trPr>
          <w:trHeight w:val="20"/>
        </w:trPr>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9C.</w:t>
            </w:r>
          </w:p>
        </w:tc>
        <w:tc>
          <w:tcPr>
            <w:tcW w:w="1012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Disclosure Regarding Foreign Jurisdictions that Prevent Inspections</w:t>
              </w:r>
            </w:hyperlink>
          </w:p>
        </w:tc>
        <w:tc>
          <w:tcPr>
            <w:tcW w:w="66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68</w:t>
              </w:r>
            </w:hyperlink>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34"/>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1012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66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69</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602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69</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Security Ownership of Certain Beneficial Owners and Management and Related Stockholder Matters</w:t>
              </w:r>
            </w:hyperlink>
          </w:p>
        </w:tc>
        <w:tc>
          <w:tcPr>
            <w:tcW w:w="28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69</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54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Certain Relationships and Related Transactions and Director Independence</w:t>
              </w:r>
            </w:hyperlink>
          </w:p>
        </w:tc>
        <w:tc>
          <w:tcPr>
            <w:tcW w:w="47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69</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012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Accountant Fees and Services</w:t>
              </w:r>
            </w:hyperlink>
          </w:p>
        </w:tc>
        <w:tc>
          <w:tcPr>
            <w:tcW w:w="66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69</w:t>
              </w:r>
            </w:hyperlink>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1012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and Financial Statement Schedules</w:t>
              </w:r>
            </w:hyperlink>
          </w:p>
        </w:tc>
        <w:tc>
          <w:tcPr>
            <w:tcW w:w="66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70</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24"/>
                <w:szCs w:val="24"/>
                <w:color w:val="auto"/>
              </w:rPr>
            </w:pPr>
          </w:p>
        </w:tc>
        <w:tc>
          <w:tcPr>
            <w:tcW w:w="696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71</w:t>
              </w:r>
            </w:hyperlink>
          </w:p>
        </w:tc>
      </w:tr>
      <w:tr>
        <w:trPr>
          <w:trHeight w:val="452"/>
        </w:trPr>
        <w:tc>
          <w:tcPr>
            <w:tcW w:w="460" w:type="dxa"/>
            <w:vAlign w:val="bottom"/>
          </w:tcPr>
          <w:p>
            <w:pPr>
              <w:spacing w:after="0"/>
              <w:rPr>
                <w:sz w:val="24"/>
                <w:szCs w:val="24"/>
                <w:color w:val="auto"/>
              </w:rPr>
            </w:pPr>
          </w:p>
        </w:tc>
        <w:tc>
          <w:tcPr>
            <w:tcW w:w="5420" w:type="dxa"/>
            <w:vAlign w:val="bottom"/>
            <w:gridSpan w:val="16"/>
          </w:tcPr>
          <w:p>
            <w:pPr>
              <w:jc w:val="center"/>
              <w:ind w:left="4810"/>
              <w:spacing w:after="0"/>
              <w:rPr>
                <w:sz w:val="20"/>
                <w:szCs w:val="20"/>
                <w:color w:val="auto"/>
              </w:rPr>
            </w:pPr>
            <w:r>
              <w:rPr>
                <w:rFonts w:ascii="Arial" w:cs="Arial" w:eastAsia="Arial" w:hAnsi="Arial"/>
                <w:sz w:val="18"/>
                <w:szCs w:val="18"/>
                <w:color w:val="auto"/>
                <w:w w:val="79"/>
              </w:rPr>
              <w:t>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2882900</wp:posOffset>
            </wp:positionH>
            <wp:positionV relativeFrom="page">
              <wp:posOffset>448945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t>This Annual Report on Form 10-K contains forward-looking statements within the meaning of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our addressable markets, our competitive position, the benefits of our acquisitions, the ongoing impact of the COVID-19 pandemic on our business, financial results and financial condition, expectations for when our products become operational, capabilities and potential uses of our products,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1. Item 1A of this Form 10-K for the fiscal year ended March 31, 2021,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We are a leading system provider of megawatt-scale power resiliency solutions that orchestrate the rhythm and harmony of power on the grid™, and protect and expand the capability of the Navy’s fleet. Our system level products leverage the Company’s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power grid market, we enable electric utilities, industrial facilities, and renewable energy project developers to connect, transmit and distribute smarter, cleaner and better power through our power electronics and superconductor-based systems as well as our transmission planning services. We protect and expand the capability of the U.S. Navy surface fleet with advanced superconductor-based systems which provide superior performance advantages to the traditional methods of mine field protection.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capacity and other constraints, improve system resiliency, and increase the adoption of renewable energy generation. Demand for our solutions is driven by: the growing needs for modernized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October 1, 2020,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73"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7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On May 6, 2021,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capital stock of Neeltran, Inc., a Connecticut corporation (“Neeltran”) and (ii) Neeltran International, Inc., a Connecticut corporation (“International”). Neeltran, Inc., is a U.S. based corporation that supplies rectifiers and transformers to industrial customers. As a result of this transaction, Neeltran became a wholly-owned subsidiary and is operated by our Grid business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provide solutions that address three key drivers of our business:</w:t>
      </w:r>
    </w:p>
    <w:p>
      <w:pPr>
        <w:spacing w:after="0" w:line="202" w:lineRule="exact"/>
        <w:rPr>
          <w:sz w:val="20"/>
          <w:szCs w:val="20"/>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evolving electric grid;</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electrification of the Naval fleet; and</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global demand for renewable energy.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power system products address five market opportunities (areas):</w:t>
      </w:r>
    </w:p>
    <w:p>
      <w:pPr>
        <w:spacing w:after="0" w:line="225" w:lineRule="exact"/>
        <w:rPr>
          <w:sz w:val="20"/>
          <w:szCs w:val="20"/>
          <w:color w:val="auto"/>
        </w:rPr>
      </w:pPr>
    </w:p>
    <w:p>
      <w:pPr>
        <w:jc w:val="both"/>
        <w:ind w:left="820" w:hanging="326"/>
        <w:spacing w:after="0" w:line="259" w:lineRule="auto"/>
        <w:tabs>
          <w:tab w:leader="none" w:pos="82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Transmission grid. </w:t>
      </w:r>
      <w:r>
        <w:rPr>
          <w:rFonts w:ascii="Arial" w:cs="Arial" w:eastAsia="Arial" w:hAnsi="Arial"/>
          <w:sz w:val="17"/>
          <w:szCs w:val="17"/>
          <w:color w:val="auto"/>
        </w:rPr>
        <w:t>We provide complete systems that enable electric utilities and renewable energy project developers to connect and transmit</w:t>
      </w:r>
      <w:r>
        <w:rPr>
          <w:rFonts w:ascii="Arial" w:cs="Arial" w:eastAsia="Arial" w:hAnsi="Arial"/>
          <w:sz w:val="17"/>
          <w:szCs w:val="17"/>
          <w:i w:val="1"/>
          <w:iCs w:val="1"/>
          <w:color w:val="auto"/>
        </w:rPr>
        <w:t xml:space="preserve"> </w:t>
      </w:r>
      <w:r>
        <w:rPr>
          <w:rFonts w:ascii="Arial" w:cs="Arial" w:eastAsia="Arial" w:hAnsi="Arial"/>
          <w:sz w:val="17"/>
          <w:szCs w:val="17"/>
          <w:color w:val="auto"/>
        </w:rPr>
        <w:t>power with exceptional efficiency, reliability, security and affordability. We provide planning services that allow us to identify power grid congestion, poor power quality, and other risks, which help us determine how our solutions can improve network performance. These services often lead to sales of our grid interconnection solutions and power quality systems for wind farms and solar power plants.</w:t>
      </w:r>
    </w:p>
    <w:p>
      <w:pPr>
        <w:spacing w:after="0" w:line="92" w:lineRule="exact"/>
        <w:rPr>
          <w:rFonts w:ascii="Arial" w:cs="Arial" w:eastAsia="Arial" w:hAnsi="Arial"/>
          <w:sz w:val="21"/>
          <w:szCs w:val="21"/>
          <w:color w:val="auto"/>
        </w:rPr>
      </w:pPr>
    </w:p>
    <w:p>
      <w:pPr>
        <w:jc w:val="both"/>
        <w:ind w:left="820" w:hanging="326"/>
        <w:spacing w:after="0" w:line="241"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 xml:space="preserve">Distribution grid. </w:t>
      </w:r>
      <w:r>
        <w:rPr>
          <w:rFonts w:ascii="Arial" w:cs="Arial" w:eastAsia="Arial" w:hAnsi="Arial"/>
          <w:sz w:val="18"/>
          <w:szCs w:val="18"/>
          <w:color w:val="auto"/>
        </w:rPr>
        <w:t>We provide a direct-connect power quality system that is installed on the primary distribution network in communities,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parks, or wherever enhanced power quality is beneficial and is designed to increase the reliability and resiliency of the distribution grid to serve the needs of modern energy consumers. Our systems save utilities time and money by avoiding costly options to strengthen the distribution grid.</w:t>
      </w:r>
    </w:p>
    <w:p>
      <w:pPr>
        <w:spacing w:after="0" w:line="107" w:lineRule="exact"/>
        <w:rPr>
          <w:rFonts w:ascii="Arial" w:cs="Arial" w:eastAsia="Arial" w:hAnsi="Arial"/>
          <w:sz w:val="22"/>
          <w:szCs w:val="22"/>
          <w:color w:val="auto"/>
        </w:rPr>
      </w:pPr>
    </w:p>
    <w:p>
      <w:pPr>
        <w:jc w:val="both"/>
        <w:ind w:left="820" w:hanging="326"/>
        <w:spacing w:after="0" w:line="261" w:lineRule="auto"/>
        <w:tabs>
          <w:tab w:leader="none" w:pos="82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Urban Grid Infrastructure. </w:t>
      </w:r>
      <w:r>
        <w:rPr>
          <w:rFonts w:ascii="Arial" w:cs="Arial" w:eastAsia="Arial" w:hAnsi="Arial"/>
          <w:sz w:val="17"/>
          <w:szCs w:val="17"/>
          <w:color w:val="auto"/>
        </w:rPr>
        <w:t>We design systems to increase the reliability, security and capacity of the urban grid infrastructure. Today, many</w:t>
      </w:r>
      <w:r>
        <w:rPr>
          <w:rFonts w:ascii="Arial" w:cs="Arial" w:eastAsia="Arial" w:hAnsi="Arial"/>
          <w:sz w:val="17"/>
          <w:szCs w:val="17"/>
          <w:i w:val="1"/>
          <w:iCs w:val="1"/>
          <w:color w:val="auto"/>
        </w:rPr>
        <w:t xml:space="preserve"> </w:t>
      </w:r>
      <w:r>
        <w:rPr>
          <w:rFonts w:ascii="Arial" w:cs="Arial" w:eastAsia="Arial" w:hAnsi="Arial"/>
          <w:sz w:val="17"/>
          <w:szCs w:val="17"/>
          <w:color w:val="auto"/>
        </w:rPr>
        <w:t>urban substations are not networked and can only power a small section of a city. Our power dense technology based on proprietary smart materials allows for the inter-connection of substations, controlling the high fault currents that naturally result from such interconnections. If one substation is compromised, other substations help increase capacity and reliability. Our system allows instantaneous power outage recovery, potentially doubling to quadrupling a city’s reliability and resiliency while minimizing grid investment. We design systems that leverage existing grid assets while protecting cities against storms, outages, and cyber- and physical attacks.</w:t>
      </w:r>
    </w:p>
    <w:p>
      <w:pPr>
        <w:spacing w:after="0" w:line="92" w:lineRule="exact"/>
        <w:rPr>
          <w:rFonts w:ascii="Arial" w:cs="Arial" w:eastAsia="Arial" w:hAnsi="Arial"/>
          <w:sz w:val="21"/>
          <w:szCs w:val="21"/>
          <w:color w:val="auto"/>
        </w:rPr>
      </w:pPr>
    </w:p>
    <w:p>
      <w:pPr>
        <w:ind w:left="820" w:hanging="326"/>
        <w:spacing w:after="0" w:line="285" w:lineRule="auto"/>
        <w:tabs>
          <w:tab w:leader="none" w:pos="820" w:val="left"/>
        </w:tabs>
        <w:numPr>
          <w:ilvl w:val="0"/>
          <w:numId w:val="6"/>
        </w:numPr>
        <w:rPr>
          <w:rFonts w:ascii="Arial" w:cs="Arial" w:eastAsia="Arial" w:hAnsi="Arial"/>
          <w:sz w:val="19"/>
          <w:szCs w:val="19"/>
          <w:color w:val="auto"/>
        </w:rPr>
      </w:pPr>
      <w:r>
        <w:rPr>
          <w:rFonts w:ascii="Arial" w:cs="Arial" w:eastAsia="Arial" w:hAnsi="Arial"/>
          <w:sz w:val="16"/>
          <w:szCs w:val="16"/>
          <w:i w:val="1"/>
          <w:iCs w:val="1"/>
          <w:color w:val="auto"/>
        </w:rPr>
        <w:t>Marine protection systems</w:t>
      </w:r>
      <w:r>
        <w:rPr>
          <w:rFonts w:ascii="Arial" w:cs="Arial" w:eastAsia="Arial" w:hAnsi="Arial"/>
          <w:sz w:val="16"/>
          <w:szCs w:val="16"/>
          <w:color w:val="auto"/>
        </w:rPr>
        <w:t>. We sell advanced degaussing systems to the U.S. Navy. Our degaussing system creates a magnetic signature around</w:t>
      </w:r>
      <w:r>
        <w:rPr>
          <w:rFonts w:ascii="Arial" w:cs="Arial" w:eastAsia="Arial" w:hAnsi="Arial"/>
          <w:sz w:val="16"/>
          <w:szCs w:val="16"/>
          <w:i w:val="1"/>
          <w:iCs w:val="1"/>
          <w:color w:val="auto"/>
        </w:rPr>
        <w:t xml:space="preserve"> </w:t>
      </w:r>
      <w:r>
        <w:rPr>
          <w:rFonts w:ascii="Arial" w:cs="Arial" w:eastAsia="Arial" w:hAnsi="Arial"/>
          <w:sz w:val="16"/>
          <w:szCs w:val="16"/>
          <w:color w:val="auto"/>
        </w:rPr>
        <w:t>a ship to mask the ship against sea mines and torpedoes. Our degaussing system is comprised of much smaller, lighter and higher performing HTS cable coils eliminating 50-80% of the system weight and reducing overall energy consumption versus copper-based degaussing systems.</w:t>
      </w:r>
    </w:p>
    <w:p>
      <w:pPr>
        <w:spacing w:after="0" w:line="73" w:lineRule="exact"/>
        <w:rPr>
          <w:rFonts w:ascii="Arial" w:cs="Arial" w:eastAsia="Arial" w:hAnsi="Arial"/>
          <w:sz w:val="19"/>
          <w:szCs w:val="19"/>
          <w:color w:val="auto"/>
        </w:rPr>
      </w:pPr>
    </w:p>
    <w:p>
      <w:pPr>
        <w:jc w:val="both"/>
        <w:ind w:left="820" w:hanging="326"/>
        <w:spacing w:after="0" w:line="285" w:lineRule="auto"/>
        <w:tabs>
          <w:tab w:leader="none" w:pos="820" w:val="left"/>
        </w:tabs>
        <w:numPr>
          <w:ilvl w:val="0"/>
          <w:numId w:val="6"/>
        </w:numPr>
        <w:rPr>
          <w:rFonts w:ascii="Arial" w:cs="Arial" w:eastAsia="Arial" w:hAnsi="Arial"/>
          <w:sz w:val="19"/>
          <w:szCs w:val="19"/>
          <w:color w:val="auto"/>
        </w:rPr>
      </w:pPr>
      <w:r>
        <w:rPr>
          <w:rFonts w:ascii="Arial" w:cs="Arial" w:eastAsia="Arial" w:hAnsi="Arial"/>
          <w:sz w:val="16"/>
          <w:szCs w:val="16"/>
          <w:i w:val="1"/>
          <w:iCs w:val="1"/>
          <w:color w:val="auto"/>
        </w:rPr>
        <w:t xml:space="preserve">Wind Power. </w:t>
      </w:r>
      <w:r>
        <w:rPr>
          <w:rFonts w:ascii="Arial" w:cs="Arial" w:eastAsia="Arial" w:hAnsi="Arial"/>
          <w:sz w:val="16"/>
          <w:szCs w:val="16"/>
          <w:color w:val="auto"/>
        </w:rPr>
        <w:t>Our solutions enable manufacturers to field wind turbines with exceptional power output, reliability, and affordability. We supply</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power electronics and control systems, license our highly engineered wind turbine designs, and provide extensive customer support services to wind turbine manufacturers. Our design portfolio includes a broad range of drive trains and power ratings of 2 megawatts (“MW”)</w:t>
      </w:r>
    </w:p>
    <w:p>
      <w:pPr>
        <w:sectPr>
          <w:pgSz w:w="11900" w:h="16838" w:orient="portrait"/>
          <w:cols w:equalWidth="0" w:num="1">
            <w:col w:w="11240"/>
          </w:cols>
          <w:pgMar w:left="320" w:top="823" w:right="339" w:bottom="0" w:gutter="0" w:footer="0" w:header="0"/>
        </w:sectPr>
      </w:pPr>
    </w:p>
    <w:bookmarkStart w:id="5" w:name="page6"/>
    <w:bookmarkEnd w:id="5"/>
    <w:p>
      <w:pPr>
        <w:ind w:left="820"/>
        <w:spacing w:after="0" w:line="277" w:lineRule="auto"/>
        <w:rPr>
          <w:sz w:val="20"/>
          <w:szCs w:val="20"/>
          <w:color w:val="auto"/>
        </w:rPr>
      </w:pPr>
      <w:r>
        <w:rPr>
          <w:rFonts w:ascii="Arial" w:cs="Arial" w:eastAsia="Arial" w:hAnsi="Arial"/>
          <w:sz w:val="18"/>
          <w:szCs w:val="18"/>
          <w:color w:val="auto"/>
        </w:rPr>
        <w:t>and higher. We provide a broad range of power electronics and software-based control systems that are highly integrated and designed for optimized performance, efficiency, and grid compatibility.</w:t>
      </w:r>
    </w:p>
    <w:p>
      <w:pPr>
        <w:spacing w:after="0" w:line="170"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2020 refers to the fiscal year that began on April 1, 2020. Other fiscal years follow similarly.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our competitive strengths position us well to execute on our growth plans in the markets we serve.</w:t>
      </w:r>
    </w:p>
    <w:p>
      <w:pPr>
        <w:spacing w:after="0" w:line="225" w:lineRule="exact"/>
        <w:rPr>
          <w:sz w:val="20"/>
          <w:szCs w:val="20"/>
          <w:color w:val="auto"/>
        </w:rPr>
      </w:pPr>
    </w:p>
    <w:p>
      <w:pPr>
        <w:jc w:val="both"/>
        <w:ind w:left="820" w:hanging="326"/>
        <w:spacing w:after="0" w:line="263" w:lineRule="auto"/>
        <w:tabs>
          <w:tab w:leader="none" w:pos="820" w:val="left"/>
        </w:tabs>
        <w:numPr>
          <w:ilvl w:val="0"/>
          <w:numId w:val="7"/>
        </w:numPr>
        <w:rPr>
          <w:rFonts w:ascii="Arial" w:cs="Arial" w:eastAsia="Arial" w:hAnsi="Arial"/>
          <w:sz w:val="21"/>
          <w:szCs w:val="21"/>
          <w:color w:val="auto"/>
        </w:rPr>
      </w:pPr>
      <w:r>
        <w:rPr>
          <w:rFonts w:ascii="Arial" w:cs="Arial" w:eastAsia="Arial" w:hAnsi="Arial"/>
          <w:sz w:val="17"/>
          <w:szCs w:val="17"/>
          <w:i w:val="1"/>
          <w:iCs w:val="1"/>
          <w:color w:val="auto"/>
        </w:rPr>
        <w:t xml:space="preserve">Differentiated technologies. </w:t>
      </w:r>
      <w:r>
        <w:rPr>
          <w:rFonts w:ascii="Arial" w:cs="Arial" w:eastAsia="Arial" w:hAnsi="Arial"/>
          <w:sz w:val="17"/>
          <w:szCs w:val="17"/>
          <w:color w:val="auto"/>
        </w:rPr>
        <w:t>Our products leverage the Company’s proprietary smart materials and smart software and controls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resiliency and improved performance of megawatt-scale power flow. Conventional conductors of electricity, such as aluminum and copper wire, lose energy due to resistance. Using a compound of yttrium barium copper oxide (“YBCO”), we manufacture and provide high-temperature superconductor ("HTS") wire that can conduct many times more electricity than conventional conductors with minimal power loss.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Our PowerModule™ power converters are based on proprietary software and hardware combinations and are used in a broad array of applications, including our D-VAR® grid interconnection and voltage control systems, as well as our wind turbine electrical control systems. Our unique proprietary cooler technology enables our ship protection systems ("SPS") to perform in harsh environmental conditions in a quiet and efficient manner.</w:t>
      </w:r>
    </w:p>
    <w:p>
      <w:pPr>
        <w:spacing w:after="0" w:line="89" w:lineRule="exact"/>
        <w:rPr>
          <w:rFonts w:ascii="Arial" w:cs="Arial" w:eastAsia="Arial" w:hAnsi="Arial"/>
          <w:sz w:val="21"/>
          <w:szCs w:val="21"/>
          <w:color w:val="auto"/>
        </w:rPr>
      </w:pPr>
    </w:p>
    <w:p>
      <w:pPr>
        <w:jc w:val="both"/>
        <w:ind w:left="820" w:hanging="326"/>
        <w:spacing w:after="0" w:line="297" w:lineRule="auto"/>
        <w:tabs>
          <w:tab w:leader="none" w:pos="820"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 xml:space="preserve">Turnkey systems. </w:t>
      </w:r>
      <w:r>
        <w:rPr>
          <w:rFonts w:ascii="Arial" w:cs="Arial" w:eastAsia="Arial" w:hAnsi="Arial"/>
          <w:sz w:val="16"/>
          <w:szCs w:val="16"/>
          <w:color w:val="auto"/>
        </w:rPr>
        <w:t>We have developed full system solutions that we sell directly to customers. This business model leverages our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drives value beyond the wire and enables us to recognize revenue and take ownership over the marketing and sales of the full systems.</w:t>
      </w:r>
    </w:p>
    <w:p>
      <w:pPr>
        <w:spacing w:after="0" w:line="55" w:lineRule="exact"/>
        <w:rPr>
          <w:rFonts w:ascii="Arial" w:cs="Arial" w:eastAsia="Arial" w:hAnsi="Arial"/>
          <w:sz w:val="19"/>
          <w:szCs w:val="19"/>
          <w:color w:val="auto"/>
        </w:rPr>
      </w:pPr>
    </w:p>
    <w:p>
      <w:pPr>
        <w:jc w:val="both"/>
        <w:ind w:left="820" w:hanging="326"/>
        <w:spacing w:after="0" w:line="241" w:lineRule="auto"/>
        <w:tabs>
          <w:tab w:leader="none" w:pos="82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 xml:space="preserve">Scalable, low-cost manufacturing platform. </w:t>
      </w:r>
      <w:r>
        <w:rPr>
          <w:rFonts w:ascii="Arial" w:cs="Arial" w:eastAsia="Arial" w:hAnsi="Arial"/>
          <w:sz w:val="18"/>
          <w:szCs w:val="18"/>
          <w:color w:val="auto"/>
        </w:rPr>
        <w:t>Our manufacturing of proprietary wind turbine electrical control systems and power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primarily assembly operations with minimal fixed costs. We can increase the production of these products at costs that we believe are low relative to our competitors. Our proprietary manufacturing technique for Amperium superconductor wire is modular in nature, which allows us to expand manufacturing capacity at a relatively low incremental cost.</w:t>
      </w:r>
    </w:p>
    <w:p>
      <w:pPr>
        <w:spacing w:after="0" w:line="107" w:lineRule="exact"/>
        <w:rPr>
          <w:rFonts w:ascii="Arial" w:cs="Arial" w:eastAsia="Arial" w:hAnsi="Arial"/>
          <w:sz w:val="22"/>
          <w:szCs w:val="22"/>
          <w:color w:val="auto"/>
        </w:rPr>
      </w:pPr>
    </w:p>
    <w:p>
      <w:pPr>
        <w:jc w:val="both"/>
        <w:ind w:left="820" w:hanging="326"/>
        <w:spacing w:after="0" w:line="256" w:lineRule="auto"/>
        <w:tabs>
          <w:tab w:leader="none" w:pos="820" w:val="left"/>
        </w:tabs>
        <w:numPr>
          <w:ilvl w:val="0"/>
          <w:numId w:val="7"/>
        </w:numPr>
        <w:rPr>
          <w:rFonts w:ascii="Arial" w:cs="Arial" w:eastAsia="Arial" w:hAnsi="Arial"/>
          <w:sz w:val="21"/>
          <w:szCs w:val="21"/>
          <w:color w:val="auto"/>
        </w:rPr>
      </w:pPr>
      <w:r>
        <w:rPr>
          <w:rFonts w:ascii="Arial" w:cs="Arial" w:eastAsia="Arial" w:hAnsi="Arial"/>
          <w:sz w:val="17"/>
          <w:szCs w:val="17"/>
          <w:i w:val="1"/>
          <w:iCs w:val="1"/>
          <w:color w:val="auto"/>
        </w:rPr>
        <w:t xml:space="preserve">Robust patent position and engineering expertise. </w:t>
      </w:r>
      <w:r>
        <w:rPr>
          <w:rFonts w:ascii="Arial" w:cs="Arial" w:eastAsia="Arial" w:hAnsi="Arial"/>
          <w:sz w:val="17"/>
          <w:szCs w:val="17"/>
          <w:color w:val="auto"/>
        </w:rPr>
        <w:t>We have an extensive portfolio of awarded patents and patent applications worldwide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rights through exclusive and non-exclusive licenses to additional patents and patent applications worldwide. We believe our technology and manufacturing knowledge base, customer and product expertise and patent portfolio provide a strong competitive position.</w:t>
      </w:r>
    </w:p>
    <w:p>
      <w:pPr>
        <w:spacing w:after="0" w:line="94" w:lineRule="exact"/>
        <w:rPr>
          <w:rFonts w:ascii="Arial" w:cs="Arial" w:eastAsia="Arial" w:hAnsi="Arial"/>
          <w:sz w:val="21"/>
          <w:szCs w:val="21"/>
          <w:color w:val="auto"/>
        </w:rPr>
      </w:pPr>
    </w:p>
    <w:p>
      <w:pPr>
        <w:jc w:val="both"/>
        <w:ind w:left="820" w:hanging="326"/>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Unique solutions for the markets we serve. </w:t>
      </w:r>
      <w:r>
        <w:rPr>
          <w:rFonts w:ascii="Arial" w:cs="Arial" w:eastAsia="Arial" w:hAnsi="Arial"/>
          <w:sz w:val="18"/>
          <w:szCs w:val="18"/>
          <w:color w:val="auto"/>
        </w:rPr>
        <w:t>We believe we provide wind turbine manufacturers with a unique and integrated approach of wind</w:t>
      </w:r>
      <w:r>
        <w:rPr>
          <w:rFonts w:ascii="Arial" w:cs="Arial" w:eastAsia="Arial" w:hAnsi="Arial"/>
          <w:sz w:val="18"/>
          <w:szCs w:val="18"/>
          <w:i w:val="1"/>
          <w:iCs w:val="1"/>
          <w:color w:val="auto"/>
        </w:rPr>
        <w:t xml:space="preserve"> </w:t>
      </w:r>
      <w:r>
        <w:rPr>
          <w:rFonts w:ascii="Arial" w:cs="Arial" w:eastAsia="Arial" w:hAnsi="Arial"/>
          <w:sz w:val="18"/>
          <w:szCs w:val="18"/>
          <w:color w:val="auto"/>
        </w:rPr>
        <w:t>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distribution systems for power grid operators. This unique scope of supply provides us with greater insight into our customers’ evolving needs and greater cross-selling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Building on these competitive strengths, we plan to focus on driving revenue growth and enhancing our operating results through the objectives defined below.</w:t>
      </w:r>
    </w:p>
    <w:p>
      <w:pPr>
        <w:spacing w:after="0" w:line="170" w:lineRule="exact"/>
        <w:rPr>
          <w:sz w:val="20"/>
          <w:szCs w:val="20"/>
          <w:color w:val="auto"/>
        </w:rPr>
      </w:pPr>
    </w:p>
    <w:p>
      <w:pPr>
        <w:ind w:left="820" w:hanging="326"/>
        <w:spacing w:after="0" w:line="251" w:lineRule="auto"/>
        <w:tabs>
          <w:tab w:leader="none" w:pos="820" w:val="left"/>
        </w:tabs>
        <w:numPr>
          <w:ilvl w:val="0"/>
          <w:numId w:val="8"/>
        </w:numPr>
        <w:rPr>
          <w:rFonts w:ascii="Arial" w:cs="Arial" w:eastAsia="Arial" w:hAnsi="Arial"/>
          <w:sz w:val="21"/>
          <w:szCs w:val="21"/>
          <w:color w:val="auto"/>
        </w:rPr>
      </w:pPr>
      <w:r>
        <w:rPr>
          <w:rFonts w:ascii="Arial" w:cs="Arial" w:eastAsia="Arial" w:hAnsi="Arial"/>
          <w:sz w:val="17"/>
          <w:szCs w:val="17"/>
          <w:i w:val="1"/>
          <w:iCs w:val="1"/>
          <w:color w:val="auto"/>
        </w:rPr>
        <w:t xml:space="preserve">Provide solutions from power generation to delivery. </w:t>
      </w:r>
      <w:r>
        <w:rPr>
          <w:rFonts w:ascii="Arial" w:cs="Arial" w:eastAsia="Arial" w:hAnsi="Arial"/>
          <w:sz w:val="17"/>
          <w:szCs w:val="17"/>
          <w:color w:val="auto"/>
        </w:rPr>
        <w:t>From the generation source to the distribution system, we focus on providing best-in-class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support services, technologies and solutions that make the world’s power supplies smarter, cleaner and more resilient.</w:t>
      </w:r>
    </w:p>
    <w:p>
      <w:pPr>
        <w:spacing w:after="0" w:line="96"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Focus on “megawatt-scale” power offerings. </w:t>
      </w:r>
      <w:r>
        <w:rPr>
          <w:rFonts w:ascii="Arial" w:cs="Arial" w:eastAsia="Arial" w:hAnsi="Arial"/>
          <w:sz w:val="18"/>
          <w:szCs w:val="18"/>
          <w:color w:val="auto"/>
        </w:rPr>
        <w:t>Our research, product development, and sales efforts focus on megawatt-scale offerings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designs of power electronics for large wind turbine platforms to systems that stabilize power flows, integrate renewable power into the grid and carry power to and from transmission and distribution substations.</w:t>
      </w:r>
    </w:p>
    <w:p>
      <w:pPr>
        <w:spacing w:after="0" w:line="108" w:lineRule="exact"/>
        <w:rPr>
          <w:rFonts w:ascii="Arial" w:cs="Arial" w:eastAsia="Arial" w:hAnsi="Arial"/>
          <w:sz w:val="22"/>
          <w:szCs w:val="22"/>
          <w:color w:val="auto"/>
        </w:rPr>
      </w:pPr>
    </w:p>
    <w:p>
      <w:pPr>
        <w:jc w:val="both"/>
        <w:ind w:left="820" w:hanging="326"/>
        <w:spacing w:after="0" w:line="238" w:lineRule="auto"/>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We have a strong record of developing unique solutions for megawatt-scale power applications and will continue our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investing in innovation. Recently, our product development efforts have included our Resilient Electric Grid ("REG") system for the electricity grid, SPS for the U.S. Navy, and D-VAR Volt Var Optimization (“VVO”).</w:t>
      </w:r>
    </w:p>
    <w:p>
      <w:pPr>
        <w:spacing w:after="0" w:line="108" w:lineRule="exact"/>
        <w:rPr>
          <w:rFonts w:ascii="Arial" w:cs="Arial" w:eastAsia="Arial" w:hAnsi="Arial"/>
          <w:sz w:val="22"/>
          <w:szCs w:val="22"/>
          <w:color w:val="auto"/>
        </w:rPr>
      </w:pPr>
    </w:p>
    <w:p>
      <w:pPr>
        <w:ind w:left="820" w:right="20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Provide resiliency and protection capabilities. </w:t>
      </w:r>
      <w:r>
        <w:rPr>
          <w:rFonts w:ascii="Arial" w:cs="Arial" w:eastAsia="Arial" w:hAnsi="Arial"/>
          <w:sz w:val="18"/>
          <w:szCs w:val="18"/>
          <w:color w:val="auto"/>
        </w:rPr>
        <w:t>Our products provide resiliency and protection capabilities that support an evolving power grid</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the navy fleet from rising global threats.</w:t>
      </w:r>
    </w:p>
    <w:p>
      <w:pPr>
        <w:spacing w:after="0" w:line="75"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Pursue Emerging Overseas Markets and Serve Key Markets Locally. </w:t>
      </w:r>
      <w:r>
        <w:rPr>
          <w:rFonts w:ascii="Arial" w:cs="Arial" w:eastAsia="Arial" w:hAnsi="Arial"/>
          <w:sz w:val="18"/>
          <w:szCs w:val="18"/>
          <w:color w:val="auto"/>
        </w:rPr>
        <w:t>We focus our sales efforts on overseas markets that are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aggressively in renewable energy and power grid projects.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Canada, China, India, Korea, South Africa, the United Kingdom, Jordan, Mexico and the United States.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Grid market overview</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It is widely believed that the electricity grids around the world require modernization through widespread technology upgrades if they are to maintain reliability while solving rapidly evolving challenges such as more frequent severe weather, threats of physical- and cyber-attacks, expanded renewable generation (both large and small scale) and new types of customer loads such as electric vehicles. In fact, a series of reports written by the Electric Power Research Institute ("EPRI") in 2016 emphasize the need for increased resiliency, flexibility and connectivity in electric grids. According to the EPRI reports, the number of geophysical, meteorological, hydrological, and climatological events in the U.S. rose to an all-time high of 247 events in 2010 – up from approximately 200 in 2009 and less than 200 in all years combined from 1980 to 2010. Available data further indicate that the existing U.S. electrical grid has been stressed by U.S. wind power generation increasing from 6 Gigawatts ("GW") in 2003 to 122 GW in 2020, and photovoltaics ("PV") power generation increasing from almost zero in 2003 to nearly 98 GW as of the end of 2020.</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Growth in both wind power and PV is expected to continue with the vast majority of such intermittent generation sources unsupported by energy storage, placing stress on the power grid. Finally, the Edison Electric Institute estimates that the number of electric vehicles on the road in the U.S. is projected to reach 18.7 million in 2030, up from more than 1.0 million at the end of 2018. These facts and the dependence on the safety, security and economy of the electricity grid have prompted broad recognition worldwide of the need to modernize and enhance the reliability and security of power grids.</w:t>
      </w:r>
    </w:p>
    <w:p>
      <w:pPr>
        <w:spacing w:after="0" w:line="18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Biden Administration’s new Energy Plan, if enacted, could positively impact the demand for our new energy power systems solutions. The new Energy Plan intends to reform and extend the tax incentives that generate energy efficiency and clean energy jobs as well as to develop financing mechanisms that leverage private sector dollars to maximize investment in the clean energy revolution. The Biden Administration plans to spur the</w:t>
      </w:r>
    </w:p>
    <w:p>
      <w:pPr>
        <w:sectPr>
          <w:pgSz w:w="11900" w:h="16944" w:orient="portrait"/>
          <w:cols w:equalWidth="0" w:num="1">
            <w:col w:w="11240"/>
          </w:cols>
          <w:pgMar w:left="320" w:top="580" w:right="339" w:bottom="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installation of tens of thousands of wind turbines in his first term – including thousands of turbines off the U.S. coasts. We plan to seek to collaborate with top tier wind turbine manufacturers to provide new wind farm connectivity to the U.S. power grid.</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new Presidential administration also intends to spur the installation of millions of solar panels – including utility-scale, rooftop, and community solar systems. Our systems are primarily focused on addressing renewable energy installations for project developers and wind turbine manufacturers. Because solar power is dynamic and intermittently variable in nature, distribution grids will need to enhance their network’s capabilities to accommodate this new resource, while maintaining efficiency and power quality for their customers. Our systems offers electric utilities superior power quality, environmental benefits, and significant cost-savings over traditional solutions.</w:t>
      </w:r>
    </w:p>
    <w:p>
      <w:pPr>
        <w:spacing w:after="0" w:line="18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President’s Energy Policy also focuses on the next generation of electric grid transmission and distribution, which has been the heart of our long-term growth strategy. We believe our new energy power systems products are well suited to address this enormous challenge.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500"/>
        <w:spacing w:after="0"/>
        <w:rPr>
          <w:sz w:val="20"/>
          <w:szCs w:val="20"/>
          <w:color w:val="auto"/>
        </w:rPr>
      </w:pPr>
      <w:r>
        <w:rPr>
          <w:rFonts w:ascii="Arial" w:cs="Arial" w:eastAsia="Arial" w:hAnsi="Arial"/>
          <w:sz w:val="18"/>
          <w:szCs w:val="18"/>
          <w:color w:val="auto"/>
        </w:rPr>
        <w:t>Power grid operators worldwide face various challenges, including:</w:t>
      </w:r>
    </w:p>
    <w:p>
      <w:pPr>
        <w:spacing w:after="0" w:line="225" w:lineRule="exact"/>
        <w:rPr>
          <w:sz w:val="20"/>
          <w:szCs w:val="20"/>
          <w:color w:val="auto"/>
        </w:rPr>
      </w:pPr>
    </w:p>
    <w:p>
      <w:pPr>
        <w:jc w:val="both"/>
        <w:ind w:left="820" w:right="320" w:hanging="326"/>
        <w:spacing w:after="0" w:line="26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Resiliency. </w:t>
      </w:r>
      <w:r>
        <w:rPr>
          <w:rFonts w:ascii="Arial" w:cs="Arial" w:eastAsia="Arial" w:hAnsi="Arial"/>
          <w:sz w:val="18"/>
          <w:szCs w:val="18"/>
          <w:color w:val="auto"/>
        </w:rPr>
        <w:t>As our electricity mix changes with the proliferation of renewables and distributed generation, so does the need to strengthen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grid. New technologies such as the addition of electric vehicles on U.S. roads and urbanization create new challenges for power grid operators.</w:t>
      </w:r>
    </w:p>
    <w:p>
      <w:pPr>
        <w:spacing w:after="0" w:line="8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Stability</w:t>
      </w:r>
      <w:r>
        <w:rPr>
          <w:rFonts w:ascii="Arial" w:cs="Arial" w:eastAsia="Arial" w:hAnsi="Arial"/>
          <w:sz w:val="18"/>
          <w:szCs w:val="18"/>
          <w:color w:val="auto"/>
        </w:rPr>
        <w:t>. Power grid operators are confronting power quality and stability issues arising from intermittent renewable energy sources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capacity limitations of transmission and overhead distribution lines and underground cables.</w:t>
      </w:r>
    </w:p>
    <w:p>
      <w:pPr>
        <w:spacing w:after="0" w:line="75" w:lineRule="exact"/>
        <w:rPr>
          <w:rFonts w:ascii="Arial" w:cs="Arial" w:eastAsia="Arial" w:hAnsi="Arial"/>
          <w:sz w:val="18"/>
          <w:szCs w:val="18"/>
          <w:color w:val="auto"/>
        </w:rPr>
      </w:pPr>
    </w:p>
    <w:p>
      <w:pPr>
        <w:jc w:val="both"/>
        <w:ind w:left="820" w:hanging="326"/>
        <w:spacing w:after="0" w:line="311"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Reliability</w:t>
      </w:r>
      <w:r>
        <w:rPr>
          <w:rFonts w:ascii="Arial" w:cs="Arial" w:eastAsia="Arial" w:hAnsi="Arial"/>
          <w:sz w:val="16"/>
          <w:szCs w:val="16"/>
          <w:color w:val="auto"/>
        </w:rPr>
        <w:t>. Traditional transmission lines and cables often reach their reliable voltage stability limit well below their thermal threshold. Driving</w:t>
      </w:r>
      <w:r>
        <w:rPr>
          <w:rFonts w:ascii="Arial" w:cs="Arial" w:eastAsia="Arial" w:hAnsi="Arial"/>
          <w:sz w:val="16"/>
          <w:szCs w:val="16"/>
          <w:i w:val="1"/>
          <w:iCs w:val="1"/>
          <w:color w:val="auto"/>
        </w:rPr>
        <w:t xml:space="preserve"> </w:t>
      </w:r>
      <w:r>
        <w:rPr>
          <w:rFonts w:ascii="Arial" w:cs="Arial" w:eastAsia="Arial" w:hAnsi="Arial"/>
          <w:sz w:val="16"/>
          <w:szCs w:val="16"/>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54" w:lineRule="exact"/>
        <w:rPr>
          <w:rFonts w:ascii="Arial" w:cs="Arial" w:eastAsia="Arial" w:hAnsi="Arial"/>
          <w:sz w:val="16"/>
          <w:szCs w:val="16"/>
          <w:color w:val="auto"/>
        </w:rPr>
      </w:pPr>
    </w:p>
    <w:p>
      <w:pPr>
        <w:jc w:val="both"/>
        <w:ind w:left="820" w:hanging="326"/>
        <w:spacing w:after="0" w:line="273"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Capacity</w:t>
      </w:r>
      <w:r>
        <w:rPr>
          <w:rFonts w:ascii="Arial" w:cs="Arial" w:eastAsia="Arial" w:hAnsi="Arial"/>
          <w:sz w:val="17"/>
          <w:szCs w:val="17"/>
          <w:color w:val="auto"/>
        </w:rPr>
        <w:t>. The traditional way to enable increases in power grid capacity without losing voltage stability is to install more overhead power lines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83"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Efficiency</w:t>
      </w:r>
      <w:r>
        <w:rPr>
          <w:rFonts w:ascii="Arial" w:cs="Arial" w:eastAsia="Arial" w:hAnsi="Arial"/>
          <w:sz w:val="18"/>
          <w:szCs w:val="18"/>
          <w:color w:val="auto"/>
        </w:rPr>
        <w:t>. Most overhead lines and underground cables use traditional conductors such as copper and aluminum, which lose power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resistance. At transmission voltage, electrical losses average about 7% in the United States and other developed nations, but can exceed 20% in some locations due to the distance of the line, quality of the conductor, and the power grid’s architecture and characteristics, among other factors.</w:t>
      </w:r>
    </w:p>
    <w:p>
      <w:pPr>
        <w:spacing w:after="0" w:line="92" w:lineRule="exact"/>
        <w:rPr>
          <w:rFonts w:ascii="Arial" w:cs="Arial" w:eastAsia="Arial" w:hAnsi="Arial"/>
          <w:sz w:val="18"/>
          <w:szCs w:val="18"/>
          <w:color w:val="auto"/>
        </w:rPr>
      </w:pPr>
    </w:p>
    <w:p>
      <w:pPr>
        <w:jc w:val="both"/>
        <w:ind w:left="820" w:hanging="326"/>
        <w:spacing w:after="0" w:line="286"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Security</w:t>
      </w:r>
      <w:r>
        <w:rPr>
          <w:rFonts w:ascii="Arial" w:cs="Arial" w:eastAsia="Arial" w:hAnsi="Arial"/>
          <w:sz w:val="17"/>
          <w:szCs w:val="17"/>
          <w:color w:val="auto"/>
        </w:rPr>
        <w:t>. Catastrophic equipment failures caused by aging equipment, physical and cyber events, and weather-related disasters can leave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of an urban environment without power for hours or days. It can be difficult to recover from extended power outages in urban load centers, worsening situations where the personal safety of residents and the economic health of businesses are threatened.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 for the power quality and grid infrastructure market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address these challenges in the grid market by providing services and solutions designed to increase the power grid’s capacity, resiliency, reliability, security and efficiency. Our solutions orchestrate the rhythm of power on the grid. Our solutions include:</w:t>
      </w:r>
    </w:p>
    <w:p>
      <w:pPr>
        <w:spacing w:after="0" w:line="170" w:lineRule="exact"/>
        <w:rPr>
          <w:sz w:val="20"/>
          <w:szCs w:val="20"/>
          <w:color w:val="auto"/>
        </w:rPr>
      </w:pPr>
    </w:p>
    <w:p>
      <w:pPr>
        <w:jc w:val="both"/>
        <w:ind w:left="820" w:hanging="326"/>
        <w:spacing w:after="0" w:line="269"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D-VAR</w:t>
      </w:r>
      <w:r>
        <w:rPr>
          <w:rFonts w:ascii="Arial" w:cs="Arial" w:eastAsia="Arial" w:hAnsi="Arial"/>
          <w:sz w:val="17"/>
          <w:szCs w:val="17"/>
          <w:color w:val="auto"/>
        </w:rPr>
        <w:t>®</w:t>
      </w:r>
      <w:r>
        <w:rPr>
          <w:rFonts w:ascii="Arial" w:cs="Arial" w:eastAsia="Arial" w:hAnsi="Arial"/>
          <w:sz w:val="17"/>
          <w:szCs w:val="17"/>
          <w:i w:val="1"/>
          <w:iCs w:val="1"/>
          <w:color w:val="auto"/>
        </w:rPr>
        <w:t xml:space="preserve"> Systems</w:t>
      </w:r>
      <w:r>
        <w:rPr>
          <w:rFonts w:ascii="Arial" w:cs="Arial" w:eastAsia="Arial" w:hAnsi="Arial"/>
          <w:sz w:val="17"/>
          <w:szCs w:val="17"/>
          <w:color w:val="auto"/>
        </w:rPr>
        <w:t>. Our D-VAR system is a system that consists of power electronics and other static components used for controlling power</w:t>
      </w:r>
      <w:r>
        <w:rPr>
          <w:rFonts w:ascii="Arial" w:cs="Arial" w:eastAsia="Arial" w:hAnsi="Arial"/>
          <w:sz w:val="17"/>
          <w:szCs w:val="17"/>
          <w:i w:val="1"/>
          <w:iCs w:val="1"/>
          <w:color w:val="auto"/>
        </w:rPr>
        <w:t xml:space="preserve"> </w:t>
      </w:r>
      <w:r>
        <w:rPr>
          <w:rFonts w:ascii="Arial" w:cs="Arial" w:eastAsia="Arial" w:hAnsi="Arial"/>
          <w:sz w:val="17"/>
          <w:szCs w:val="17"/>
          <w:color w:val="auto"/>
        </w:rPr>
        <w:t>flow and voltage in the AC transmission system. Our D-VAR system aims to increase controllability and power transferability of a network, which allows more effective utilization of existing assets, and reduces the need for new transmission lines and facilities to increase electricity availability. The power that flows through AC networks comprises both real power, measured in watts, and reactive 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Our D-VAR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and power quality systems for utilities and heavy industrial operations.</w:t>
      </w:r>
    </w:p>
    <w:p>
      <w:pPr>
        <w:spacing w:after="0" w:line="208" w:lineRule="exact"/>
        <w:rPr>
          <w:rFonts w:ascii="Arial" w:cs="Arial" w:eastAsia="Arial" w:hAnsi="Arial"/>
          <w:sz w:val="17"/>
          <w:szCs w:val="17"/>
          <w:color w:val="auto"/>
        </w:rPr>
      </w:pPr>
    </w:p>
    <w:p>
      <w:pPr>
        <w:ind w:left="820" w:right="20" w:hanging="326"/>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actiVAR</w:t>
      </w:r>
      <w:r>
        <w:rPr>
          <w:rFonts w:ascii="Arial" w:cs="Arial" w:eastAsia="Arial" w:hAnsi="Arial"/>
          <w:sz w:val="18"/>
          <w:szCs w:val="18"/>
          <w:color w:val="auto"/>
        </w:rPr>
        <w:t>®</w:t>
      </w:r>
      <w:r>
        <w:rPr>
          <w:rFonts w:ascii="Arial" w:cs="Arial" w:eastAsia="Arial" w:hAnsi="Arial"/>
          <w:sz w:val="18"/>
          <w:szCs w:val="18"/>
          <w:i w:val="1"/>
          <w:iCs w:val="1"/>
          <w:color w:val="auto"/>
        </w:rPr>
        <w:t xml:space="preserve"> Systems</w:t>
      </w:r>
      <w:r>
        <w:rPr>
          <w:rFonts w:ascii="Arial" w:cs="Arial" w:eastAsia="Arial" w:hAnsi="Arial"/>
          <w:sz w:val="18"/>
          <w:szCs w:val="18"/>
          <w:color w:val="auto"/>
        </w:rPr>
        <w:t>. Our actiVAR system is a fast-switching medium-voltage reactive compensation solution that utilizes passive, fast-switching,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transient-free switching devices. The actiVAR mitigates voltage sags and reduces large inrush currents associated with starting large medium-voltage motors across-the-line. Large motors require significant amounts of reactive power to start. The flow of VARs across the power system network results in voltage sags which cause power quality issues to nearby utility customers, as well as a reduction in the motors ability to start. Traditional solutions to solve these problems utilize complex and costly adjustable speed drives and synchronous transfer switchgear solutions. The actiVAR replaces these items at a fraction of the cost. The solution is prevalent in the pump and compressors stations utilized in industrial industries. Our actiVAR sales process begins with the Engineering and Procurement Companies during feasibility. We identify viable projects for this solution and assist with performance and rating calculations, which eventually lead to the adaption and purchase of the actiVAR solution.</w:t>
      </w:r>
    </w:p>
    <w:p>
      <w:pPr>
        <w:spacing w:after="0" w:line="223" w:lineRule="exact"/>
        <w:rPr>
          <w:rFonts w:ascii="Arial" w:cs="Arial" w:eastAsia="Arial" w:hAnsi="Arial"/>
          <w:sz w:val="18"/>
          <w:szCs w:val="18"/>
          <w:color w:val="auto"/>
        </w:rPr>
      </w:pPr>
    </w:p>
    <w:p>
      <w:pPr>
        <w:ind w:left="820" w:right="80" w:hanging="326"/>
        <w:spacing w:after="0" w:line="273"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armorVAR™ Systems</w:t>
      </w:r>
      <w:r>
        <w:rPr>
          <w:rFonts w:ascii="Arial" w:cs="Arial" w:eastAsia="Arial" w:hAnsi="Arial"/>
          <w:sz w:val="17"/>
          <w:szCs w:val="17"/>
          <w:color w:val="auto"/>
        </w:rPr>
        <w:t>. Our armorVAR systems consists of conventionally switched medium-voltage metal-enclosed capacitor banks and</w:t>
      </w:r>
      <w:r>
        <w:rPr>
          <w:rFonts w:ascii="Arial" w:cs="Arial" w:eastAsia="Arial" w:hAnsi="Arial"/>
          <w:sz w:val="17"/>
          <w:szCs w:val="17"/>
          <w:i w:val="1"/>
          <w:iCs w:val="1"/>
          <w:color w:val="auto"/>
        </w:rPr>
        <w:t xml:space="preserve"> </w:t>
      </w:r>
      <w:r>
        <w:rPr>
          <w:rFonts w:ascii="Arial" w:cs="Arial" w:eastAsia="Arial" w:hAnsi="Arial"/>
          <w:sz w:val="17"/>
          <w:szCs w:val="17"/>
          <w:color w:val="auto"/>
        </w:rPr>
        <w:t>harmonic filters banks. These systems are installed for reactive compensation, power factor correction, loss reduction, utility bill savings, and mitigation of common power quality concerns related to power converter-based generation and load devices. They are utilized in all industries including renewables, industrial, utility, commercial, mining, and petro-chemical industries. Our armorVAR systems also support the base VAR requirements of renewable power plants and can include fully integrated D-VAR and D-VAR VVO solutions to form more advanced hybrid solutions that are more economical and easier to install.</w:t>
      </w:r>
    </w:p>
    <w:p>
      <w:pPr>
        <w:spacing w:after="0" w:line="204" w:lineRule="exact"/>
        <w:rPr>
          <w:rFonts w:ascii="Arial" w:cs="Arial" w:eastAsia="Arial" w:hAnsi="Arial"/>
          <w:sz w:val="17"/>
          <w:szCs w:val="17"/>
          <w:color w:val="auto"/>
        </w:rPr>
      </w:pPr>
    </w:p>
    <w:p>
      <w:pPr>
        <w:jc w:val="both"/>
        <w:ind w:left="820" w:hanging="326"/>
        <w:spacing w:after="0" w:line="291"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D-VAR VVO®. </w:t>
      </w:r>
      <w:r>
        <w:rPr>
          <w:rFonts w:ascii="Arial" w:cs="Arial" w:eastAsia="Arial" w:hAnsi="Arial"/>
          <w:sz w:val="16"/>
          <w:szCs w:val="16"/>
          <w:color w:val="auto"/>
        </w:rPr>
        <w:t>Our D-VAR VVO serves the distribution power grid market. VVO is designed to be a direct-connect 15 kilovolt class power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system for a utility's distribution network to optimally control voltage as distribution networks are increasingly impacted by distributed generation, such as roof top and community solar. We believe VVO has the potential to save utilities time and money by avoiding costly options to increase the reliability and resiliency of the distribution grid and to allow utilities to build a “plug 'n play” network to serve the demands of modern energy consumers. Our VVO target markets are electric distribution grids incorporating distributed generation, including where utility grid modernization attributes such as the following are applicable: mandated efficiency upgrades, mass adoption of rooftop solar, community solar, utility-owned micro-grids, variable load conditions on the distribution grid and voltage regulations alternatives.</w:t>
      </w:r>
    </w:p>
    <w:p>
      <w:pPr>
        <w:spacing w:after="0" w:line="71" w:lineRule="exact"/>
        <w:rPr>
          <w:rFonts w:ascii="Arial" w:cs="Arial" w:eastAsia="Arial" w:hAnsi="Arial"/>
          <w:sz w:val="16"/>
          <w:szCs w:val="16"/>
          <w:color w:val="auto"/>
        </w:rPr>
      </w:pPr>
    </w:p>
    <w:p>
      <w:pPr>
        <w:jc w:val="both"/>
        <w:ind w:left="820" w:hanging="326"/>
        <w:spacing w:after="0" w:line="296"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REG Systems</w:t>
      </w:r>
      <w:r>
        <w:rPr>
          <w:rFonts w:ascii="Arial" w:cs="Arial" w:eastAsia="Arial" w:hAnsi="Arial"/>
          <w:sz w:val="16"/>
          <w:szCs w:val="16"/>
          <w:color w:val="auto"/>
        </w:rPr>
        <w:t>. Our REG system has two primary applications that increase the reliability and the capacity of the urban infrastructure.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focused on reliability improvement, the REG system is used in a “ring” or “loop” configuration to interconnect nearby urban 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We believe a utility installing our REG system could double or quadruple its reliability (e.g. N-1 to N-2, or greater) by</w:t>
      </w:r>
    </w:p>
    <w:p>
      <w:pPr>
        <w:sectPr>
          <w:pgSz w:w="11900" w:h="16838" w:orient="portrait"/>
          <w:cols w:equalWidth="0" w:num="1">
            <w:col w:w="11240"/>
          </w:cols>
          <w:pgMar w:left="320" w:top="584" w:right="339" w:bottom="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networking substations, which is a solution that utilities would generally not consider when using conventional technology due to the disruptive nature and economic disadvantages of conventional technology in urban settings. For applications focused on capacity improvement, the REG system can be used in a “branch” configuration. In this application, the REG system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high-power handling capacity with fault current limiting characteristics - features that are attributable to our proprietary Amperium HTS wire.</w:t>
      </w:r>
    </w:p>
    <w:p>
      <w:pPr>
        <w:spacing w:after="0" w:line="17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25" w:right="339"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b w:val="1"/>
          <w:bCs w:val="1"/>
          <w:i w:val="1"/>
          <w:iCs w:val="1"/>
          <w:color w:val="auto"/>
        </w:rPr>
        <w:t>Marine market overview</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Defense spending has increased over the past six years as the U.S. military moves to rebuild and retool for competition against other great powers. In March 2021, the Department of Defense submitted the Navy’s 2021 shipbuilding plan to Congress, covering government fiscal years 2022 to 2051, which if fully carried out, would represent the largest naval buildup since the Reagan Administration in the 1980s.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2020, the Navy’s fleet numbered 290 battle force ships—aircraft carriers, submarines, surface combatants, amphibious ships, combat logistics ships, and some support ships. The Navy’s 2021 shipbuilding plan reflects its 2016 force structure assessment and sets a goal of building and maintaining a fleet of 355 battle force ships.</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Since WWII, the Navy fleet has protected its warfare vessels with copper-based degaussing systems. Our HTS-based degaussing system provides world class mine protection while reducing the weight of the degaussing system by 50-80%, and reducing energy consumption.</w:t>
      </w:r>
    </w:p>
    <w:p>
      <w:pPr>
        <w:spacing w:after="0" w:line="1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our HTS systems are an enabling technology for the Navy in its mission to create an all-electric ship (Super Ship). Our HTS-based SPS degaussing system has been designed into the San Antonio-class amphibious warfare ship platform, starting with LPD 28. AMSC and the U.S. Navy have collaborated on AMSC’s advanced HTS-based ship protection systems. The core components of the ship protection system are common and transferable to other applications being targeted for ship implementation.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Navy fleets worldwide face various challenges, including:</w:t>
      </w:r>
    </w:p>
    <w:p>
      <w:pPr>
        <w:spacing w:after="0" w:line="225" w:lineRule="exact"/>
        <w:rPr>
          <w:sz w:val="20"/>
          <w:szCs w:val="20"/>
          <w:color w:val="auto"/>
        </w:rPr>
      </w:pPr>
    </w:p>
    <w:p>
      <w:pPr>
        <w:jc w:val="both"/>
        <w:ind w:left="820" w:hanging="326"/>
        <w:spacing w:after="0" w:line="261" w:lineRule="auto"/>
        <w:tabs>
          <w:tab w:leader="none" w:pos="820" w:val="left"/>
        </w:tabs>
        <w:numPr>
          <w:ilvl w:val="0"/>
          <w:numId w:val="11"/>
        </w:numPr>
        <w:rPr>
          <w:rFonts w:ascii="Arial" w:cs="Arial" w:eastAsia="Arial" w:hAnsi="Arial"/>
          <w:sz w:val="21"/>
          <w:szCs w:val="21"/>
          <w:color w:val="auto"/>
        </w:rPr>
      </w:pPr>
      <w:r>
        <w:rPr>
          <w:rFonts w:ascii="Arial" w:cs="Arial" w:eastAsia="Arial" w:hAnsi="Arial"/>
          <w:sz w:val="17"/>
          <w:szCs w:val="17"/>
          <w:i w:val="1"/>
          <w:iCs w:val="1"/>
          <w:color w:val="auto"/>
        </w:rPr>
        <w:t xml:space="preserve">Power Capacity. </w:t>
      </w:r>
      <w:r>
        <w:rPr>
          <w:rFonts w:ascii="Arial" w:cs="Arial" w:eastAsia="Arial" w:hAnsi="Arial"/>
          <w:sz w:val="17"/>
          <w:szCs w:val="17"/>
          <w:color w:val="auto"/>
        </w:rPr>
        <w:t>Today’s Navy continues to see increased demand for more power applied from both on and off the ship (shore power). This</w:t>
      </w:r>
      <w:r>
        <w:rPr>
          <w:rFonts w:ascii="Arial" w:cs="Arial" w:eastAsia="Arial" w:hAnsi="Arial"/>
          <w:sz w:val="17"/>
          <w:szCs w:val="17"/>
          <w:i w:val="1"/>
          <w:iCs w:val="1"/>
          <w:color w:val="auto"/>
        </w:rPr>
        <w:t xml:space="preserve"> </w:t>
      </w:r>
      <w:r>
        <w:rPr>
          <w:rFonts w:ascii="Arial" w:cs="Arial" w:eastAsia="Arial" w:hAnsi="Arial"/>
          <w:sz w:val="17"/>
          <w:szCs w:val="17"/>
          <w:color w:val="auto"/>
        </w:rPr>
        <w:t>need is driven by many factors, including the continued development of high-power density advanced weapons systems and sensors. Many power dense applications that naval engineers are working on today are already relying on the independent development of improved power distribution systems for its implementation. Free Electron Lasers, High Power Radar, Laser Self Defense Systems, Electro Magnetic Rail Guns and Active Denial (Directed Energy) systems are just a few of the Navy applications that we believe will demand higher capacity and more efficient energy transfer before deployment to a platform in the fleet can be realized.</w:t>
      </w:r>
    </w:p>
    <w:p>
      <w:pPr>
        <w:spacing w:after="0" w:line="92"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Space and Weight Limitations. </w:t>
      </w:r>
      <w:r>
        <w:rPr>
          <w:rFonts w:ascii="Arial" w:cs="Arial" w:eastAsia="Arial" w:hAnsi="Arial"/>
          <w:sz w:val="18"/>
          <w:szCs w:val="18"/>
          <w:color w:val="auto"/>
        </w:rPr>
        <w:t>Advances in sensors and weapons for modern ship applications are expected to drive the need for new power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be light and compact, for weapons’ power draw to be more efficiently cooled and for easing installation on new ships and enabling upgrades on existing ones.</w:t>
      </w:r>
    </w:p>
    <w:p>
      <w:pPr>
        <w:spacing w:after="0" w:line="108" w:lineRule="exact"/>
        <w:rPr>
          <w:rFonts w:ascii="Arial" w:cs="Arial" w:eastAsia="Arial" w:hAnsi="Arial"/>
          <w:sz w:val="22"/>
          <w:szCs w:val="22"/>
          <w:color w:val="auto"/>
        </w:rPr>
      </w:pPr>
    </w:p>
    <w:p>
      <w:pPr>
        <w:jc w:val="both"/>
        <w:ind w:left="820" w:hanging="326"/>
        <w:spacing w:after="0" w:line="283" w:lineRule="auto"/>
        <w:tabs>
          <w:tab w:leader="none" w:pos="820" w:val="left"/>
        </w:tabs>
        <w:numPr>
          <w:ilvl w:val="0"/>
          <w:numId w:val="11"/>
        </w:numPr>
        <w:rPr>
          <w:rFonts w:ascii="Arial" w:cs="Arial" w:eastAsia="Arial" w:hAnsi="Arial"/>
          <w:sz w:val="19"/>
          <w:szCs w:val="19"/>
          <w:color w:val="auto"/>
        </w:rPr>
      </w:pPr>
      <w:r>
        <w:rPr>
          <w:rFonts w:ascii="Arial" w:cs="Arial" w:eastAsia="Arial" w:hAnsi="Arial"/>
          <w:sz w:val="16"/>
          <w:szCs w:val="16"/>
          <w:i w:val="1"/>
          <w:iCs w:val="1"/>
          <w:color w:val="auto"/>
        </w:rPr>
        <w:t xml:space="preserve">Efficiency. </w:t>
      </w:r>
      <w:r>
        <w:rPr>
          <w:rFonts w:ascii="Arial" w:cs="Arial" w:eastAsia="Arial" w:hAnsi="Arial"/>
          <w:sz w:val="16"/>
          <w:szCs w:val="16"/>
          <w:color w:val="auto"/>
        </w:rPr>
        <w:t>Increased power demands for routine (peace time) operations are straining the conventional copper based power cable systems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currently used. The copper cables are very heavy, cumbersome, and hard to handle. The weight of the cables requires a coordinated effort between a crew on the pier and a crew on the ship. In many instances, handling these cables requires the use of a crane or a boom truck to extend them from the pier-side power substations up to the ship’s connection point. More efficient, compact, lighter weight power transfer and distribution systems are expected to be required for tomorrow’s Navy to satisfy its future mission requirements.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 for the marine market</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Each Navy ship can be thought of as having its own power grid. We provide advanced ship protection systems, power management, and power generation systems that are designed to help fleets increase system efficiencies, enhance warfare capabilities, and boost reliability, performance and security. Our systems support the Navy’s mission to “electrify the fleet”. Our systems allow for the ship to generate a large amount of electrical power and distribute the power through an in-board power system to a propulsion motor by way of a much smaller, lighter, and higher performing HTS cable system, enabling a more advanced, reliable, and secure solution with a smaller footprint. Our solutions include:</w:t>
      </w:r>
    </w:p>
    <w:p>
      <w:pPr>
        <w:spacing w:after="0" w:line="176" w:lineRule="exact"/>
        <w:rPr>
          <w:sz w:val="20"/>
          <w:szCs w:val="20"/>
          <w:color w:val="auto"/>
        </w:rPr>
      </w:pPr>
    </w:p>
    <w:p>
      <w:pPr>
        <w:jc w:val="both"/>
        <w:ind w:left="980" w:hanging="324"/>
        <w:spacing w:after="0" w:line="282" w:lineRule="auto"/>
        <w:tabs>
          <w:tab w:leader="none" w:pos="980" w:val="left"/>
        </w:tabs>
        <w:numPr>
          <w:ilvl w:val="0"/>
          <w:numId w:val="12"/>
        </w:numPr>
        <w:rPr>
          <w:rFonts w:ascii="Arial" w:cs="Arial" w:eastAsia="Arial" w:hAnsi="Arial"/>
          <w:sz w:val="19"/>
          <w:szCs w:val="19"/>
          <w:color w:val="auto"/>
        </w:rPr>
      </w:pPr>
      <w:r>
        <w:rPr>
          <w:rFonts w:ascii="Arial" w:cs="Arial" w:eastAsia="Arial" w:hAnsi="Arial"/>
          <w:sz w:val="16"/>
          <w:szCs w:val="16"/>
          <w:i w:val="1"/>
          <w:iCs w:val="1"/>
          <w:color w:val="auto"/>
        </w:rPr>
        <w:t>Ship Protection Systems</w:t>
      </w:r>
      <w:r>
        <w:rPr>
          <w:rFonts w:ascii="Arial" w:cs="Arial" w:eastAsia="Arial" w:hAnsi="Arial"/>
          <w:sz w:val="16"/>
          <w:szCs w:val="16"/>
          <w:color w:val="auto"/>
        </w:rPr>
        <w:t>. The primary focus of our SPS has been degaussing systems. These systems reduce a naval ship’s magnetic</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 making it much more difficult for a mine to detect and damage a ship. Traditionally made of heavy copper wire, degaussing is required on all U.S. Navy combat ships. Our HTS advanced degaussing system is lightweight, compact, and often outperforms its conventional counterpart. This HTS system is estimated to enable 50-80% reduction in total degaussing system weight, offering significant potential for fuel savings or options to add different payloads. The core components of a degaussing system are transferable to other applications being targeted for ship implementation. Our SPS has been designed into the San Antonio class of amphibious assault vessels. We are also seeking opportunities to propagate SPS throughout the surface fleet, creating a relatively long-term revenue stream.</w:t>
      </w:r>
    </w:p>
    <w:p>
      <w:pPr>
        <w:spacing w:after="0" w:line="79" w:lineRule="exact"/>
        <w:rPr>
          <w:rFonts w:ascii="Arial" w:cs="Arial" w:eastAsia="Arial" w:hAnsi="Arial"/>
          <w:sz w:val="19"/>
          <w:szCs w:val="19"/>
          <w:color w:val="auto"/>
        </w:rPr>
      </w:pPr>
    </w:p>
    <w:p>
      <w:pPr>
        <w:jc w:val="both"/>
        <w:ind w:left="980" w:hanging="324"/>
        <w:spacing w:after="0" w:line="282" w:lineRule="auto"/>
        <w:tabs>
          <w:tab w:leader="none" w:pos="980" w:val="left"/>
        </w:tabs>
        <w:numPr>
          <w:ilvl w:val="0"/>
          <w:numId w:val="12"/>
        </w:numPr>
        <w:rPr>
          <w:rFonts w:ascii="Arial" w:cs="Arial" w:eastAsia="Arial" w:hAnsi="Arial"/>
          <w:sz w:val="19"/>
          <w:szCs w:val="19"/>
          <w:color w:val="auto"/>
        </w:rPr>
      </w:pPr>
      <w:r>
        <w:rPr>
          <w:rFonts w:ascii="Arial" w:cs="Arial" w:eastAsia="Arial" w:hAnsi="Arial"/>
          <w:sz w:val="16"/>
          <w:szCs w:val="16"/>
          <w:i w:val="1"/>
          <w:iCs w:val="1"/>
          <w:color w:val="auto"/>
        </w:rPr>
        <w:t>In Board Power Delivery Systems</w:t>
      </w:r>
      <w:r>
        <w:rPr>
          <w:rFonts w:ascii="Arial" w:cs="Arial" w:eastAsia="Arial" w:hAnsi="Arial"/>
          <w:sz w:val="16"/>
          <w:szCs w:val="16"/>
          <w:color w:val="auto"/>
        </w:rPr>
        <w:t>. We are working on expanding HTS technology into the fleet through a variety of applications,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board power flow and management. The Navy continues to see increased demand for more power. This need is driven by many factors, including the continued development of high power density advanced weapons systems and sensors. Many power dense applications that naval engineers are working on today are already relying on improved power distribution systems for their implementation and deployment. Free Electron Lasers, High Power Radar, Laser Self Defense Systems, Electro Magnetic Rail Guns and Active Denial (Directed Energy) systems are just a few of the Navy applications that will demand higher capacity and more efficient energy transfer before deployment to a platform in the fleet can be realized. Continued space and weight limitations for these ship applications are expected to drive the need for new power solutions to be light and compact, easing installation on new ships and enabling upgrades on existing ones. Our HTS power cables enable high density energy transfer at unsurpassed efficiency levels in a compact, lightweight package.</w:t>
      </w:r>
    </w:p>
    <w:p>
      <w:pPr>
        <w:spacing w:after="0" w:line="79" w:lineRule="exact"/>
        <w:rPr>
          <w:rFonts w:ascii="Arial" w:cs="Arial" w:eastAsia="Arial" w:hAnsi="Arial"/>
          <w:sz w:val="19"/>
          <w:szCs w:val="19"/>
          <w:color w:val="auto"/>
        </w:rPr>
      </w:pPr>
    </w:p>
    <w:p>
      <w:pPr>
        <w:jc w:val="both"/>
        <w:ind w:left="980" w:hanging="324"/>
        <w:spacing w:after="0" w:line="24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Power Generation Systems</w:t>
      </w:r>
      <w:r>
        <w:rPr>
          <w:rFonts w:ascii="Arial" w:cs="Arial" w:eastAsia="Arial" w:hAnsi="Arial"/>
          <w:sz w:val="18"/>
          <w:szCs w:val="18"/>
          <w:color w:val="auto"/>
        </w:rPr>
        <w:t>. We are also working on expanding HTS technology into the fleet through a variety of applications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generation and electric propulsion. The same HTS technology used in SPS and in board power delivery systems when applied to rotating machines results in high power density motors and generators. This enables dramatically more power to be produced in the same machinery space used for conventional systems, which in turn affords the Navy additional power for high energy density weapons without significant structural changes to the ship.</w:t>
      </w:r>
    </w:p>
    <w:p>
      <w:pPr>
        <w:spacing w:after="0" w:line="107" w:lineRule="exact"/>
        <w:rPr>
          <w:rFonts w:ascii="Arial" w:cs="Arial" w:eastAsia="Arial" w:hAnsi="Arial"/>
          <w:sz w:val="22"/>
          <w:szCs w:val="22"/>
          <w:color w:val="auto"/>
        </w:rPr>
      </w:pPr>
    </w:p>
    <w:p>
      <w:pPr>
        <w:jc w:val="both"/>
        <w:ind w:left="980" w:hanging="324"/>
        <w:spacing w:after="0" w:line="241"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Propulsion systems. </w:t>
      </w:r>
      <w:r>
        <w:rPr>
          <w:rFonts w:ascii="Arial" w:cs="Arial" w:eastAsia="Arial" w:hAnsi="Arial"/>
          <w:sz w:val="18"/>
          <w:szCs w:val="18"/>
          <w:color w:val="auto"/>
        </w:rPr>
        <w:t>Our development work in power generation systems for the Navy extends to HTS-based electric power propulsion. In</w:t>
      </w:r>
      <w:r>
        <w:rPr>
          <w:rFonts w:ascii="Arial" w:cs="Arial" w:eastAsia="Arial" w:hAnsi="Arial"/>
          <w:sz w:val="18"/>
          <w:szCs w:val="18"/>
          <w:i w:val="1"/>
          <w:iCs w:val="1"/>
          <w:color w:val="auto"/>
        </w:rPr>
        <w:t xml:space="preserve"> </w:t>
      </w:r>
      <w:r>
        <w:rPr>
          <w:rFonts w:ascii="Arial" w:cs="Arial" w:eastAsia="Arial" w:hAnsi="Arial"/>
          <w:sz w:val="18"/>
          <w:szCs w:val="18"/>
          <w:color w:val="auto"/>
        </w:rPr>
        <w:t>board power delivery systems and power generation systems, when applied to high power density motors, enable the transition to electric propulsion. This is expected to make new ships more fuel-efficient. Our technology and systems allow the Navy to free up space for additional war-fighting capability.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11" w:name="page12"/>
    <w:bookmarkEnd w:id="11"/>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market overview</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global energy mix is transitioning towards an increasing amount of renewable energy, including wind power. Wind power is unlimited in supply and its generation is a zero-emission process. Wind power has become a major pillar of power supply throughout the world. Wind power is expected to play a key role in the achievement of the objectives of the Paris Climate Change agreement and the Sustainable Development Goals.</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According to GlobalData, a research firm, approximately 84 GW of wind generation capacity were added worldwide in calendar 2020, as compared to 59 GW in calendar 2019. GlobalData anticipates that more than 87 GW of additional capacity will be added in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According to GlobalData, annual wind installations in India for calendar 2020 were 1.7 GW and for calendar 2021 are estimated to be 3 GW.</w:t>
      </w:r>
    </w:p>
    <w:p>
      <w:pPr>
        <w:spacing w:after="0" w:line="23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solutions for the wind market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170" w:lineRule="exact"/>
        <w:rPr>
          <w:sz w:val="20"/>
          <w:szCs w:val="20"/>
          <w:color w:val="auto"/>
        </w:rPr>
      </w:pPr>
    </w:p>
    <w:p>
      <w:pPr>
        <w:jc w:val="both"/>
        <w:ind w:left="820" w:hanging="326"/>
        <w:spacing w:after="0" w:line="241" w:lineRule="auto"/>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Electrical Control Systems. </w:t>
      </w:r>
      <w:r>
        <w:rPr>
          <w:rFonts w:ascii="Arial" w:cs="Arial" w:eastAsia="Arial" w:hAnsi="Arial"/>
          <w:sz w:val="18"/>
          <w:szCs w:val="18"/>
          <w:color w:val="auto"/>
        </w:rPr>
        <w:t>We provide full electrical control systems (“ECS”) to manufacturers of wind turbines designed by us. Our ECS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voltage, control power flows and maximize wind turbine efficiency, among other functions. To date, we have shipped enough core electrical components and complete ECS to power over 16,000 Megawatts (“MW”) of wind power. We believe our ECS represent approximately 5-10% of a wind turbine’s bill of materials.</w:t>
      </w:r>
    </w:p>
    <w:p>
      <w:pPr>
        <w:spacing w:after="0" w:line="107"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Wind Turbine Designs. </w:t>
      </w:r>
      <w:r>
        <w:rPr>
          <w:rFonts w:ascii="Arial" w:cs="Arial" w:eastAsia="Arial" w:hAnsi="Arial"/>
          <w:sz w:val="18"/>
          <w:szCs w:val="18"/>
          <w:color w:val="auto"/>
        </w:rPr>
        <w:t>We design and develop entire state-of-the-art onshore and offshore wind turbines with power ratings of 2 MWs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ECS needed to operate the wind turbines.</w:t>
      </w:r>
    </w:p>
    <w:p>
      <w:pPr>
        <w:spacing w:after="0" w:line="107"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Customer Support Services</w:t>
      </w:r>
      <w:r>
        <w:rPr>
          <w:rFonts w:ascii="Arial" w:cs="Arial" w:eastAsia="Arial" w:hAnsi="Arial"/>
          <w:sz w:val="18"/>
          <w:szCs w:val="18"/>
          <w:color w:val="auto"/>
        </w:rPr>
        <w:t>. We provide extensive customer support services to wind turbine manufacturers. These services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approach to the wind energy markets allows our customers to use our world-class turbine engineering capabilities while minimizing their research and development costs. These services and our advanced ECS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serve customers globally through a localized sales and field service presence in our core target markets. We have served over 100 customers in the grid market since our inception, including Commonwealth Edison, YMC Incorporated, the U.S. Navy, SSE plc in the United Kingdom, Consolidated Power Projects (Pty) Ltd in South Africa, Fuji Bridex in Singapore, Vestas Wind Systems A/S in Denmark, and Ergon Energy in Australia. Additionally, our sales personnel in the United States are supported by manufacturers' sales representatives. We have designed wind turbines for and licensed wind turbine designs to wind turbine manufacturing customers including Inox Wind Limited ("Inox") in India and Doosan Heavy Industries (“Doosan”) in Korea.</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fiscal 2020, EPC Services Company accounted for 13% of our total revenues. In fiscal 2019, Department of Homeland Security accounted for 10% of our total revenues. In fiscal 2018, Inox accounted for 34% of total revenues. No other customer accounted for more than 10% of our total revenues in each of fiscal 2020, 2019, and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Manufacturing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facilities and their primary functions are as follows:</w:t>
      </w:r>
    </w:p>
    <w:p>
      <w:pPr>
        <w:spacing w:after="0" w:line="225"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Ayer, Massachusetts — Corporate headquarters; Grid and Wind segment manufacturing, and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Westminster, Massachusetts - Grid segment manufacturing</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Pewaukee, Wisconsin — Grid segment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Richland, Washington — Grid segment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Klagenfurt, Austria —Wind segment project engineering, customer support and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Queensbury, New York — Grid segment manufacturing</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Milford, Connecticut - Grid segment manufacturing</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global footprint also includes sales and/or field service offices in Australia, India, South Korea, the United Kingdom and McLean, VA. During fiscal 2020 we closed facilities in Romania and China following the move of our Wind manufacturing to corporate headquarters.</w:t>
      </w:r>
    </w:p>
    <w:p>
      <w:pPr>
        <w:spacing w:after="0" w:line="170"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principal raw materials used in the manufacture of the Company’s products are nickel, silver, yttruim, copper, brass, and stainless steel. Major components are insulated gate bi-polar transistors, heatsinks, inductors, enclosures, transformers, and printed circuit boards. Most of these raw materials are</w:t>
      </w:r>
    </w:p>
    <w:p>
      <w:pPr>
        <w:sectPr>
          <w:pgSz w:w="11900" w:h="16969" w:orient="portrait"/>
          <w:cols w:equalWidth="0" w:num="1">
            <w:col w:w="11240"/>
          </w:cols>
          <w:pgMar w:left="320" w:top="584" w:right="339" w:bottom="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available from multiple sources in the United States and world markets. Generally, the Company believes that adequate alternative sources are available for the majority of its key raw material and purchased component needs, however, the Company is dependent on a single or limited number of suppliers for certain materials and components.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strategy is to serve customers locally in our core target markets through a direct sales force operating out of sales offices worldwide. In addition, we utilize manufacturers’ sales representatives in the United States and Canada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segment our operations into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adaptive VAR compensators, Dynamic voltage restorers (“DVRs”), and STATCOMs produced by ABB, Siemens, RXHK, NR Electric Co,. and Ingeteam, and battery-based uninterruptable power supply (“UPS”) systems offered by various companies around the world.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L3, Excelis, Raytheon, and Textron have the bulk of the copper-based business today.</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power module conversion equipment and our electrical control systems are designed and integrated into our wind turbine designs in a way to achieve maximum performance of the turbine. Typically, we are the exclusive provider of the power module conversion equipment and electrical control systems for our wind turbine designs. As a result, our power conversion equipment and electrical control systems see limited competition. Other companies that serve the wind turbine components industry include ABB, and Semikron. We also face indirect competition in the wind energy market from global manufacturers of wind turbines, such as Siemens Gamesa, General Electric, and Suzlon. We face competition for the supply of wind turbine engineering design services from design engineering firms such as Aerodyn.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Together with the international counterparts of our patents and patent applications, we own an extensive portfolio of patents and patent applications worldwide and have rights through exclusive and non-exclusive licenses. We believe that our current patent position, together with our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products as necessary. If companies holding patents or patent applications that we need to license are competitors, we believe the strength of our patent portfolio will improve our ability to enter into license or cross-license arrangements with these companies. We have already successfully negotiated cross-licenses with several competitors.</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Grid Patents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received patents and filed a significant number of additional patent applications on power quality and reliability systems, including our D-VAR products. Our products are covered by patents and patents pending worldwide on both our systems and power converter products. The patents and applications focus on inventions that significantly improve product performance and reduce product costs, thereby providing a competitive advantage.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94" w:gutter="0" w:footer="0" w:header="0"/>
        </w:sectPr>
      </w:pPr>
    </w:p>
    <w:bookmarkStart w:id="14" w:name="page15"/>
    <w:bookmarkEnd w:id="14"/>
    <w:p>
      <w:pPr>
        <w:ind w:left="180"/>
        <w:spacing w:after="0"/>
        <w:rPr>
          <w:sz w:val="20"/>
          <w:szCs w:val="20"/>
          <w:color w:val="auto"/>
        </w:rPr>
      </w:pPr>
      <w:r>
        <w:rPr>
          <w:rFonts w:ascii="Arial" w:cs="Arial" w:eastAsia="Arial" w:hAnsi="Arial"/>
          <w:sz w:val="18"/>
          <w:szCs w:val="18"/>
          <w:b w:val="1"/>
          <w:bCs w:val="1"/>
          <w:i w:val="1"/>
          <w:iCs w:val="1"/>
          <w:color w:val="auto"/>
        </w:rPr>
        <w:t>HTS Patents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currently have non-exclusive rights to a fundamental U.S. patent (U.S. 8,060,169 B1) covering 2G and similar HTS wire and applications and may elect in the future to allow our rights under this license to lapse. However, we may have to obtain additional licenses to HTS materials.</w:t>
      </w:r>
    </w:p>
    <w:p>
      <w:pPr>
        <w:spacing w:after="0" w:line="1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and (ii) Alcatel-Lucent on the YBCO material.</w:t>
      </w:r>
    </w:p>
    <w:p>
      <w:pPr>
        <w:spacing w:after="0" w:line="1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extensive patents and patents pending covering applications of HTS wire, such as HTS fault current limiting technology including our fault current limiting cable, HTS rotating machines and ship protection systems. Since the superconductor rotating machine and the fault current limiting cable applications are relatively new, we believe that we have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Wind Patents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Under our Windtec™ Solutions brand, we design a variety of wind turbine systems and license these designs, including expertise and patent rights, to third parties for an upfront fee, plus in some cases, future royalties. Our wind turbine designs are covered by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In addition, we cannot provide any assurance that others, including our competitors, will not independently develop the same or comparable technology that is one of our trade secrets.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provide a safe and positive work environment for our employees that emphasizes respect for individuals and high standards of integrity. The health and safety of our employees is of utmost importance to us. During the COVID-19 pandemic, we have taken proactive measures to safeguard our employees and their families and the communities in which we live and work. We implemented social distancing policies at our locations around the world, maintained rigorous cleaning schedules, enabled non-manufacturing personnel to work from home and suspended all unnecessary local and international business travel. Recognizing and respecting our global presence, we strive to maintain a diverse and inclusive workforce everywhere we operate. As of March 31, 2021, we employed 225 persons. None of our employees is represented by a labor union.</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employees are the foundation of our success and that our future growth depends, in part, on our ability to continue to attract and retain the best and brightest talent, including key management professionals, scientists, engineers, researchers, manufacturing personnel, and marketing and sales professionals. In order for us to attract the best talent, we provide a collaborative, inclusive and innovative work environment, competitive compensation, and opportunities for our employees to grow. We are focused on continuing to build an inclusive culture that inspires leadership, encourages innovative thinking, and supports the development and advancement of all.</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human capital management objectives include attracting, incentivizing, and integrating our existing and future employees. We strive to attract and retain talented employees by offering competitive compensation and benefits that support their health and financial well-being.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document. We make available, free of charge, through our website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intend to disclose on our website any amendments to, or waivers of, our Code of Business Conduct and Ethics that are required to be disclosed pursuant to the SEC or the rules of the Nasdaq Stock Market,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and biographical summaries set forth below contain information with respect to our executive officers as of the date of this filing: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Daniel P. McGahn</w:t>
            </w:r>
          </w:p>
        </w:tc>
        <w:tc>
          <w:tcPr>
            <w:tcW w:w="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John W. Kosiba, Jr.</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240"/>
          </w:cols>
          <w:pgMar w:left="320" w:top="584" w:right="339" w:bottom="0" w:gutter="0" w:footer="0" w:header="0"/>
        </w:sectPr>
      </w:pPr>
    </w:p>
    <w:bookmarkStart w:id="15" w:name="page16"/>
    <w:bookmarkEnd w:id="15"/>
    <w:p>
      <w:pPr>
        <w:jc w:val="both"/>
        <w:ind w:firstLine="486"/>
        <w:spacing w:after="0" w:line="254" w:lineRule="auto"/>
        <w:rPr>
          <w:sz w:val="20"/>
          <w:szCs w:val="20"/>
          <w:color w:val="auto"/>
        </w:rPr>
      </w:pPr>
      <w:r>
        <w:rPr>
          <w:rFonts w:ascii="Arial" w:cs="Arial" w:eastAsia="Arial" w:hAnsi="Arial"/>
          <w:sz w:val="18"/>
          <w:szCs w:val="18"/>
          <w:i w:val="1"/>
          <w:iCs w:val="1"/>
          <w:color w:val="auto"/>
        </w:rPr>
        <w:t xml:space="preserve">Daniel P. McGahn </w:t>
      </w:r>
      <w:r>
        <w:rPr>
          <w:rFonts w:ascii="Arial" w:cs="Arial" w:eastAsia="Arial" w:hAnsi="Arial"/>
          <w:sz w:val="18"/>
          <w:szCs w:val="18"/>
          <w:color w:val="auto"/>
        </w:rPr>
        <w:t>joined us in December 2006 and has been chief executive officer and a member of our board of directors since June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since July 2018. He previously 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9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i w:val="1"/>
          <w:iCs w:val="1"/>
          <w:color w:val="auto"/>
        </w:rPr>
        <w:t xml:space="preserve">John W. Kosiba, Jr. </w:t>
      </w:r>
      <w:r>
        <w:rPr>
          <w:rFonts w:ascii="Arial" w:cs="Arial" w:eastAsia="Arial" w:hAnsi="Arial"/>
          <w:sz w:val="17"/>
          <w:szCs w:val="17"/>
          <w:color w:val="auto"/>
        </w:rPr>
        <w:t>was appointed senior vice president, chief financial officer and treasurer effective April 4, 2017. Mr. Kosiba joined us as</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finance operations, in June 2010. He then served as vice president, finance operations, from September 2011 to May 2013. Prior to his appointment as senior vice president and chief financial officer, Mr. Kosiba served most recently as senior vice president, Gridtec solutions and finance operations, where he was responsible for (i) overseeing finance and accounting operations, budgeting, strategic planning and financial planning and analysis for the company, and (ii) managing the day-to-day business operations of our Gridtec solutions’ business segment. From January 2008 until June 2010, Mr. Kosiba served as division director and controller of Amphenol Aerospace, a division of Amphenol Corporation and a manufacturer of interconnect products for the military, commercial aerospace and industrial markets. In this role, Mr. Kosiba was responsible for overseeing finance, accounting, budgeting, audit and all aspects of financial planning and analysis for the division.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which may continue in the future. Our operating results may fluctuate significantly from quarter to quarter and may fall below expectations in any particular fiscal quarter.</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were not profitable in fiscal 2020 and have recorded net losses in two of the last three fiscal years. While we did report net income of $26.8 million for the fiscal year ended March 31, 2019, it was largely as a result of the receipt of payments from Sinovel Wind Group Co. Ltd. pursuant to the terms of the Settlement Agreement described further herein. We may not be profitable in fiscal 2021 or future years.</w:t>
      </w:r>
    </w:p>
    <w:p>
      <w:pPr>
        <w:spacing w:after="0" w:line="18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There is currently substantial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In addition, we have in the past, and may continue to, provide public guidance on our expected operating and financial results for future periods. Such guidance is comprised of forward-looking statements subject to the risks and uncertainties described in this Annual Report on Form 10-K and in our other public filings and statements. Our actual results may not always be in line with or exceed the guidance we have provided. If our revenue or operating results fall below the expectations of investors or any securities analysts that follow our company in any period or we do not meet our guidance, the trading price of our common stock would likely decline.</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negative operating cash flows, and we may require additional financing in the future, which may not be available to us.</w:t>
      </w:r>
    </w:p>
    <w:p>
      <w:pPr>
        <w:spacing w:after="0" w:line="2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31, 2021, we had approximately $80.7 million of cash, cash equivalents, marketable securities and restricted cash, and during the fiscal year ended March 31, 2021, we used $8.7 million in cash for our operating activities. We have historically experienced net losses, although we did report net income of $26.8 million for the fiscal year ended March 31, 2019. We plan to continue to closely monitor our expenses and, if required, will further reduce operating costs and capital spending to enhance liquidity.</w:t>
      </w:r>
    </w:p>
    <w:p>
      <w:pPr>
        <w:spacing w:after="0" w:line="18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liquidity is highly dependent on our ability to profitably grow our revenues, control our operating costs, and secure additional financing, if required. We may require additional capital to conduct our business and adequately respond to future business challenges or opportunities, including, but not limited to, the need to develop new products or enhance existing products, maintain or expand research and development projects, collateralize performance bonds or letters of credit, and the need to build inventory or to invest other cash to support business growth. In order to raise additional capital, we may offer shares of our common stock or other securities convertible into or exchangeable for our common stock. To the extent that we raise additional capital through the sale of equity or convertible debt securities, the ownership interest of each of our existing stockholders will be diluted, and the terms of these securities may include liquidation or other preferences that adversely affect the rights of our common stockholders.</w:t>
      </w:r>
    </w:p>
    <w:p>
      <w:pPr>
        <w:spacing w:after="0" w:line="166"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In the event that additional liquidity is required, there can be no assurance that such financing would be available or, if available, that such financing could be obtained upon terms acceptable to us, which would have a material adverse effect on our business, financial condition and prospects.</w:t>
      </w:r>
    </w:p>
    <w:p>
      <w:pPr>
        <w:spacing w:after="0" w:line="12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and to deliver letters of credit of significant magnitude. For example, as part of the agreement with Commonwealth Edison Company (“ComEd”) to install the Resilient Electric Grid (“REG”) system in Chicago, we delivered an irrevocable letter of credit in the amount of $5.0 million to secure certain of our obligations under the Subcontract Agreement and deposited $5.0 million in an escrow account as collateral to secure such letter of credit. Similarly, in many other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exchange rates could adversely affect our results of operations.</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Currency exchange rate fluctuations could have an adverse effect on our revenues and results of operations, and we could experience losses with respect to hedging activities. In fiscal 2020, 41% of our revenues were recognized from sales outside of the United States. In addition, approximately 17% of our revenues in fiscal 2020 were derived under sales contracts where prices were denominated in the Euro. Unfavorable currency fluctuations could require us to increase prices to foreign customers, which could result in a lesser number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However, we cannot be certain that our efforts will be adequate to protect us against significant currency fluctuations or that such efforts will not expose us to additional exchange rate risks.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983" w:gutter="0" w:footer="0" w:header="0"/>
        </w:sectPr>
      </w:pPr>
    </w:p>
    <w:bookmarkStart w:id="17" w:name="page18"/>
    <w:bookmarkEnd w:id="17"/>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and may lead investors and other users to lose confidence in our financial data.</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Maintaining effective internal control over financial reporting is necessary for us to produce reliable financial statements. In the quarter ended December 31, 2020, we identified a material weakness in our internal control over financial reporting. A material weakness is a deficiency, or a combination of deficiencies, in internal control over financial reporting, such that there is a reasonable possibility that a material misstatement of the financial statements will not be prevented or detected on a timely basis.</w:t>
      </w:r>
    </w:p>
    <w:p>
      <w:pPr>
        <w:spacing w:after="0" w:line="1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connection with the preparation of our financial statements for the Quarterly Report on Form 10-Q for the quarter ended December 31, 2020, we identified that a material weakness in our internal control over financial reporting existed, relating to our failure to maintain proper controls, processes and procedures over the initial purchase accounting and the continuing fair value accounting associated with the acquisition of Northeast Power Systems, Inc. (“NEPSI”) and related assets (the “NEPSI Acquisition”) that were adequately designed, documented and executed to support the accurate and timely reporting of our financial results. Specifically, the modeling assumptions and the calculation performed by our third-party valuation specialist as it relates to fair value accounting for contingent consideration on the purchase accounting for the NEPSI Acquisition included errors resulting in a $1.3 million overstatement in both the fair value of the earnout payment and the preliminary estimated purchase price paid to NEPSI that we failed to detect, which were reflected in Exhibit 99.3 of our Form 8-K/A filed with the SEC on December 14, 2020. Subsequently, we made post-closing adjustments necessary to properly reflect the fair value of the contingent consideration liability in the financial statements.</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management, with the oversight of our audit committee, took additional measures to remediate the underlying causes of the material weakness, which included the development and implementation of new procedures, policies, and processes, including revising precision level of management review controls and gaining additional assurance regarding timely completion of our outside service providers’ quality control procedures. Although the material weakness was remediated during the quarter ended March 31, 2021, if our remedial measures are insufficient to address the material weakness, or if additional material weaknesses or significant deficiencies in our internal control over financial reporting are discovered or occur in the future, our consolidated financial statements may contain material misstatements and we could be required to restate our financial results.</w:t>
      </w:r>
    </w:p>
    <w:p>
      <w:pPr>
        <w:spacing w:after="0" w:line="16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an investigation by regulatory authorities. Any such action or other negative results caused by our inability to meet our reporting requirements or to comply with legal and regulatory requirements or by our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realize all of the sales expected from our backlog of orders and contracts.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cannot assure you that we will realize the revenue we expect to generate from our backlog in the periods we expect to realize such revenue, or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This has had, and may continue to have, an adverse effect on our ability to grow our revenues. In addition, current and future suppliers may be less likely to grant us credit, resulting in a negative impact on our working capital and cash flows.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170" w:lineRule="exact"/>
        <w:rPr>
          <w:sz w:val="20"/>
          <w:szCs w:val="20"/>
          <w:color w:val="auto"/>
        </w:rPr>
      </w:pPr>
    </w:p>
    <w:p>
      <w:pPr>
        <w:ind w:left="500" w:hanging="19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certain rights to the intellectual property that we develop under the contract;</w:t>
      </w:r>
    </w:p>
    <w:p>
      <w:pPr>
        <w:spacing w:after="0" w:line="225" w:lineRule="exact"/>
        <w:rPr>
          <w:rFonts w:ascii="Arial" w:cs="Arial" w:eastAsia="Arial" w:hAnsi="Arial"/>
          <w:sz w:val="18"/>
          <w:szCs w:val="18"/>
          <w:color w:val="auto"/>
        </w:rPr>
      </w:pPr>
    </w:p>
    <w:p>
      <w:pPr>
        <w:ind w:left="500" w:hanging="195"/>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170" w:lineRule="exact"/>
        <w:rPr>
          <w:rFonts w:ascii="Arial" w:cs="Arial" w:eastAsia="Arial" w:hAnsi="Arial"/>
          <w:sz w:val="18"/>
          <w:szCs w:val="18"/>
          <w:color w:val="auto"/>
        </w:rPr>
      </w:pPr>
    </w:p>
    <w:p>
      <w:pPr>
        <w:ind w:left="500" w:hanging="19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debar us from doing business with the government or a specific government agency; and</w:t>
      </w:r>
    </w:p>
    <w:p>
      <w:pPr>
        <w:spacing w:after="0" w:line="225" w:lineRule="exact"/>
        <w:rPr>
          <w:rFonts w:ascii="Arial" w:cs="Arial" w:eastAsia="Arial" w:hAnsi="Arial"/>
          <w:sz w:val="18"/>
          <w:szCs w:val="18"/>
          <w:color w:val="auto"/>
        </w:rPr>
      </w:pPr>
    </w:p>
    <w:p>
      <w:pPr>
        <w:ind w:left="500" w:hanging="195"/>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pursue criminal or civil remedies under the False Claims Act, False Statements Act and similar remedy provisions unique to government contracting.</w:t>
      </w:r>
    </w:p>
    <w:p>
      <w:pPr>
        <w:sectPr>
          <w:pgSz w:w="11900" w:h="16838" w:orient="portrait"/>
          <w:cols w:equalWidth="0" w:num="1">
            <w:col w:w="11240"/>
          </w:cols>
          <w:pgMar w:left="320" w:top="584" w:right="339" w:bottom="169" w:gutter="0" w:footer="0" w:header="0"/>
        </w:sectPr>
      </w:pPr>
    </w:p>
    <w:bookmarkStart w:id="18" w:name="page19"/>
    <w:bookmarkEnd w:id="18"/>
    <w:p>
      <w:pPr>
        <w:jc w:val="both"/>
        <w:ind w:firstLine="486"/>
        <w:spacing w:after="0" w:line="270" w:lineRule="auto"/>
        <w:rPr>
          <w:sz w:val="20"/>
          <w:szCs w:val="20"/>
          <w:color w:val="auto"/>
        </w:rPr>
      </w:pPr>
      <w:r>
        <w:rPr>
          <w:rFonts w:ascii="Arial" w:cs="Arial" w:eastAsia="Arial" w:hAnsi="Arial"/>
          <w:sz w:val="17"/>
          <w:szCs w:val="17"/>
          <w:color w:val="auto"/>
        </w:rPr>
        <w:t>All of our U.S. government contracts, as well as certain of our contracts with third parties that are dependent on U.S. government contracts, can be terminated by the U.S. government for its convenience, including our contract with the Department of Homeland Security (“DHS”) to deploy our REG system in ComEd’s electric grid in Chicago, Illinois (“Project REG”). Termination-for-convenience provisions typically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 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In addition, government shutdowns could prevent or delay such contracts from being funded.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firstLine="486"/>
        <w:spacing w:after="0" w:line="257" w:lineRule="auto"/>
        <w:rPr>
          <w:sz w:val="20"/>
          <w:szCs w:val="20"/>
          <w:color w:val="auto"/>
        </w:rPr>
      </w:pPr>
      <w:r>
        <w:rPr>
          <w:rFonts w:ascii="Arial" w:cs="Arial" w:eastAsia="Arial" w:hAnsi="Arial"/>
          <w:sz w:val="18"/>
          <w:szCs w:val="18"/>
          <w:color w:val="auto"/>
        </w:rPr>
        <w:t>We cannot be certain that our U.S. government contracts, including our contract for Project REG, or our contracts with third parties that relate to projects for the U.S. government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financial condition and results of operations.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Since March 2020, COVID-19 has spread throughout the globe, including in the Commonwealth of Massachusetts where our headquarters are located, and in other areas where we have business operations. In response to the outbreak, we have followed the guidelines of the U.S. Centers for Disease Control and Prevention ("CDC") and applicable state government authorities to protect the health and safety of our employees, their families, our suppliers, our customers and our communities. While these existing measures, and COVID-19 generally, have not materially disrupted our business to date, any future actions necessitated by the COVID-19 pandemic may result in disruption to our business.</w:t>
      </w:r>
    </w:p>
    <w:p>
      <w:pPr>
        <w:spacing w:after="0" w:line="17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suppliers may become adversely impacted by the COVID-19 pandemic. As a result, we could face delays or difficulty sourcing products, which could negatively affect our business and financial results. Even if we are able to find alternate sources for such products, they may cost more, which could adversely impact our profitability and financial condition.</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Inox’s ability to perform under the supply contract has been and may continue to be hampered by the prolonged impacts of the COVID-19 pandemic. Our other customers may become adversely impacted by the prolonged impacts of the COVID-19 pandemic. As a result of the deterioration in economic conditions, our customers and potential customers may reduce demand for our products, decrease their spending or reconsider orders, all of which would adversely affect our business, operating results and financial condition.</w:t>
      </w:r>
    </w:p>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COVID-19 pandemic continues to evolve. The extent to which the outbreak impacts our business, liquidity, results of operations and financial condition will depend on future developments, which are highly uncertain and cannot be predicted with confidence, including the duration of the pandemic, the location, duration and magnitude of future waves of infection, new mutations of the virus, timing, effectiveness and adoption of vaccines, travel restrictions and social distancing in the United States and other countries, the duration and extent of business closures or business disruptions and the effectiveness of actions taken to contain and treat the disease. If we, our customers or suppliers experience prolonged shutdowns or other business disruptions, our business, liquidity, results of operations and financial condition and the trading price of our common stock are likely to be materially adversely affected, and our ability to access the capital markets may be limited.</w:t>
      </w:r>
    </w:p>
    <w:p>
      <w:pPr>
        <w:spacing w:after="0" w:line="17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Changes in U.S. Government Defense Spending Could Negatively Impact Our Financial Position, Results of Operations, Liquidity and Overall Business.</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several contracts with the U.S. government, including defense-related programs with the U.S. Department of Defense. Changes in U.S. government defense spending for various reasons, including as a result of potential changes in policy positions or priorities that may result from the recent U.S. presidential and congressional election, could negatively impact our results of operations, financial condition and liquidity.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 In recent years, U.S. government appropriations have been affected by larger U.S. government budgetary issues and related legislation. In prior years, the U.S. government has been unable to timely complete its budget process before the end of its fiscal year, resulting in governmental shut-downs or providing only enough funds for U.S. government agencies to continue operating at prior-year levels. Significant changes in U.S. government defense spending or changes in U.S. government priorities, policies and requirements could have a material adverse effect on our results of operations, financial condition and liquidity.</w:t>
      </w:r>
    </w:p>
    <w:p>
      <w:pPr>
        <w:spacing w:after="0" w:line="166"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b w:val="1"/>
          <w:bCs w:val="1"/>
          <w:i w:val="1"/>
          <w:iCs w:val="1"/>
          <w:color w:val="auto"/>
        </w:rPr>
        <w:t>We rely upon third-party suppliers for the components and subassemblies of many of our Grid and Wind products, making us vulnerable to supply shortages and price fluctuations, which could harm our business.</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14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including the COVID-19 pandemic,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Uncertainty surrounding our prospects and financial condition may have an adverse effect on our customer and supplier relationships.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support working capital needs of large-scale projects.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re-establishing our HTS wire production capability in our Ayer, Massachusetts facility.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part of our effort to increase manufacturing efficiency, we moved from our former manufacturing facility located in Devens, Massachusetts to our smaller-scale leased facility located in Ayer, Massachusetts. Moving our HTS wire manufacturing operations to a different plant involves various risks, including the inability to commence HTS wire manufacturing within the cost and time frame estimated and the inability to produce a high-quality product with an acceptable yield and cost. Failure to successfully commence the manufacturing of our HTS wire due to these and other unforeseen risks could adversely affect our ability to meet customer demand for our products and could increase the cost of production versus projections, both of which could adversely impact our operating and financial results.</w:t>
      </w:r>
    </w:p>
    <w:p>
      <w:pPr>
        <w:sectPr>
          <w:pgSz w:w="11900" w:h="16838" w:orient="portrait"/>
          <w:cols w:equalWidth="0" w:num="1">
            <w:col w:w="11240"/>
          </w:cols>
          <w:pgMar w:left="320" w:top="584" w:right="339" w:bottom="0" w:gutter="0" w:footer="0" w:header="0"/>
        </w:sectPr>
      </w:pPr>
    </w:p>
    <w:bookmarkStart w:id="20" w:name="page21"/>
    <w:bookmarkEnd w:id="20"/>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Historically, a significant portion of our revenues have been derived from a single customer. If this customer’s business is negatively affected, it could adversely impact our business.</w:t>
      </w:r>
    </w:p>
    <w:p>
      <w:pPr>
        <w:spacing w:after="0" w:line="1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Revenues from Inox are supported by a supply contract to purchase, and a license to make, use and supply, wind turbine ECS. Inox has been active in the new central and state government auction regime in India and has over 1,350 MW of orders from the first four Solar Energy Corporation of India Limited (“SECI”) central government auctions, and 50 MW from the Maharashtra state government auction. However, we cannot predict if and how successful Inox will be in executing on these orders or in obtaining new orders under the new central and state auction regime. In addition, Inox’s ability to perform under the supply contract has been and may continue to be hampered by the prolonged impacts of the COVID-19 pandemic. Since March 2020, India’s manufacturing facilities have been closed at the direction of India’s government and are expected to remain closed for so long as the impacted regions remain highly affected by COVID-19. Any failure by Inox to succeed under this regime, or any delay in Inox’s ability to deliver its wind turbines, could result in fewer ECS shipments to Inox. Inox has historically failed to post letters of credit and take delivery of forecasted ECS quantities. If Inox again fails to post letters of credit and take delivery of forecasted ECS quantities, cancels, does not otherwise fully perform under the supply contract or discontinues future purchases from us under the supply contract, then our business, operating results and financial position could be adversely affected.</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in addressing the wind energy market is dependent on the manufacturers that license our designs.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business and operations would be adversely impacted in the event of a failure or security breach of our information technology infrastructure.</w:t>
      </w:r>
    </w:p>
    <w:p>
      <w:pPr>
        <w:spacing w:after="0" w:line="26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rely upon the capacity, reliability, and security of our information technology hardware and software infrastructure and our ability to expand and update this infrastructure in response to our changing needs. Any failure to manage, expand, and update our information technology infrastructure or any failure in the operation of this infrastructure could harm our business. In addition, the costs associated with updating and securing our information technology infrastructure are likely to increase as such security measures become more complex, which may harm our operating results and financial condition.</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Despite our implementation of security measures, our systems are vulnerable to damages from computer viruses, natural disasters, unauthorized access and other similar disruptions. Our business is also subject to break-ins, sabotage, and intentional acts of vandalism by third parties as well as employees. Our business activities in China may increase our risks to such breaches. Any system failure, accident, or security breach could result in disruptions to our operations. To the extent that any disruption or security breach results in a loss or damage to our data, or inappropriate disclosure of confidential information, it could harm our reputation, result in substantial remediation costs, lead to lost revenues and litigation, increase our insurance premiums and have other adverse effects on our business.</w:t>
      </w:r>
    </w:p>
    <w:p>
      <w:pPr>
        <w:spacing w:after="0" w:line="19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Failure to comply with evolving data privacy and data protection laws and regulations or to otherwise protect personal data, may adversely impact our business and financial results.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many rapidly evolving privacy and data protection laws and regulations in Europe and around the world. This requires us to operate in a complex environment where there are significant constraints on how we can process personal data across our business. The European General Data Protection Regulation (the “GDPR”), which became effective in May 2018, has established stringent data protection requirements for companies doing business in or handling personal data of individuals in the European Union. The GDPR imposes obligations on data controllers and processors including the requirement to maintain a record of their data processing and to implement policies and procedures as part of their mandated privacy governance framework. Breaches of the GDPR could result in substantial fines, which in some cases could be up to four percent of our worldwide revenue. In addition, a breach of the GDPR or other data privacy or data protection laws or regulations could result in regulatory investigations, reputational damage, orders to cease/change our use of data, enforcement notices, as well potential civil claims including class action type litigation. There is a risk that we may be subject to fines and penalties, litigation and reputational harm if we fail to properly process or protect the data or privacy of third parties or comply with the GDPR, CCPA or other applicable data privacy and data protection regimes.</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Many of our revenue opportunities are dependent upon subcontractors and other business collaborators.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14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financial performance could be harmed.</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and system-level products.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ability to implement our business strategy could also be affected by a number of factors beyond our control, such as increased competition, legal developments, government regulation, general economic conditions, including as a result of the COVID-19 pandemic, or increased operating costs or expenses.</w:t>
      </w:r>
    </w:p>
    <w:p>
      <w:pPr>
        <w:spacing w:after="0" w:line="18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Consistent with customary practice in our industry, we guarantee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potentially in excess of our reserves. Furthermore, widespread product failures may damage our market reputation and reduce our market share and cause sales to decline.</w:t>
      </w:r>
    </w:p>
    <w:p>
      <w:pPr>
        <w:spacing w:after="0" w:line="192" w:lineRule="exact"/>
        <w:rPr>
          <w:sz w:val="20"/>
          <w:szCs w:val="20"/>
          <w:color w:val="auto"/>
        </w:rPr>
      </w:pPr>
    </w:p>
    <w:p>
      <w:pPr>
        <w:ind w:left="140" w:right="140"/>
        <w:spacing w:after="0" w:line="381" w:lineRule="auto"/>
        <w:rPr>
          <w:sz w:val="20"/>
          <w:szCs w:val="20"/>
          <w:color w:val="auto"/>
        </w:rPr>
      </w:pPr>
      <w:r>
        <w:rPr>
          <w:rFonts w:ascii="Arial" w:cs="Arial" w:eastAsia="Arial" w:hAnsi="Arial"/>
          <w:sz w:val="15"/>
          <w:szCs w:val="15"/>
          <w:b w:val="1"/>
          <w:bCs w:val="1"/>
          <w:i w:val="1"/>
          <w:iCs w:val="1"/>
          <w:color w:val="auto"/>
        </w:rPr>
        <w:t>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w:t>
      </w:r>
    </w:p>
    <w:p>
      <w:pPr>
        <w:spacing w:after="0" w:line="10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66"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b w:val="1"/>
          <w:bCs w:val="1"/>
          <w:i w:val="1"/>
          <w:iCs w:val="1"/>
          <w:color w:val="auto"/>
        </w:rPr>
        <w:t>We have had limited success marketing and selling our superconductor products and system-level solutions, and our failure to more broadly market and sell our products and solutions could lower our revenue and cash flow.</w:t>
      </w:r>
    </w:p>
    <w:p>
      <w:pPr>
        <w:spacing w:after="0" w:line="1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To date, we have had limited success marketing and selling our superconductor products and system-level solutions. Once our products and solutions are ready for widespread commercial use, we will have to develop a marketing and sales organization that will effectively demonstrate the advantages of our products over more traditional products, competing superconductor products and other technologies. We may not be successful in our efforts to market this technology and we may not be able to establish an effective sales and distribution organization.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spacing w:after="0" w:line="18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recent acquisitions require substantial integration and management efforts. As a result of any additional acquisition we pursue, management’s attention and resources may be further diverted from our other businesses. An acquisition may also involve the payment of a significant purchase price, which could reduce our cash position or dilute our stockholders and require significant transaction-related expenses.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225" w:lineRule="exact"/>
        <w:rPr>
          <w:sz w:val="20"/>
          <w:szCs w:val="20"/>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management or other key personnel that may harm relationships with the acquired business’s customers and employees;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liabilities of the acquired business;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and employees’ attention from other business matters as a result of the integration process;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mistaken assumptions about volumes, revenues and costs associated with the acquired business, including synergies;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 used to finance the acquisition; and</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difficulties operating in new product areas, with new customers, or in new geographic areas.</w:t>
      </w:r>
    </w:p>
    <w:p>
      <w:pPr>
        <w:sectPr>
          <w:pgSz w:w="11900" w:h="16838" w:orient="portrait"/>
          <w:cols w:equalWidth="0" w:num="1">
            <w:col w:w="11240"/>
          </w:cols>
          <w:pgMar w:left="320" w:top="584" w:right="339" w:bottom="0" w:gutter="0" w:footer="0" w:header="0"/>
        </w:sectPr>
      </w:pPr>
    </w:p>
    <w:bookmarkStart w:id="23" w:name="page24"/>
    <w:bookmarkEnd w:id="23"/>
    <w:p>
      <w:pPr>
        <w:ind w:firstLine="486"/>
        <w:spacing w:after="0" w:line="342" w:lineRule="auto"/>
        <w:rPr>
          <w:sz w:val="20"/>
          <w:szCs w:val="20"/>
          <w:color w:val="auto"/>
        </w:rPr>
      </w:pPr>
      <w:r>
        <w:rPr>
          <w:rFonts w:ascii="Arial" w:cs="Arial" w:eastAsia="Arial" w:hAnsi="Arial"/>
          <w:sz w:val="16"/>
          <w:szCs w:val="16"/>
          <w:color w:val="auto"/>
        </w:rPr>
        <w:t>We cannot provide any assurance that we will realize any of the anticipated benefits of any acquisition, including our NEPSI Acquisition in October 2020, and Neeltran, Inc. acquisition completed in May 2021, and if we fail to realize these anticipated benefits, our operating performance could suffer.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Our Markets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Our success depends upon the commercial adoption of the REG system, which is currently limited, and a widespread commercial market for our products may not develop.</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date, there has been no widespread commercial use of the REG system. It is uncertain whether a robust commercial market for those new and unproven products will ever develop.</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we believe in-grid demonstrations of REG systems are necessary to convince utilities and power grid operators of the benefits of this technology. Even if a project is funded, completion of projects can be delayed as a result of other factors. It is possible that the market demands we currently anticipate for our REG system will not develop and that they will never achieve widespread commercial acceptance. In such event, we would not be able to implement our strategy, and our results of operations could be reduced or eliminated. Even if a commercial market for our REG systems were to develop, commercial terms requested by utilities and power grid operators relating to bonding requirements, limitations of liability, warranty periods, or other contractual provisions, may not be acceptable to us, which could impede our ability to enter into contractual arrangements for the sale of our REG system.</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changes in domestic and global economic conditions could adversely affect our operating results.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become increasingly subject to the risks arising from adverse changes in domestic and global economic conditions. In recent years, and particularly in fiscal 2020 as a result of the COVID-19 pandemic, the state of both the domestic and global economies has been uncertain due to the difficulty in obtaining credit, and financial market volatility. Adverse credit conditions in the future could have a negative impact on our ability to execute on future strategic activities. In addition, if credit is difficult to obtain in the future, some customers may delay or reduce purchases. Similarly, inflationary pressures may increase our costs or force us to increase prices for our products. These events could result in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17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w:t>
      </w:r>
    </w:p>
    <w:p>
      <w:pPr>
        <w:spacing w:after="0" w:line="18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have operations in India and in recent years a significant portion of our total revenues has been derived from customers in this market. Our financial performance depends upon our ability to carry on our operations and sell our products in markets such as India,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public health emergencies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financial performance could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 including events in and related to Afghanistan and Iraq.</w:t>
      </w:r>
    </w:p>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Operations in foreign countries also expose us to risks relating to difficulties in enforcing our proprietary rights, currency fluctuations and adverse or deteriorating economic conditions.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i w:val="1"/>
          <w:iCs w:val="1"/>
          <w:color w:val="auto"/>
        </w:rPr>
        <w:t>Our products face competition, which could limit our ability to acquire or retain customers.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markets for our products are competitive and many of our competitors have substantially greater financial resources and research and development, manufacturing and marketing capabilities than we do. In addition, as our target markets develop, other large industrial companies may enter these fields and compete with us.</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adaptive VAR compensators, Dynamic voltage restorers (“DVRs”), and STATCOMs produced by ABB, Siemens, RXHK, NR Electric Co,. and Ingeteam, and battery-based uninterruptible power supply (“UPS”) systems offered by various companies around the world.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L3, Excelis, Raytheon, and Textron have the bulk of the copper-based business today.</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With respect to our Wind business, other companies that serve the wind turbine components industry include ABB, Hopewind, and Semikron. We also face indirect competition in the wind energy market from global manufacturers of wind turbines, such as Siemens Gamesa, General Electric, and Suzlon. We face competition for the supply of wind turbine engineering design services from design engineering firms such as Aerodyn.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international operations are subject to risks that we do not face in the United States, which could have an adverse effect on our operating results.</w:t>
      </w:r>
    </w:p>
    <w:p>
      <w:pPr>
        <w:spacing w:after="0" w:line="2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recent years, a substantial amount of our consolidated revenues were recognized from customers outside of the United States. For example, 41% of our revenues in fiscal 2020 and 51% of our revenues in fiscal 2019 were recognized from sales outside the United States. We also manufacture certain of our products and purchase a portion of our raw materials and components from suppliers in other foreign countries. Our international operations are subject to a variety of risks that we do not face in the United States, including:</w:t>
      </w:r>
    </w:p>
    <w:p>
      <w:pPr>
        <w:spacing w:after="0" w:line="187"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13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75"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pandemics, political unrest, war or acts of terrorism.</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Trade tensions between the U.S. and China, as well as those between the U.S. and Canada, Mexico and other countries have been escalating in recent years. For example, the prior U.S. presidential administration imposed tariffs on products imported from China in recent years, which had an impact on our products and supplies imported from China to the U.S., and the Chinese government countered with additional retaliatory tariffs on U.S. manufactured goods. We cannot predict whether the United States or any other country will impose new quotas, tariffs, taxes or other trade barriers upon the importation or exportation of our products or gauge the effect that new barriers would have on our financial position or results of operations. These new tariffs or any additional tariffs or other trade barriers may cause our costs to increase, our products to be less competitive, and our business, results of operations and financial position to be materially adversely affected.</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increasing losses.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Growth of the wind energy market depends largely on the availability and size of government subsidies, economic incentives and legislative programs designed to support the growth of wind energy.</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In the United States, various legislation and regulations designed to support the growth of wind energy have been implemented or proposed by the federal government, such as the Production Tax Credit for Renewable Energy (“PTC”) and the Clean Power Plan. Governments, including the U.S. government, may decide to reduce or eliminate these economic incentives, or curtail legislative programs supportive of wind energy technologies for political, financial or other reasons. Any reductions in, or eliminations of, government subsidies, economic incentives or favorable legislative programs before the wind energy industry reaches a sufficient scale to be cost-effective in a non-subsidized marketplace could reduce demand for our products and adversely affect our business prospects and results of operations.</w:t>
      </w:r>
    </w:p>
    <w:p>
      <w:pPr>
        <w:spacing w:after="0" w:line="1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Lower prices for other fuel sources may reduce the demand for wind energy development, which could have a material adverse effect on our ability to grow our Wind business.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wind energy market is affected by the price and availability of other fuels, including nuclear, coal, natural gas and oil, as well as other sources of renewable energy. To the extent renewable energy, particularly wind energy, becomes less cost-competitive due to reduced government targets, increases in the cost of wind energy, as a result of new regulations, and incentives that favor alternative renewable energy, cheaper alternatives or otherwise, demand for wind energy and other forms of renewable energy could decrease. Slow growth or a long-term reduction in the demand for renewable energy could have a material adverse effect on our ability to grow our Wind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patents may not provide meaningful protection for our technology, which could result in us losing some or all of our market position.</w:t>
      </w:r>
    </w:p>
    <w:p>
      <w:pPr>
        <w:spacing w:after="0" w:line="24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2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5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both"/>
        <w:ind w:right="20" w:firstLine="162"/>
        <w:spacing w:after="0" w:line="308" w:lineRule="auto"/>
        <w:rPr>
          <w:sz w:val="20"/>
          <w:szCs w:val="20"/>
          <w:color w:val="auto"/>
        </w:rPr>
      </w:pPr>
      <w:r>
        <w:rPr>
          <w:rFonts w:ascii="Arial" w:cs="Arial" w:eastAsia="Arial" w:hAnsi="Arial"/>
          <w:sz w:val="17"/>
          <w:szCs w:val="17"/>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1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6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17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common stock has experienced, and may continue to experience, market price and volume fluctuations, which may prevent our stockholders from selling our common stock at a profit and could lead to costly litigation against us that could divert our management’s attention.</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market price of our common stock has historically experienced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as in connection with the ongoing coronavirus outbreak. Such broad market fluctuations have and could continue to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litigation costs, a damages award against us and the further diversion of our management’s attention.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Unfavorable results of legal proceedings could have a material adverse effect on our business, operating results and financial condition.</w:t>
      </w:r>
    </w:p>
    <w:p>
      <w:pPr>
        <w:spacing w:after="0" w:line="23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we may become subject to legal proceedings and claims that arise in or outside the ordinary course of business. Results of legal proceedings cannot be predicted with certainty.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legal proceedings could have a material adverse effect on our business, operating results or financial condition. Regardless of merit, legal proceedings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7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corporate headquarters, Grid and Wind manufacturing operations are located in a leased 88,000-square-foot facility in Ayer, Massachusetts. Additionally, we have Grid manufacturing operations located in a leased 77,500 square-foot facility in Westminster, Massachusetts as well as an owned 35,000 square-foot facility in Queensbury, New York.</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also occupy leased facilities located in Australia, Austria, India, Wisconsin, Washington and the United Kingdom with a combined total of approximately 72,000 square feet of space. These leases have varying expiration dates through November 2027 which can generally be terminated at our request after a six-month advance notice. These locations focus primarily on research and development, sales and/or field service and do not have significant leases or physical presence. We believe all of these facilities are well-maintained and suitable for their intended uses.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regarding our significant properties, as of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4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Supporting</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Square footage</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Owned/Leased</w:t>
            </w:r>
          </w:p>
        </w:tc>
      </w:tr>
      <w:tr>
        <w:trPr>
          <w:trHeight w:val="21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Ayer, Massachusetts</w:t>
            </w:r>
          </w:p>
        </w:tc>
        <w:tc>
          <w:tcPr>
            <w:tcW w:w="3880" w:type="dxa"/>
            <w:vAlign w:val="bottom"/>
          </w:tcPr>
          <w:p>
            <w:pPr>
              <w:ind w:left="320"/>
              <w:spacing w:after="0"/>
              <w:rPr>
                <w:sz w:val="20"/>
                <w:szCs w:val="20"/>
                <w:color w:val="auto"/>
              </w:rPr>
            </w:pPr>
            <w:r>
              <w:rPr>
                <w:rFonts w:ascii="Arial" w:cs="Arial" w:eastAsia="Arial" w:hAnsi="Arial"/>
                <w:sz w:val="18"/>
                <w:szCs w:val="18"/>
                <w:color w:val="auto"/>
              </w:rPr>
              <w:t>Corporate &amp; Grid Segment</w:t>
            </w:r>
          </w:p>
        </w:tc>
        <w:tc>
          <w:tcPr>
            <w:tcW w:w="1560" w:type="dxa"/>
            <w:vAlign w:val="bottom"/>
            <w:gridSpan w:val="2"/>
          </w:tcPr>
          <w:p>
            <w:pPr>
              <w:jc w:val="right"/>
              <w:ind w:right="330"/>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Westminster, Massachusetts</w:t>
            </w: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Grid Segment</w:t>
            </w:r>
          </w:p>
        </w:tc>
        <w:tc>
          <w:tcPr>
            <w:tcW w:w="1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77,500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Queensbury, New York</w:t>
            </w:r>
          </w:p>
        </w:tc>
        <w:tc>
          <w:tcPr>
            <w:tcW w:w="3880" w:type="dxa"/>
            <w:vAlign w:val="bottom"/>
          </w:tcPr>
          <w:p>
            <w:pPr>
              <w:ind w:left="320"/>
              <w:spacing w:after="0"/>
              <w:rPr>
                <w:sz w:val="20"/>
                <w:szCs w:val="20"/>
                <w:color w:val="auto"/>
              </w:rPr>
            </w:pPr>
            <w:r>
              <w:rPr>
                <w:rFonts w:ascii="Arial" w:cs="Arial" w:eastAsia="Arial" w:hAnsi="Arial"/>
                <w:sz w:val="18"/>
                <w:szCs w:val="18"/>
                <w:color w:val="auto"/>
              </w:rPr>
              <w:t>Grid Segment</w:t>
            </w:r>
          </w:p>
        </w:tc>
        <w:tc>
          <w:tcPr>
            <w:tcW w:w="1560" w:type="dxa"/>
            <w:vAlign w:val="bottom"/>
            <w:gridSpan w:val="2"/>
          </w:tcPr>
          <w:p>
            <w:pPr>
              <w:jc w:val="right"/>
              <w:ind w:right="33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418"/>
        </w:trPr>
        <w:tc>
          <w:tcPr>
            <w:tcW w:w="12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LEGAL PROCEEDINGS</w:t>
            </w: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460" w:hanging="1457"/>
        <w:spacing w:after="0" w:line="277" w:lineRule="auto"/>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has been listed on the Nasdaq Global Select Market under the symbol “AMSC” since 1991.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holders of record of our common stock on May 28, 2021 was 178.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graph compares the cumulative total stockholder return on our common stock from March 31, 2016 to March 31, 2021 with the cumulative total return of (i) the Nasdaq Composite Index and (ii) the Nasdaq Electrical Components &amp; Equipment Index.</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graph assumes the investment of $100.00 on March 31, 2016 in our common stock, the Nasdaq Composite Index and the Nasdaq Electrical Components &amp; Equipment Index, and assumes any dividends are reinvested. Measurement points are March 31, 2016; March 31, 2017; March 31, 2018; March 31, 2019; March 31, 2020; and March 31, 2021.</w:t>
      </w:r>
    </w:p>
    <w:p>
      <w:pPr>
        <w:spacing w:after="0" w:line="180"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COMPARISON OF 5 YEAR CUMULATIVE TOTAL RETURN Among American Superconductor Corporation, the Nasdaq Composite Index and the Nasdaq Electrical Components &amp;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57495" cy="3617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5749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Company/Index</w:t>
            </w:r>
          </w:p>
        </w:tc>
        <w:tc>
          <w:tcPr>
            <w:tcW w:w="120" w:type="dxa"/>
            <w:vAlign w:val="bottom"/>
            <w:vMerge w:val="restart"/>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7"/>
              </w:rPr>
              <w:t>Fiscal year ended March 31,</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Superconductor Corporation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76.58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122.88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148.39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165.30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286.62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Electrical Components &amp; Equipment Index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126.01</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140.76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139.85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9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84" w:lineRule="exact"/>
        <w:rPr>
          <w:sz w:val="20"/>
          <w:szCs w:val="20"/>
          <w:color w:val="auto"/>
        </w:rPr>
      </w:pPr>
    </w:p>
    <w:p>
      <w:pPr>
        <w:jc w:val="both"/>
        <w:ind w:left="520" w:hanging="229"/>
        <w:spacing w:after="0" w:line="296"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our Gridtec™ Solutions, our Grid business segment enables electric utilities and renewable energy project developers to connect,</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66" w:lineRule="exact"/>
        <w:rPr>
          <w:rFonts w:ascii="Arial" w:cs="Arial" w:eastAsia="Arial" w:hAnsi="Arial"/>
          <w:sz w:val="16"/>
          <w:szCs w:val="16"/>
          <w:color w:val="auto"/>
        </w:rPr>
      </w:pPr>
    </w:p>
    <w:p>
      <w:pPr>
        <w:jc w:val="both"/>
        <w:ind w:left="520" w:hanging="229"/>
        <w:spacing w:after="0" w:line="25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our Windtec™ Solutions, our Wind business segment enables manufacturers to field wind turbines with exceptional power output,</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93"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2020 refers to the fiscal year beginning on April 1, 2020. Other fiscal years follow similarly.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both"/>
        <w:ind w:firstLine="486"/>
        <w:spacing w:after="0" w:line="286" w:lineRule="auto"/>
        <w:rPr>
          <w:sz w:val="20"/>
          <w:szCs w:val="20"/>
          <w:color w:val="auto"/>
        </w:rPr>
      </w:pPr>
      <w:r>
        <w:rPr>
          <w:rFonts w:ascii="Arial" w:cs="Arial" w:eastAsia="Arial" w:hAnsi="Arial"/>
          <w:sz w:val="16"/>
          <w:szCs w:val="16"/>
          <w:color w:val="auto"/>
        </w:rPr>
        <w:t>On October 31, 2018, we entered into a Subcontract Agreement with Commonwealth Edison Company (“ComEd”) (the “Subcontract Agreement”) for the manufacture and installation of our resilient electric grid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ourselves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have agreed, among other things, to provide the REG system and to supervise ComEd’s installation of the REG system in Chicago. As part of our separate cost sharing arrangement with DHS under the Prime Contract, we expect funding provided by DHS in connection with the Subcontract Agreement to be between $9.0 to $11.0 million, which represents the total amount of revenues we are expected to recognize over the term of the Subcontract Agreement and includes up to $1.0 million that we have agreed to reimburse ComEd for costs incurred by ComEd while undertaking its tasks under the Subcontract Agreement (the "Reimbursement Amount”). In addition, we have agreed to deliver an irrevocable letter of credit in the amount of $5.0 million to secure certain obligations under the Subcontract Agreement, which we have done, and deposited $5.0 million in an escrow account as collateral to secure such letter of credit. ComEd has agreed to provide the site and provide all civil engineering work required to support the installation, operation and integration of the REG system into ComEd’s electric grid. Other than the Reimbursement Amount, ComEd is responsible for its own costs and expenses. Substation work on the project began in late 2019, and we have delivered the REG project hardware. The REG system is expected to be operational in 2021.</w:t>
      </w:r>
    </w:p>
    <w:p>
      <w:pPr>
        <w:spacing w:after="0" w:line="16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October 1, 2020,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73"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NEPSI purchase price was $26.0 million in cash on hand, including cash from the settlement of our $25 million certificate of deposit during the three months ended September 30, 2020, and 873,657 restricted shares of our common stock. As part of the transaction, in the future, the selling stockholders may receive up to an additional 1,000,000 restricted shares of our common stock upon the achievement of certain specified future revenue objectives during varying periods of up to four years after the closing.</w:t>
      </w:r>
    </w:p>
    <w:p>
      <w:pPr>
        <w:spacing w:after="0" w:line="18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October 26, 2020, we completed an offering of 3,670,000 shares of our common stock at a public offering price of $15.00 per share under our then-existing Registration Statement on Form S-3. We received net proceeds of approximately $51.5 million after deducting underwriting discounts and commissions and offering expenses. See Note 1, “Nature of the Business and Operations and Liquidity,” for further information about this offering.</w:t>
      </w:r>
    </w:p>
    <w:p>
      <w:pPr>
        <w:spacing w:after="0" w:line="14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May 6, 2021, we acquired all of the issued and outstanding shares of capital stock of (i) Neeltran, Inc., a Connecticut corporation (“Neeltran”) that supplies rectifiers and transformers to industrial customers, and (ii) Neeltran International, Inc., a Connecticut corporation (“International”), as well as the real property that served as Neeltran’s headquarters. For additional information, see “Liquidity and Capital Resources” below.</w:t>
      </w:r>
    </w:p>
    <w:p>
      <w:pPr>
        <w:spacing w:after="0" w:line="14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2020, COVID-19 was declared a pandemic and spread throughout the globe, including in the Commonwealth of Massachusetts where our headquarters are located, and in other areas where we have business operations. In response to the outbreak, we have followed the guidelines of the U.S. Centers for Disease Control and Prevention (“CDC”) and applicable state government authorities to protect the health and safety of our employees, their families, our suppliers, our customers and our communities. While these measures and, COVID-19 generally, have not materially disrupted our business to date, any future actions necessitated by the COVID-19 pandemic may result in disruption to our business.</w:t>
      </w:r>
    </w:p>
    <w:p>
      <w:pPr>
        <w:spacing w:after="0" w:line="1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COVID-19 pandemic continues to rapidly evolve. The extent to which the outbreak impacts our business, liquidity, results of operations and financial condition will depend on future developments, which are highly uncertain and cannot be predicted with confidence, including the continued geographic spread of the disease, the duration of the pandemic, the location, duration and magnitude of future waves of infection, new mutations of the virus, availability and adoption of vaccines, effectiveness of vaccines against the virus and its mutations, travel restrictions and social distancing in the United States, the European Union, India and other countries, the duration and extent of business closures or business disruptions and the effectiveness of actions taken to contain and treat the disease.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2021 and March 31, 2020</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our results of operations for the year ended March 31, 2019, including a year-to-year comparison between fiscal 2019 and fiscal 2018, refer to Part II, Item 7, “Management’s Discussion and Analysis of Financial Condition and Results of Operations” in our Annual Report on Form 10-K for the year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revenues increased by 36% to $87.1 million in fiscal 2020 from $63.8 million in fiscal 2019. Our revenues are summarized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420"/>
              <w:spacing w:after="0"/>
              <w:rPr>
                <w:sz w:val="20"/>
                <w:szCs w:val="20"/>
                <w:color w:val="auto"/>
              </w:rPr>
            </w:pPr>
            <w:r>
              <w:rPr>
                <w:rFonts w:ascii="Arial" w:cs="Arial" w:eastAsia="Arial" w:hAnsi="Arial"/>
                <w:sz w:val="18"/>
                <w:szCs w:val="18"/>
                <w:b w:val="1"/>
                <w:bCs w:val="1"/>
                <w:color w:val="auto"/>
              </w:rPr>
              <w:t>Fiscal Years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Grid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70,528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49,585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Wind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16,597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87,125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63,838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Revenues in our Grid business unit are derived from our D-VAR product sales, NEPSI product sales, HTS wire sales, ship protection systems ("SPS"), government-sponsored electric utility projects, license contracts and other prototype development contracts. We also engineer, install and commission our products on a turnkey-basis for some customers. The Grid business unit accounted for 81% of total revenues in fiscal 2020 and 78% in fiscal 2019. Grid revenues increased 42% to $70.5 million in fiscal 2020 from $49.6 million in fiscal 2019. The increase in revenues was driven by the contribution from the NEPSI Acquisition as well as growth in the D-VAR, Volt Var Optimization ("VVO") and SPS product lines.</w:t>
      </w:r>
    </w:p>
    <w:p>
      <w:pPr>
        <w:spacing w:after="0" w:line="1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Revenues in our Wind business unit are derived from wind turbine electrical control systems and core components, wind turbine license and development contracts, service contracts and consulting arrangements. Our Wind business unit accounted for 19% of total revenues in fiscal 2020 and 22% in fiscal 2019. Revenues in the Wind business unit increased 16% to $16.6 million in fiscal 2020 from $14.3 million in fiscal 2019. The increase over the prior year period was driven by increased shipments of Electrical Control Systems ("ECS") to Inox and an increase in spares revenue. As further described in Note 1 “Nature of the Business and Operations and Liquidity,” Inox was delinquent on its obligations to post letters of credit for sets of ECS that Inox had agreed to purchase under the terms of the supply contract, and on May 29, 2020, we sent written notice to Inox notifying Inox of its default under the supply contract due to Inox’s failure to post letters of credit in the amount of €6.0 million for the payment of ECS that Inox is obligated to purchase under the terms of the supply contract. On October 1, 2020, Inox delivered approved letters of credit for payment of the remaining ECS that Inox had been obligated to purchase as a result of its then existing forecast under the terms of the Supply Contract and cured the default set forth in the May 29, 2020 default notice. Should Inox submit a forecast for purchases under the Supply Contract in the future, its ability to perform its obligations with respect to such forecasted purchases may be hampered by the prolonged impacts of the COVID-19 pandemic, or otherwise. Inox has been active in the new central and state government auction regime in India and has a cumulative order book of over 1.4 GW. However,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Cost of revenues increased by 28% to $69.7 million in fiscal 2020, compared to $54.4 million in fiscal 2019. Gross margin increased to 20% in fiscal 2020 from 15% in fiscal 2019. The increase in gross margin in fiscal 2020 was driven by additional revenues and a more favorable product mix. Cost of revenues in fiscal 2020 includes $0.5 million for amortization on our backlog intangible asset as result of the NEPSI Acquisition. In addition, a fair value purchase adjustment of approximately $1.0 million for the step-up basis assigned to acquired inventory, to properly reflect the fair value in purchase accounting, was charged to cost of revenues in the fiscal year ended March 31, 2021. The step up was assigned to acquired work-in-progress and finished goods inventory that were completely delivered during fiscal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(“R&amp;D”) expenses increased by 15% to $11.0 million, or 13% of revenue in fiscal 2020, compared to $9.6 million, or 15% of revenue, in fiscal 2019. The increase in R&amp;D expenses is a result of additional compensation expense, additional stock compensation expenses and higher outside services expenses.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Selling, general and administrative (“SG&amp;A”) expenses increased by 12% to $25.3 million, or 29% of revenue in fiscal 2020 from $22.7 million, or 36% of revenue, in fiscal 2019. The increase in SG&amp;A expenses is primarily the result of higher compensation, higher stock compensation expense and additional outside services expenses.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recorded $1.2 million in fiscal 2020 and $0.3 million in fiscal 2019 in amortization expense related to our core technology and know-how, customer relationships, and other intangible assets. The increase in amortization expense is primarily a result of the NEPSI Acquisition.</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loss of $3.0 million in the year ended March 31, 2021. The change in the fair value was primarily driven by the change in our stock price, which is a key valuation metric. There was no contingent consideration for the fiscal year ended March 31, 2020.</w:t>
      </w:r>
    </w:p>
    <w:p>
      <w:pPr>
        <w:sectPr>
          <w:pgSz w:w="11900" w:h="16882" w:orient="portrait"/>
          <w:cols w:equalWidth="0" w:num="1">
            <w:col w:w="11240"/>
          </w:cols>
          <w:pgMar w:left="320" w:top="584" w:right="33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Fiscal Years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411"/>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(13,318)</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(13,508)</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(7,699)</w:t>
            </w:r>
          </w:p>
        </w:tc>
      </w:tr>
      <w:tr>
        <w:trPr>
          <w:trHeight w:val="230"/>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(6,545)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(1,922)</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(23,129)</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sectPr>
      </w:pPr>
    </w:p>
    <w:p>
      <w:pPr>
        <w:spacing w:after="0" w:line="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Grid segment generated an operating loss of $13.3 million in fiscal 2020 and $13.5 million in fiscal 2019. The operating loss held relatively steady despite an increase in revenue primarily due to the acquisition related adjustments in cost of revenues discussed above.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Wind segment generated an operating loss of $3.3 million in fiscal 2020 and $7.7 million in fiscal 2019. The decrease in operating loss for fiscal 2020 was driven by improved gross margins due to additional revenues as well as less operating expenses.</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Unallocated corporate expenses in fiscal 2020 consisted of a loss on contingent consideration of $3.0 million and stock-based compensation expense of $3.5 million. Unallocated corporate expenses in fiscal 2019 consisted of stock-based compensation expense of $1.9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warrants outstanding as of March 31, 2021 and 2020. The change in the fair value of warrants of $4.6 million in the year ended March 31, 2020 was primarily due to changes in our stock price, which is a key valuation metric, as well as the exercise in June 2019 of warrants previously issued to Hercules Technology Growth Capital, Inc. (the “Hercules Warrants”) in June 2019 and the exercise and expiration in November 2019 of warrants previously issued to Hudson Bay Capital (the “Hudson Warrants”) in November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Interest income, net was $0.4 million in fiscal 2020 compared to $1.3 million for fiscal 2019. The decrease in interest income, net, was driven primarily by higher cash balances in the first half of fiscal 2019 as well as lower interest rates applicable in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expense, net was $0.8 million in fiscal 2020, compared to other income, net of $0.3 million in fiscal 2019. The decrease in other income, net was due to foreign currency losses in fiscal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recorded an income tax benefit of $0.8 million in fiscal 2020 compared to income tax expense of $0.2 million in fiscal 2019. The decrease in income tax expense is a result of purchase accounting for the acquired intangible assets and the resulting deferred tax liability from the NEPSI Acquisition. The Company recorded a deferred tax liability of $1.7 million, primarily for the difference in book and tax basis on the intangible assets acquired in fiscal 2020. As a result, the Company was able to benefit additional deferred tax assets and therefore released a corresponding valuation allowance of $1.7 million during the fiscal year ended March 31, 2021. The tax benefit was offset during the fiscal year for income tax expense in foreign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loss was $22.7 million in fiscal 2020, compared to net loss of $17.1 million in fiscal 2019. The increase in net loss was driven primarily by the loss on contingent consideration of $3.0 million and additional amortization expenses tied to the NEPSI Acquisition.</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the “Risk Factors” section in Part I, Item 1A, for a discussion of certain factors that may affect our future results of operations and financial condition.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generally accepted accounting principles in the United States (“GAAP”). The non-GAAP measures included in this Form 10-K, however, should be considered in addition to, and not as a substitute for or superior to the comparable measure prepared in accordance with GAAP.</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define non-GAAP net loss as net loss before stock-based compensation, amortization of acquisition-related intangibles, acquisition costs, changes in fair value of contingent consideration and warrants,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Year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Acquisition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 and warrants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Non-GAAP net loss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(14,123)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(19,482)</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Non-GAAP net loss per share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 and diluted</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8"/>
              </w:rPr>
              <w:t>23,879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20,985</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incurred non-GAAP net losses of $14.1 million or $0.59 per share for fiscal 2020, compared to $19.5 million, or $0.93 per share, for fiscal 2019. The decrease in non-GAAP net loss in fiscal 2020 compared to fiscal 2019 was driven by higher revenues, a more favorable product mix and the change in fair value of contingent consideration and warrants.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a description and reconciliation of our other non-GAAP financial measure, non-GAAP operating cash flow, see below under “Non-GAAP Financial Measure – Non-GAAP Operating Cash Flow.”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experienced recurring operating losses and as of March 31, 2021 had an accumulated deficit of $1,001.3 million.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described above, on October 1, 2020, we acquired NEPSI. The NEPSI purchase price was $26.0 million in cash, which included cash from the settlement of our $25 million certificate of deposit during the three months ended September 30, 2020, and 873,657 restricted shares of our common stock. As part of the transaction, the selling stockholders may receive up to an additional 1,000,000 restricted shares of our common stock upon the achievement of certain specified revenue objectives in the future.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described above, on October 26, 2020, we completed an offering of 3,670,000 shares of our common stock at a public offering price of $15.00 per share. We received net proceeds of approximately $51.5 million after deducting underwriting discounts and commissions and offering expenses. In addition, we had granted the underwriters a 30-day option to purchase up to an additional 550,500 shares of common stock at the public offering price which they did not exercise.</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As described above, on May 6, 2021, we acquired all of the issued and outstanding shares of capital stock of (i) Neeltran, that supplies rectifiers and transformers to industrial customers, and (ii) International, for: (a) $1.0 million in cash, and (b) 301,556 shares of the Company’s common stock, which were paid and issued to the selling stockholders of Neeltran. We also paid $1.1 million to the selling stockholders of Neeltran at closing to pay off previous loans made by them to Neeltran. [Placeholder for registration of shares].</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Also on May 6, 2021, our subsidiary, AMSC Husky LLC,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Additionally, we paid approximately $7.6 million, including $1.9 million of indebtedness secured by the mortgage on the real property, directly to Neeltran lenders at closing to extinguish outstanding Neeltran indebtedness to third parties. All cash payments associated with the Neeltran acquisition were funded with cash on hand.</w:t>
      </w:r>
    </w:p>
    <w:p>
      <w:pPr>
        <w:spacing w:after="0" w:line="1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March 31, 2021, we had cash, cash equivalents, marketable securities and restricted cash of $80.7 million, compared to $66.1 million at March 31, 2020 an increase of $14.6 million. As of March 31, 2021, we had approximately $3.2 million of cash, cash equivalents, marketable securities and restricted cash in foreign bank accounts. Our cash and cash equivalents, marketable securities and restricted cash are summarized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35,195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80,678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66,059</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operating activities was $8.7 million and $16.5 million in fiscal 2020 and 2019, respectively. The decrease in net cash used in operations in fiscal 2020 compared to fiscal 2019 was due primarily to the overall impact of increased sales activities on the operating accounts in fiscal 2020.</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by/(used in) investing activities was $2.5 million and ($36.6 million) in fiscal 2020 and 2019, respectively. The decrease in net cash used in investing activities in fiscal 2020 compared to fiscal 2019 was due primarily to the purchase of the $35.0 million certificate of deposit in the year ended March 31, 2020 with no such transaction in the fiscal 2020 period and the sale of the $30.0 million in certificates of deposit in the year ended March 31, 2021, offset by cash that was used to pay for the NEPSI Acquisition.</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provided by financing activities was $50.8 million and $5.8 million in fiscal 2020 and 2019, respectively. The increase in net cash provided by financing activities in fiscal 2020 compared to fiscal 2019 was primarily due to the proceeds from the October 2020 offering.</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March 31, 2021, we had $5.6 million of restricted cash included in long-term assets and $2.2 million of restricted cash in short-term assets. At March 31, 2020, we had $5.7 million of restricted cash included in long-term assets and $0.5 million of restricted cash in short-term assets. These amounts included in restricted cash primarily represent collateral deposits to secure surety bonds and letters of credit for various customer contracts including the Subcontract Agreement with ComEd. These deposits are held in interest bearing accounts.</w:t>
      </w:r>
    </w:p>
    <w:p>
      <w:pPr>
        <w:spacing w:after="0" w:line="18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including our ability to collect revenues under our agreements with Inox, control our operating costs, and our ability to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Operating Cash Flow</w:t>
      </w:r>
    </w:p>
    <w:p>
      <w:pPr>
        <w:sectPr>
          <w:pgSz w:w="11900" w:h="16838" w:orient="portrait"/>
          <w:cols w:equalWidth="0" w:num="1">
            <w:col w:w="11240"/>
          </w:cols>
          <w:pgMar w:left="320" w:top="584" w:right="339" w:bottom="0" w:gutter="0" w:footer="0" w:header="0"/>
        </w:sectPr>
      </w:pPr>
    </w:p>
    <w:bookmarkStart w:id="38" w:name="page39"/>
    <w:bookmarkEnd w:id="38"/>
    <w:p>
      <w:pPr>
        <w:jc w:val="both"/>
        <w:ind w:firstLine="486"/>
        <w:spacing w:after="0" w:line="257" w:lineRule="auto"/>
        <w:rPr>
          <w:sz w:val="20"/>
          <w:szCs w:val="20"/>
          <w:color w:val="auto"/>
        </w:rPr>
      </w:pPr>
      <w:r>
        <w:rPr>
          <w:rFonts w:ascii="Arial" w:cs="Arial" w:eastAsia="Arial" w:hAnsi="Arial"/>
          <w:sz w:val="18"/>
          <w:szCs w:val="18"/>
          <w:color w:val="auto"/>
        </w:rPr>
        <w:t>We define non-GAAP operating cash flow as operating cash flow before the Sinovel settlement (net of legal fees and expenses); tax effect of adjustments; and other unusual cash flows or items. The tax effect of adjustments relates primarily to the Sinovel settlement, net. We believe non-GAAP operating cash flow assists management and investors in comparing our operating cash flow across reporting periods on a consistent basis by excluding these non-recurring cash items that it does not believe are indicative of our core operating cash flow. A reconciliation of GAAP to non-GAAP operating cash flow is set forth in the table below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Sinovel settlement (net of legal fees and expenses)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of Sinovel settlement, net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Non-GAAP operating cash flow</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(8,681)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(12,174)</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we have various contractual arrangements, under which we have committed to purchase certain minimum quantities of goods or services on an annual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we remain a smaller reporting company, would be annual reporting periods beginning after December 15, 2022. We are currently evaluating the impact, if any, the adoption of ASU 2016-13 may have on our consolidated financial statements.</w:t>
      </w:r>
    </w:p>
    <w:p>
      <w:pPr>
        <w:spacing w:after="0" w:line="17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The amendments in ASU 2018-13 provide for increased effectiveness of the disclosures made around fair value measurements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consideration for costs and benefits. The ASU is effective for annual reporting periods beginning after December 15, 2019, including interim periods within those periods. As of April 1, 2020, we have adopted ASU 2018-13 and noted no material impact on our consolidated financial statements.</w:t>
      </w:r>
    </w:p>
    <w:p>
      <w:pPr>
        <w:spacing w:after="0" w:line="1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The ASU is effective for annual reporting periods beginning after December 15, 2020, including interim periods within those periods. We do not expect the impact of the adoption of ASU 2019-12 to be material to our consolidated financial statements.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believe that other recently issued accounting pronouncements will have a material impact on our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176"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4"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Business acquisitions;</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Marketable securities;</w:t>
      </w:r>
    </w:p>
    <w:p>
      <w:pPr>
        <w:spacing w:after="0" w:line="134" w:lineRule="exact"/>
        <w:rPr>
          <w:rFonts w:ascii="Arial" w:cs="Arial" w:eastAsia="Arial" w:hAnsi="Arial"/>
          <w:sz w:val="22"/>
          <w:szCs w:val="22"/>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Valuation of long-lived assets;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Leases;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warranty; and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 contracts are defined as an arrangement that creates enforceable rights and obligations of both parties where collection of the contract price is deemed probable. We record revenue based on a five-step model which includes verifying the existence of the contract,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equipment and system product line includes certain contracts which do not meet the requirements of an exchange transaction and therefore do not fall within the scope of Accounting Standards Codification (“ASC”) 606. As these non-exchange transaction contracts are considered grant revenue and do not fall within any specific accounting literature, the Company follows guidance within ASC 606 by analogy to recognize grant revenue over time.</w:t>
      </w:r>
    </w:p>
    <w:p>
      <w:pPr>
        <w:spacing w:after="0" w:line="18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customized product sales, we record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We follow this method when any of the three following criteria are met: when the customer receives the benefits as they are performed, control transfers to the customer as the work is performed, or there is no alternative use to us and there is an enforceable right to payment including a reasonable profit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point in time method.</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enter into sales arrangements that may provide for multiple performance obligations to a customer. Sales of certain products may include extended warranty and support or service packages, and at times include performance bonds. As these contracts progress, we continually assess the probability of a payout from the performance bond. Should we determine that such a payout is likely, we would record a liability. We would reduce revenue to the extent a liability is recorded. In addition, we enter into licensing arrangements that include training services.</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Performance obligations are separated into more than one unit of accounting when (1) the delivered element(s) have value to the customer on a stand-alone basis, and (2) our promise to transfer the goods or services to the customer is separately identifiable from other promises in the contract. In general, revenues are separated between the different product shipments which have stand-alone value, and the various services to be provided. Revenues for product shipments are generally recognized at a point in time where control of the product is transferred to the customer, while revenues for the services are generally recognized over the period of performance. We identify all goods and/or services that are to be delivered separately under a sales arrangement and allocate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We review SSP and the related margins at least annually.</w:t>
      </w:r>
    </w:p>
    <w:p>
      <w:pPr>
        <w:spacing w:after="0" w:line="16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license agreements provide either for the payment of contractually determined paid-up front license fees or milestone based payments in consideration for the grant of rights to manufacture and or sell products using our patented technologies or know-how. Some of these agreements provide for the release of the licensee from past and future intellectual property infringement claims. When we can determine that we have no further obligations other than the grant of the license and that we have fully transferred the technology know-how, we recognize the revenue under a point in time model. In other license arrangements, we may also agree to provide training services to transfer the technology know-how. In these arrangements, we have determined that the licenses have no standalone value to the customer and are not separable from training services as we can only fully transfer the technology know-how through the training component. Accordingly, we account for these arrangements as a single unit of accounting, and recognize revenue over the period of its performance using the over-time method. Costs for these arrangements are expensed as incurred.</w:t>
      </w:r>
    </w:p>
    <w:p>
      <w:pPr>
        <w:sectPr>
          <w:pgSz w:w="11900" w:h="16838" w:orient="portrait"/>
          <w:cols w:equalWidth="0" w:num="1">
            <w:col w:w="11240"/>
          </w:cols>
          <w:pgMar w:left="320" w:top="580" w:right="339" w:bottom="0" w:gutter="0" w:footer="0" w:header="0"/>
        </w:sectPr>
      </w:pPr>
    </w:p>
    <w:bookmarkStart w:id="42" w:name="page43"/>
    <w:bookmarkEnd w:id="42"/>
    <w:p>
      <w:pPr>
        <w:ind w:left="46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89535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jc w:val="both"/>
        <w:ind w:firstLine="486"/>
        <w:spacing w:after="0" w:line="275" w:lineRule="auto"/>
        <w:rPr>
          <w:sz w:val="20"/>
          <w:szCs w:val="20"/>
          <w:color w:val="auto"/>
        </w:rPr>
      </w:pPr>
      <w:r>
        <w:rPr>
          <w:rFonts w:ascii="Arial" w:cs="Arial" w:eastAsia="Arial" w:hAnsi="Arial"/>
          <w:sz w:val="17"/>
          <w:szCs w:val="17"/>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we recognize revenue for these amounts upon reaching the constraining event successfully. We do not generally provide for extended payment terms or provide our customers with a right of return.</w:t>
      </w:r>
    </w:p>
    <w:p>
      <w:pPr>
        <w:spacing w:after="0" w:line="1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Infrequently, we receive requests from customers to hold product being purchased from us for a valid business purpose. We recognize revenues for such arrangements provided the transaction meets, at a minimum, the following criteria: a valid business purpose for the arrangement exists; risk of ownership of the purchased product has been transferred to the buyer; there is a fixed delivery date that is reasonable and consistent with the buyer’s business purpose; the product is ready for shipment; we have no continuing performance obligation in regards to the purchased product and these products have been segregated from our inventories and cannot be used to fill other orders received. There were no such transactions during the fiscal year ended March 31, 2021 or 2020.</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elected to record taxes collected from customers on a net basis and do not include tax amounts in revenue or costs of revenue.</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contract assets and liabilities primarily relate to the timing differences between cash received from a customer in connection with contractual rights to invoicing and the timing of revenue recognition following completion of performance obligations. Our accounts receivable balance is made up entirely of customer contract related balances.</w:t>
      </w:r>
    </w:p>
    <w:p>
      <w:pPr>
        <w:spacing w:after="0" w:line="1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See Note 4, “Revenue Recognition,” for further information regarding the Company’s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 xml:space="preserve">We account for acquisitions using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purchase price for each acquisition is allocated to the assets acquired and liabilities assumed based on their estimated fair values at the date of acquisition. The excess purchase price over the estimated fair value of the net assets acquired is recorded as goodwill. Intangible assets, if identified, are also recorded.</w:t>
      </w:r>
    </w:p>
    <w:p>
      <w:pPr>
        <w:spacing w:after="0" w:line="14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Determining the fair value of certain assets and liabilities assumed is judgmental in nature and often involves the use of significant estimates and assumptions as well as the use of specialists as needed.</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consideration for our acquisitions may include future payments that are contingent upon the occurrence of a particular event. We record a contingent consideration obligation for such contingent consideration payments at fair value on the acquisition date. We estimate the fair value of contingent consideration obligations through valuation models that incorporate probability adjusted assumptions related to the achievement of the milestones and the likelihood of making related payments. Each period we revalue the contingent consideration obligations associated with the acquisition to fair value and record changes in the fair value within the operating expenses in our consolidated statements of income.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 See Note 3, "NEPSI Acquisition," for additional information.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Marketable securities consist of certificates of deposit with maturities of greater than 12 months that are measured using such inputs as quoted prices and are classified within Level 1 of the valuation hierarchy. We determine the appropriate classification of marketable securities at the time of purchase and re-evaluate such classification as of each balance sheet date. All marketable securities are considered available for sale and are carried at fair value.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fair value are recorded to other income (expense), net. We periodically review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Accounts receivable consist of amounts owed by commercial companies and government agencies. Accounts receivable are stated net of allowances for doubtful accounts. Our accounts receivable relate principally to a limited number of customers. As of March 31, 2021, Naval Surface Warfare Center accounted for approximately 28%, and RWE Renewables, LLC accounted for approximately 11% of our accounts receivable balance, with no other customers accounting for greater than 10% of the balance. As of March 31, 2020, Fuji Bridex Pte. Ltd. accounted for approximately 25%, Department of Homeland Security accounted for 18%, and Doosan Heavy Industries &amp; Construction Co., Ltd. accounted for approximately 17% of our accounts receivable balance, with no other customers accounting for greater than 10% of the balance. Changes in the financial condition or operations of our customers may result in delayed payments or non-payments which would adversely impact our cash flows from operating activities and/or our results of operations. As such, we may require collateral, advanced payment or other security based upon the customer history and/or creditworthiness. In determining the allowance for doubtful accounts, we evaluate the collectability of accounts receivable based primarily on the probability of recoverability based on historical collection and write-off experience, the age of past due receivables, specific customer circumstances, and current economic trends. If the financial condition of our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our business, financial condition, results of operations, and cash flows.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132" w:gutter="0" w:footer="0" w:header="0"/>
        </w:sectPr>
      </w:pPr>
    </w:p>
    <w:bookmarkStart w:id="44" w:name="page45"/>
    <w:bookmarkEnd w:id="44"/>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1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determined on a first-in, first-out basis, or net realizable value determined on a first-in, first-out basis as the estimated selling prices in the ordinary course of business, less reasonably predictable costs of completion, disposal and transportation. We record inventory when we take delivery and title to the product according to the terms of each supply contract.</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each balance sheet date, we evaluate our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recorded inventory reserves of $1.8 million and $1.3 million during fiscal 2020 and 2019, respectively, based on evaluating our ending inventories for excess quantities and obsolescence.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periodically evaluate our long-lived assets, consisting principally of fixed and amortizable intangible assets for potential impairment. In accordance with the applicable accounting guidance for the treatment of long-lived assets, we review the carrying value of our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our asset groups involves a significant amount of judgment, assumptions and estimates. We evaluate our long-lived assets whenever events or circumstances suggest that the carrying amount of an asset or group of assets may not be recoverable from the estimated undiscounted future cash flows.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judgments regarding the existence of impairment indicators are based on market and operational performance. Indicators of potential impairment include:</w:t>
      </w:r>
    </w:p>
    <w:p>
      <w:pPr>
        <w:spacing w:after="0" w:line="170"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group is used;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 group;</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other impaired assets within a reporting unit;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3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group; and</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There were no indicators requiring further impairment testing on our long-lived assets during the fiscal years ended March 31, 2021 or 2020.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Leases include all agreements in which we obtain control of a physical asset. Leases are captured on the balance sheet as both a right of use asset and associated lease liability and are valued based on the commencement of our control of the asset, after being discounted by our incremental borrowing rate. Our lease portfolio is made up primarily of real estate leases for our various offices, but also includes items such as vehicles, IT equipment and other miscellaneous tools and equipment needed for manufacturing. Our incremental borrowing rate was determined through an analysis to identify what rates we could obtain if we were to secure external financing for similar transactions, and includes considerations of both the market and our current credit ratings. An analysis will be performed annually, or upon execution of any individually material agreement, to ensure that the rates being applied to newly acquired leases are still accurate.</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majority of our leases are classified as operating leases, and therefore the expense is captured in income from operations each period.</w:t>
      </w:r>
    </w:p>
    <w:p>
      <w:pPr>
        <w:spacing w:after="0" w:line="23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elected to exclude all leases of less than twelve months from the balance sheet presentation. We have also elected a policy in which we will not segregate lease components from non-lease components, so in the event we execute an agreement which includes a non-lease component our asset and liability recorded to the balance sheet will include the value of that non-lease component as well. This policy will be applied to all classifications of leases.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Goodwill represents the excess of cost over net assets of acquired businesses that are consolidated. We perform our annual assessment of goodwill on February 28th of each fiscal year and whenever events or changes in circumstances or a triggering event indicate that the carrying amount may not be recoverable. Determining whether a triggering event has occurred often involves significant judgment from management. An entity is permitted to first assess qualitatively whether it is necessary to perform a goodwill impairment test. The quantitative impairment test is required only if the entity concludes that it is more likely than not that a reporting unit’s fair value is less than its carrying amount. We determine the fair value of a reporting unit based on an income approach utilizing a discounted cash flow adjusted for entity specific factors. In evaluating whether it is more likely than not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not to exceed the total amount of the goodwill, allocated to that reporting unit. See Note 5, “Goodwill” for further information and discussion.</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performed our annual assessment of goodwill on February 28, 2021 and noted no triggering events from the analysis date to March 31, 2021 and determined that there was no impairment to goodwill.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 All deferred tax assets and liabilities are presented as non-current in the Consolidated Balance Sheet.</w:t>
      </w:r>
    </w:p>
    <w:p>
      <w:pPr>
        <w:spacing w:after="0" w:line="171"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the provision for income taxes. See Note 13, “Income Taxes,” of our consolidated financial statements for further information regarding our income tax assumptions and expenses.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measure compensation cost arising from the grant of share-based payments to employees and non-employees at fair value and recognize such cost over the period during which the employee and non-employee is required to provide service in exchange for the award, usually the vesting period. Total stock-based compensation expense recognized during the fiscal years ended March 31, 2021 and 2020 was $3.5 million and $1.9 million, respectively. For awards with service conditions only, we recognize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 See Note 15, “Stockholders’ Equity,” of our consolidated financial statements for further information regarding our stock-based compensation assumptions and expenses.</w:t>
      </w:r>
    </w:p>
    <w:p>
      <w:pPr>
        <w:sectPr>
          <w:pgSz w:w="11900" w:h="16838" w:orient="portrait"/>
          <w:cols w:equalWidth="0" w:num="1">
            <w:col w:w="11240"/>
          </w:cols>
          <w:pgMar w:left="320" w:top="584" w:right="339" w:bottom="89" w:gutter="0" w:footer="0" w:header="0"/>
        </w:sectPr>
      </w:pPr>
    </w:p>
    <w:bookmarkStart w:id="46" w:name="page47"/>
    <w:bookmarkEnd w:id="46"/>
    <w:p>
      <w:pPr>
        <w:jc w:val="both"/>
        <w:ind w:firstLine="486"/>
        <w:spacing w:after="0" w:line="263" w:lineRule="auto"/>
        <w:rPr>
          <w:sz w:val="20"/>
          <w:szCs w:val="20"/>
          <w:color w:val="auto"/>
        </w:rPr>
      </w:pPr>
      <w:r>
        <w:rPr>
          <w:rFonts w:ascii="Arial" w:cs="Arial" w:eastAsia="Arial" w:hAnsi="Arial"/>
          <w:sz w:val="18"/>
          <w:szCs w:val="18"/>
          <w:color w:val="auto"/>
        </w:rPr>
        <w:t>We account for share-based payments made to non-employees in the same manner as other share-based payments for employees, with the measurement being based on the fair value at the grant date. The non-employee share based payments will be included within our stock compensation currently reported.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18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the loss is not probable or cannot be reasonably estimated, a liability is not recorded in our consolidated financial statements. If, with respect to a matter, it is not both probable to result in liability and the amount of loss cannot be reasonably estimated, an estimate of possible loss or range of loss shall be disclosed unless such an estimate cannot be made. We do not recognize gain contingencies until they are realized. Legal costs incurred in connection with loss contingencies are expensed as incurred. See Note 16, “Commitments and Contingencies”, of our consolidated financial statements for further information.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Warranty obligations are incurred in connection with the sale of our products. We generally provide a one to three year warranty on our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financial instruments consist principally of cash and cash equivalents, marketable securities, accounts receivable, notes receivable, accounts payable, accrued expenses, and warrants. The carrying amounts of cash and cash equivalents, accounts receivable, accounts payable, and accrued expenses due to their short term nature approximate fair value at March 31, 2021 and 2020. The estimated fair values have been determined through information obtained from market sources and management estimates. Marketable securities consist of certificates of deposit with maturities of greater than 12 months that are measured using such inputs as quoted prices and are classified within Level 1 of the valuation hierarchy. We determine the appropriate classification of our marketable securities at the time of purchase and re-evaluate such classification as of each balance sheet date. All marketable securities are considered available for sale and are carried at fair value. Changes in fair value are recorded to other income (expense), net. The fair value for the debt and warrant arrangements were historically estimated by management based on the terms that we believe we could obtain in the current market for debt with the same terms and similar maturities. The warrants were subject to revaluation at each balance sheet date, and any change in fair value was recorded as a change in fair value in other (expense) income until the earlier of the warrants’ exercise or expiration. We relied on assumptions used in a lattice model to determine the fair value of the warrants. We have appropriately valued the warrants within Level 3 of the valuation hierarchy.</w:t>
      </w:r>
    </w:p>
    <w:p>
      <w:pPr>
        <w:spacing w:after="0" w:line="16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American Superconductor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audited the accompanying consolidated balance sheets of American Superconductor Corporation and its subsidiaries (the Company) as of March 31, 2021 and 2020, the related consolidated statements of operations, comprehensive income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March 31, 2021 and 2020,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described in Notes 1 and 4 of the consolidated financial statements, a significant portion of the Company’s revenue is generated pursuant to nonstandard written contractual arrangements to design, develop, and/or manufacture products, and to provide related technical and other services according to the specifications of the customers. Because of the uniqueness of the terms and conditions in the customer contracts, there is significant analysis, and at times significant judgments, that are made by management when evaluating the contracts for proper revenue recognition. The Company’s performance obligations under these contractual agreements are satisfied over time or at a point in time. For performance obligations satisfied over time, revenue is generally recognized by measuring progress through costs incurred to date relative to total estimated costs at completion, which requires management to estimate both total expected project costs and expected gross margin, including evaluating customer change orders, to determine the appropriate amount of revenue to recognize, which can require significant management judgment. For contracts with multiple performance obligations when the standalone selling price is not directly observable, the Company uses its best estimate of the standalone selling price of each distinct good or service in the contract using the cost-plus reasonable margin approach and a relief from royalty method for licenses, which include significant management estimates.</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identified revenue recognition pertaining to customer contracts as a critical audit matter as there are significant judgments exercised by management in determining revenue recognition. Given the high degree of management judgment involved in analyzing the terms and conditions of the Company’s unique customer contracts and the various management estimates that are used in the revenue calculations, the audit effort required to evaluate management’s judgments in determining revenue recognition for the Company’s contracts was extensive and required a high degree of auditor judgment.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audit procedures related to revenue recognition included the following, among others:</w:t>
      </w:r>
    </w:p>
    <w:p>
      <w:pPr>
        <w:spacing w:after="0" w:line="225" w:lineRule="exact"/>
        <w:rPr>
          <w:sz w:val="20"/>
          <w:szCs w:val="20"/>
          <w:color w:val="auto"/>
        </w:rPr>
      </w:pPr>
    </w:p>
    <w:p>
      <w:pPr>
        <w:ind w:left="1040" w:right="20" w:hanging="317"/>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revenue recognition and tested controls specific to management’s analysis of customer contract terms and application of relevant accounting guidance as well as determination of significant assumptions used in computing revenue for design and operating effectiveness,</w:t>
      </w:r>
    </w:p>
    <w:p>
      <w:pPr>
        <w:spacing w:after="0" w:line="183" w:lineRule="exact"/>
        <w:rPr>
          <w:rFonts w:ascii="Arial" w:cs="Arial" w:eastAsia="Arial" w:hAnsi="Arial"/>
          <w:sz w:val="18"/>
          <w:szCs w:val="18"/>
          <w:color w:val="auto"/>
        </w:rPr>
      </w:pPr>
    </w:p>
    <w:p>
      <w:pPr>
        <w:ind w:left="1040" w:hanging="317"/>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selected a sample of contracts with customers and related revenue transactions and performed the following audit procedures:</w:t>
      </w:r>
    </w:p>
    <w:p>
      <w:pPr>
        <w:spacing w:after="0" w:line="236" w:lineRule="exact"/>
        <w:rPr>
          <w:rFonts w:ascii="Arial" w:cs="Arial" w:eastAsia="Arial" w:hAnsi="Arial"/>
          <w:sz w:val="17"/>
          <w:szCs w:val="17"/>
          <w:color w:val="auto"/>
        </w:rPr>
      </w:pPr>
    </w:p>
    <w:p>
      <w:pPr>
        <w:ind w:left="1360" w:right="40" w:hanging="324"/>
        <w:spacing w:after="0" w:line="255" w:lineRule="auto"/>
        <w:rPr>
          <w:rFonts w:ascii="Arial" w:cs="Arial" w:eastAsia="Arial" w:hAnsi="Arial"/>
          <w:sz w:val="17"/>
          <w:szCs w:val="17"/>
          <w:color w:val="auto"/>
        </w:rPr>
      </w:pPr>
      <w:r>
        <w:rPr>
          <w:rFonts w:ascii="Arial" w:cs="Arial" w:eastAsia="Arial" w:hAnsi="Arial"/>
          <w:sz w:val="18"/>
          <w:szCs w:val="18"/>
          <w:color w:val="auto"/>
        </w:rPr>
        <w:t>o Obtained customer contract, related invoices, purchase orders, and management revenue recognition analysis for each testing selection, to evaluate if relevant contractual terms and transaction price were appropriately considered by management and conclusions on revenue recognition method were in accordance with the relevant accounting guidance;</w:t>
      </w:r>
    </w:p>
    <w:p>
      <w:pPr>
        <w:spacing w:after="0" w:line="2" w:lineRule="exact"/>
        <w:rPr>
          <w:rFonts w:ascii="Arial" w:cs="Arial" w:eastAsia="Arial" w:hAnsi="Arial"/>
          <w:sz w:val="17"/>
          <w:szCs w:val="17"/>
          <w:color w:val="auto"/>
        </w:rPr>
      </w:pPr>
    </w:p>
    <w:p>
      <w:pPr>
        <w:ind w:left="1360" w:right="140" w:hanging="324"/>
        <w:spacing w:after="0" w:line="250" w:lineRule="auto"/>
        <w:rPr>
          <w:rFonts w:ascii="Arial" w:cs="Arial" w:eastAsia="Arial" w:hAnsi="Arial"/>
          <w:sz w:val="17"/>
          <w:szCs w:val="17"/>
          <w:color w:val="auto"/>
        </w:rPr>
      </w:pPr>
      <w:r>
        <w:rPr>
          <w:rFonts w:ascii="Arial" w:cs="Arial" w:eastAsia="Arial" w:hAnsi="Arial"/>
          <w:sz w:val="18"/>
          <w:szCs w:val="18"/>
          <w:color w:val="auto"/>
        </w:rPr>
        <w:t>o Evaluated management’s estimations of total contract cost and contract profit by assessing actual costs to date against projections made throughout the course of the contract term;</w:t>
      </w:r>
    </w:p>
    <w:p>
      <w:pPr>
        <w:ind w:left="1360" w:right="560" w:hanging="324"/>
        <w:spacing w:after="0" w:line="260" w:lineRule="auto"/>
        <w:rPr>
          <w:rFonts w:ascii="Arial" w:cs="Arial" w:eastAsia="Arial" w:hAnsi="Arial"/>
          <w:sz w:val="17"/>
          <w:szCs w:val="17"/>
          <w:color w:val="auto"/>
        </w:rPr>
      </w:pPr>
      <w:r>
        <w:rPr>
          <w:rFonts w:ascii="Arial" w:cs="Arial" w:eastAsia="Arial" w:hAnsi="Arial"/>
          <w:sz w:val="18"/>
          <w:szCs w:val="18"/>
          <w:color w:val="auto"/>
        </w:rPr>
        <w:t>o Evaluated the reasonableness of management’s estimates of standalone selling prices through review of historical data supporting estimate of gross margin and extended warranty costs used in management’s calculations</w:t>
      </w:r>
    </w:p>
    <w:p>
      <w:pPr>
        <w:sectPr>
          <w:pgSz w:w="11900" w:h="16838" w:orient="portrait"/>
          <w:cols w:equalWidth="0" w:num="1">
            <w:col w:w="11240"/>
          </w:cols>
          <w:pgMar w:left="320" w:top="580" w:right="339" w:bottom="0" w:gutter="0" w:footer="0" w:header="0"/>
        </w:sectPr>
      </w:pPr>
    </w:p>
    <w:bookmarkStart w:id="49" w:name="page50"/>
    <w:bookmarkEnd w:id="49"/>
    <w:p>
      <w:pPr>
        <w:ind w:left="160"/>
        <w:spacing w:after="0"/>
        <w:rPr>
          <w:sz w:val="20"/>
          <w:szCs w:val="20"/>
          <w:color w:val="auto"/>
        </w:rPr>
      </w:pPr>
      <w:r>
        <w:rPr>
          <w:rFonts w:ascii="Arial" w:cs="Arial" w:eastAsia="Arial" w:hAnsi="Arial"/>
          <w:sz w:val="18"/>
          <w:szCs w:val="18"/>
          <w:b w:val="1"/>
          <w:bCs w:val="1"/>
          <w:color w:val="auto"/>
        </w:rPr>
        <w:t>Valuation of Intangible Asset and Contingent Consideration in Business Combination</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As described in Note 3 of the consolidated financial statements, the Company completed the acquisition of Northeast Power Systems, Inc. and Northeast Power Realty, LLC on October 1, 2020 for total consideration of $42.4 million. The total consideration included contingent consideration in the form of seller earn out provisions with a fair value of $4.0M at the acquisition date. The Company accounted for this transaction under the acquisition method of accounting for business combinations. Accordingly, the total consideration paid was allocated to the assets acquired and liabilities assumed based on their respective fair values, including identified intangible assets of $7.3 million and resulting goodwill of $32.9 million. Of the identified intangible assets acquired, the most significant included a customer relationships intangible asset of $6.1 million. The Company estimated the fair value of the customer relationship intangible asset using the multi-period excess earnings method, which required management to make significant estimates and assumptions related to forecasted revenue and earnings, expected economic life of the asset, contributory asset charges, attrition rates, and the selection of discount rates. The Company estimated fair value of the contingent consideration using a Monte Carlo simulation, which is a complex valuation model that required use of a management third-party specialist as well as required management to make significant estimates and assumptions related to forecasted revenue targets, discount rates and revenue volatility.</w:t>
      </w:r>
    </w:p>
    <w:p>
      <w:pPr>
        <w:spacing w:after="0" w:line="1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identified the valuation of the customer relationship intangible asset and contingent consideration as a critical audit matter because of the significant estimates and assumptions management used in the fair value determination as well as the complexity of the Monte Carlo simulation model used to value the contingent consideration. Auditing management’s forecasts of future revenues and cash flows, the selection of the discount rates as well as testing the Monte Carlo simulation model required a high degree of auditor judgment and an increased extent of effort when performing audit procedures, including the use of our valuation specialists.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audit procedures related to the customer relationship intangible asset and contingent consideration included the following, among others:</w:t>
      </w:r>
    </w:p>
    <w:p>
      <w:pPr>
        <w:spacing w:after="0" w:line="237" w:lineRule="exact"/>
        <w:rPr>
          <w:sz w:val="20"/>
          <w:szCs w:val="20"/>
          <w:color w:val="auto"/>
        </w:rPr>
      </w:pPr>
    </w:p>
    <w:p>
      <w:pPr>
        <w:ind w:left="1040" w:right="240" w:hanging="317"/>
        <w:spacing w:after="0" w:line="258"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prepared an independent calculation of the fair value of the contingent consideration to test the accuracy of the Company’s valuation model.</w:t>
      </w:r>
    </w:p>
    <w:p>
      <w:pPr>
        <w:spacing w:after="0" w:line="1" w:lineRule="exact"/>
        <w:rPr>
          <w:rFonts w:ascii="Arial" w:cs="Arial" w:eastAsia="Arial" w:hAnsi="Arial"/>
          <w:sz w:val="18"/>
          <w:szCs w:val="18"/>
          <w:color w:val="auto"/>
        </w:rPr>
      </w:pPr>
    </w:p>
    <w:p>
      <w:pPr>
        <w:ind w:left="1040" w:right="300" w:hanging="317"/>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revenue, probabilities of achieving revenue metrics, future cash flows and attrition rates by comparing the projections to historical results as well as industry benchmarks</w:t>
      </w:r>
    </w:p>
    <w:p>
      <w:pPr>
        <w:ind w:left="1040" w:right="160" w:hanging="317"/>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reasonableness of the Company’s valuation methodologies and significant assumptions by:</w:t>
      </w:r>
    </w:p>
    <w:p>
      <w:pPr>
        <w:ind w:left="1800" w:right="240" w:hanging="324"/>
        <w:spacing w:after="0" w:line="250" w:lineRule="auto"/>
        <w:rPr>
          <w:rFonts w:ascii="Arial" w:cs="Arial" w:eastAsia="Arial" w:hAnsi="Arial"/>
          <w:sz w:val="18"/>
          <w:szCs w:val="18"/>
          <w:color w:val="auto"/>
        </w:rPr>
      </w:pPr>
      <w:r>
        <w:rPr>
          <w:rFonts w:ascii="Arial" w:cs="Arial" w:eastAsia="Arial" w:hAnsi="Arial"/>
          <w:sz w:val="18"/>
          <w:szCs w:val="18"/>
          <w:color w:val="auto"/>
        </w:rPr>
        <w:t>o Testing the source information underlying the determination of the discount rates and verifying the accuracy of the calculations, including the contributory asset charges.</w:t>
      </w:r>
    </w:p>
    <w:p>
      <w:pPr>
        <w:ind w:left="1460"/>
        <w:spacing w:after="0"/>
        <w:rPr>
          <w:rFonts w:ascii="Arial" w:cs="Arial" w:eastAsia="Arial" w:hAnsi="Arial"/>
          <w:sz w:val="18"/>
          <w:szCs w:val="18"/>
          <w:color w:val="auto"/>
        </w:rPr>
      </w:pPr>
      <w:r>
        <w:rPr>
          <w:rFonts w:ascii="Arial" w:cs="Arial" w:eastAsia="Arial" w:hAnsi="Arial"/>
          <w:sz w:val="17"/>
          <w:szCs w:val="17"/>
          <w:color w:val="auto"/>
        </w:rPr>
        <w:t>o   Developing an analysis for the discount rates and compared that analysis to the discount rates selected by management.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340" w:right="1100"/>
        <w:spacing w:after="0" w:line="250" w:lineRule="auto"/>
        <w:rPr>
          <w:sz w:val="20"/>
          <w:szCs w:val="20"/>
          <w:color w:val="auto"/>
        </w:rPr>
      </w:pPr>
      <w:r>
        <w:rPr>
          <w:rFonts w:ascii="Arial" w:cs="Arial" w:eastAsia="Arial" w:hAnsi="Arial"/>
          <w:sz w:val="18"/>
          <w:szCs w:val="18"/>
          <w:color w:val="auto"/>
        </w:rPr>
        <w:t>Cash and cash equivalents Marketable securities Accounts receivable Inventory</w:t>
      </w:r>
    </w:p>
    <w:p>
      <w:pPr>
        <w:spacing w:after="0" w:line="2"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Prepaid expenses and other current assets Restricted cash</w:t>
      </w:r>
    </w:p>
    <w:p>
      <w:pPr>
        <w:ind w:left="820"/>
        <w:spacing w:after="0"/>
        <w:rPr>
          <w:sz w:val="20"/>
          <w:szCs w:val="20"/>
          <w:color w:val="auto"/>
        </w:rPr>
      </w:pPr>
      <w:r>
        <w:rPr>
          <w:rFonts w:ascii="Arial" w:cs="Arial" w:eastAsia="Arial" w:hAnsi="Arial"/>
          <w:sz w:val="18"/>
          <w:szCs w:val="18"/>
          <w:color w:val="auto"/>
        </w:rPr>
        <w:t>Total current assets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Marketable securities, long term portion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Right-of-use asset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500"/>
        <w:spacing w:after="0" w:line="259" w:lineRule="auto"/>
        <w:rPr>
          <w:sz w:val="20"/>
          <w:szCs w:val="20"/>
          <w:color w:val="auto"/>
        </w:rPr>
      </w:pPr>
      <w:r>
        <w:rPr>
          <w:rFonts w:ascii="Arial" w:cs="Arial" w:eastAsia="Arial" w:hAnsi="Arial"/>
          <w:sz w:val="18"/>
          <w:szCs w:val="18"/>
          <w:b w:val="1"/>
          <w:bCs w:val="1"/>
          <w:color w:val="auto"/>
        </w:rPr>
        <w:t>AMERICAN SUPERCONDUCTOR CORPORATION PART I — FINANCIAL INFORMATION ITEM 1. FINANCIAL STATEMENTS CONSOLIDATED BALANCE SHEETS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24,699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30,149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18,975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4"/>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105,230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8,565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-2648585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-2373630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-2099945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-1824990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-1542415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-1268095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-993775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-719455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-445135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-162560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200"/>
            <w:col w:w="7720"/>
          </w:cols>
          <w:pgMar w:left="320" w:top="823"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22,091</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Lease liability, current portion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Pr>
          <w:p>
            <w:pPr>
              <w:spacing w:after="0"/>
              <w:rPr>
                <w:sz w:val="18"/>
                <w:szCs w:val="18"/>
                <w:color w:val="auto"/>
              </w:rPr>
            </w:pPr>
          </w:p>
        </w:tc>
      </w:tr>
      <w:tr>
        <w:trPr>
          <w:trHeight w:val="210"/>
        </w:trPr>
        <w:tc>
          <w:tcPr>
            <w:tcW w:w="8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40,960</w:t>
            </w:r>
          </w:p>
        </w:tc>
      </w:t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long term portion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7,712</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Lease liability, long term portion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09"/>
        </w:trPr>
        <w:tc>
          <w:tcPr>
            <w:tcW w:w="8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51,890</w:t>
            </w:r>
          </w:p>
        </w:tc>
      </w:tr>
      <w:tr>
        <w:trPr>
          <w:trHeight w:val="210"/>
        </w:trPr>
        <w:tc>
          <w:tcPr>
            <w:tcW w:w="84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4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$0.01 par value, 75,000,000 shares authorized; 27,988,536 and 22,902,288 shares issued and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27,593,400 and 22,604,410 shares outstanding at March 31, 2021 and 2020, respectively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1,053,507</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Treasury stock, at cost, 395,136 and 297,878 shares at March 31, 2021 and 2020, respectively</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(2,666)</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(1,001,313)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(978,635)</w:t>
            </w:r>
          </w:p>
        </w:tc>
      </w:tr>
      <w:tr>
        <w:trPr>
          <w:trHeight w:val="209"/>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168,866</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124,109</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51" w:name="page52"/>
    <w:bookmarkEnd w:id="51"/>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4780" w:type="dxa"/>
            <w:vAlign w:val="bottom"/>
            <w:gridSpan w:val="2"/>
          </w:tcPr>
          <w:p>
            <w:pPr>
              <w:jc w:val="right"/>
              <w:ind w:right="18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 Ended March 31,</w:t>
            </w:r>
          </w:p>
        </w:tc>
      </w:tr>
      <w:tr>
        <w:trPr>
          <w:trHeight w:val="209"/>
        </w:trPr>
        <w:tc>
          <w:tcPr>
            <w:tcW w:w="4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7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87,125</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63,838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Cost of revenues</w:t>
            </w:r>
          </w:p>
        </w:tc>
        <w:tc>
          <w:tcPr>
            <w:tcW w:w="38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69,671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54,393</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w:t>
            </w:r>
          </w:p>
        </w:tc>
      </w:tr>
      <w:tr>
        <w:trPr>
          <w:trHeight w:val="216"/>
        </w:trPr>
        <w:tc>
          <w:tcPr>
            <w:tcW w:w="4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9,565</w:t>
            </w:r>
          </w:p>
        </w:tc>
      </w:tr>
      <w:tr>
        <w:trPr>
          <w:trHeight w:val="21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22,669</w:t>
            </w:r>
          </w:p>
        </w:tc>
      </w:tr>
      <w:tr>
        <w:trPr>
          <w:trHeight w:val="216"/>
        </w:trPr>
        <w:tc>
          <w:tcPr>
            <w:tcW w:w="4140" w:type="dxa"/>
            <w:vAlign w:val="bottom"/>
          </w:tcPr>
          <w:p>
            <w:pPr>
              <w:ind w:left="340"/>
              <w:spacing w:after="0"/>
              <w:rPr>
                <w:sz w:val="20"/>
                <w:szCs w:val="20"/>
                <w:color w:val="auto"/>
              </w:rPr>
            </w:pPr>
            <w:r>
              <w:rPr>
                <w:rFonts w:ascii="Arial" w:cs="Arial" w:eastAsia="Arial" w:hAnsi="Arial"/>
                <w:sz w:val="18"/>
                <w:szCs w:val="18"/>
                <w:color w:val="auto"/>
              </w:rPr>
              <w:t>Amortization of acquisition related intangibles</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contingent consideration</w:t>
            </w:r>
          </w:p>
        </w:tc>
        <w:tc>
          <w:tcPr>
            <w:tcW w:w="38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14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40,619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32,574</w:t>
            </w:r>
          </w:p>
        </w:tc>
      </w:tr>
      <w:tr>
        <w:trPr>
          <w:trHeight w:val="216"/>
        </w:trPr>
        <w:tc>
          <w:tcPr>
            <w:tcW w:w="41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loss</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(23,129)</w:t>
            </w:r>
          </w:p>
        </w:tc>
      </w:tr>
      <w:tr>
        <w:trPr>
          <w:trHeight w:val="216"/>
        </w:trPr>
        <w:tc>
          <w:tcPr>
            <w:tcW w:w="41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4,648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09"/>
        </w:trPr>
        <w:tc>
          <w:tcPr>
            <w:tcW w:w="41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(23,510)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(16,901)</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0"/>
        </w:trPr>
        <w:tc>
          <w:tcPr>
            <w:tcW w:w="414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386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(22,678)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(17,096)</w:t>
            </w:r>
          </w:p>
        </w:tc>
      </w:tr>
      <w:tr>
        <w:trPr>
          <w:trHeight w:val="20"/>
        </w:trPr>
        <w:tc>
          <w:tcPr>
            <w:tcW w:w="4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14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3860" w:type="dxa"/>
            <w:vAlign w:val="bottom"/>
          </w:tcPr>
          <w:p>
            <w:pPr>
              <w:spacing w:after="0"/>
              <w:rPr>
                <w:sz w:val="17"/>
                <w:szCs w:val="17"/>
                <w:color w:val="auto"/>
              </w:rPr>
            </w:pPr>
          </w:p>
        </w:tc>
        <w:tc>
          <w:tcPr>
            <w:tcW w:w="920" w:type="dxa"/>
            <w:vAlign w:val="bottom"/>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(0.95)</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r>
      <w:tr>
        <w:trPr>
          <w:trHeight w:val="20"/>
        </w:trPr>
        <w:tc>
          <w:tcPr>
            <w:tcW w:w="4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88"/>
              </w:rPr>
              <w:t>Weighted average number of common shares outstanding</w:t>
            </w: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23,879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414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23,879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21,069</w:t>
            </w:r>
          </w:p>
        </w:tc>
      </w:tr>
      <w:tr>
        <w:trPr>
          <w:trHeight w:val="20"/>
        </w:trPr>
        <w:tc>
          <w:tcPr>
            <w:tcW w:w="4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2" w:name="page53"/>
    <w:bookmarkEnd w:id="52"/>
    <w:p>
      <w:pPr>
        <w:jc w:val="center"/>
        <w:spacing w:after="0" w:line="275" w:lineRule="auto"/>
        <w:rPr>
          <w:sz w:val="20"/>
          <w:szCs w:val="20"/>
          <w:color w:val="auto"/>
        </w:rPr>
      </w:pPr>
      <w:r>
        <w:rPr>
          <w:rFonts w:ascii="Arial" w:cs="Arial" w:eastAsia="Arial" w:hAnsi="Arial"/>
          <w:sz w:val="18"/>
          <w:szCs w:val="18"/>
          <w:b w:val="1"/>
          <w:bCs w:val="1"/>
          <w:color w:val="auto"/>
        </w:rPr>
        <w:t>AMERICAN SUPERCONDUCTOR CORPORATION CONSOLIDATED STATEMENTS OF COMPREHENSIVE INCOME (LOSS)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currency translation losses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(22,739)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9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1,044,622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(961,539)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spacing w:after="0" w:line="196" w:lineRule="exact"/>
              <w:rPr>
                <w:sz w:val="20"/>
                <w:szCs w:val="20"/>
                <w:color w:val="auto"/>
              </w:rPr>
            </w:pPr>
            <w:r>
              <w:rPr>
                <w:rFonts w:ascii="Arial" w:cs="Arial" w:eastAsia="Arial" w:hAnsi="Arial"/>
                <w:sz w:val="18"/>
                <w:szCs w:val="18"/>
                <w:color w:val="auto"/>
              </w:rPr>
              <w:t>Issuance of common stock - ESPP</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 restricted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for 401(k) match</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Issuance of common stock-warrant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exercise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treasury stock</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(17,096)</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880" w:type="dxa"/>
            <w:vAlign w:val="bottom"/>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1,053,507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(2,666)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(978,635)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Exercise of stock options</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Issuance of common stock - ESPP</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 restricted</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for 401(k) match</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Issuance of common stock - equity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offering</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51,440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 NEPSI</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Repurchase of treasury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(22,678)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1,121,495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(22,678)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(17,096)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fair value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Non-cash interest income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non-cash items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Unrealized foreign exchange loss/(gain) on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(9,159)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(8,057)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10,788</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(16,497)</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(3,630)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sale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 of marketable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Sale of marketable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paid for acquisition, net of cash received</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other assets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(36,621)</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Employee taxes paid related to net settlement of equity awards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Proceeds from public equity offering,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51,477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exercise of employee stock options and ESPP</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50,828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5,776</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44,675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(47,334)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75,539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30,864</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Issuance of common stock in connection with the purchase of Northeast Power Systems, Inc</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12,433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Issuance of common stock to Hercules to settle warrant liability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Issuance of common stock to settle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protect and expand the capability of the Navy's fleet. The Company’s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consolidated financial statements have been prepared on a going concern basis in accordance with United States generally accepted accounting principles (“GAAP”) and the Securities and Exchange Commission’s (“SEC”) instructions to Form 10-K. The going concern basis of presentation assumes that the Company will continue operations and will be able to realize its assets and discharge its liabilities and commitments in the normal course of business.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historically experienced recurring operating losses and as of March 31, 2021, the Company had an accumulated deficit of $1,001.3 million. In addition, the Company has historically experienced recurring negative operating cash flows. At March 31, 2021, the Company had cash, cash equivalents, and marketable securities of $73.0 million. Marketable securities includes a certificate of deposit with maturity in six months. Cash used in operations for the year ended March 31, 2021 was $8.7 million.</w:t>
      </w:r>
    </w:p>
    <w:p>
      <w:pPr>
        <w:spacing w:after="0" w:line="187"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In December 2015, the Company entered into a set of strategic agreements valued at approximately $210.0 million with Inox Wind Ltd. (“Inox” or “Inox Wind”), which includes a multi-year supply contract pursuant to which the Company will supply electrical control systems to Inox and a license agreement allowing Inox to manufacture a limited number of electrical control systems. After Inox purchases the specified number of electrical control systems required under the terms of the supply contract, Inox agreed that the Company will continue as Inox’s preferred supplier and Inox will be required to purchase from the Company a majority of its electrical control systems requirements for an additional three-year period. Pursuant to these strategic agreements, Inox must forecast future purchase orders of sets of Electrical Control Systems ("ECS") which become firm orders three months prior to shipment, and Inox must post letters of credit before the Company will ship such orders. During the year ended March 31, 2020, Inox was delinquent on its obligation to post letters of credit for sets of ECS that Inox had agreed to purchase under the terms of the supply contract. On May 29, 2020, the Company sent written notice to Inox notifying Inox of its default under the supply contract due to Inox’s failure to post letters of credit in the amount of €6.0 million for the payment of ECS that Inox is obligated to purchase under the terms of the supply contract. If Inox failed to post letters of credit in the amount of €6.0 million in accordance with the terms of the supply contract within the ninety day cure period after receipt of the default notice, then the Company could have terminated the supply contract by providing written notice of such termination to Inox. On September 2, 2020, Inox delivered approved letters of credit in the amount of €1.3 million for the payment of a portion of the ECS that Inox was obligated to purchase under the terms of the supply contract. On September 11, 2020, the Company notified Inox that due to (i) the Company’s business relationship with Inox, and (ii) Inox’s delivery of approved letters of credit in the amount of €1.3 million as described above, the Company gave Inox until October 5, 2020 to regain compliance with the terms of the supply contract by providing approved letters of credit in the amount of €4.7 million for payment of the remaining ECS that Inox currently was obligated to purchase under the terms of the supply contract. On October 1, 2020, Inox delivered approved letters of credit for payment of the remaining ECS that Inox was obligated to purchase as a result of its then existing forecast under the terms of the supply contract and cured the default set forth in the May 29, 2020 default notice.</w:t>
      </w:r>
    </w:p>
    <w:p>
      <w:pPr>
        <w:spacing w:after="0" w:line="18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On October 1, 2020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(i) shares of capital stock of Northeast Power Systems, Inc., a New York corporation (“NEPSI”), and</w:t>
      </w:r>
    </w:p>
    <w:p>
      <w:pPr>
        <w:spacing w:after="0" w:line="2" w:lineRule="exact"/>
        <w:rPr>
          <w:sz w:val="20"/>
          <w:szCs w:val="20"/>
          <w:color w:val="auto"/>
        </w:rPr>
      </w:pPr>
    </w:p>
    <w:p>
      <w:pPr>
        <w:jc w:val="both"/>
        <w:ind w:firstLine="8"/>
        <w:spacing w:after="0" w:line="252" w:lineRule="auto"/>
        <w:tabs>
          <w:tab w:leader="none" w:pos="2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now a wholly-owned subsidiary of the Company and is operated by its Grid business unit. The purchase price was $26.0 million in cash and 873,657 restricted shares of common stock of the Company. As part of the transaction, the selling stockholders may receive up to an additional 1,000,000 shares of common stock of the Company upon the achievement of certain specified revenue objectives in the future.</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October 22, 2020, the Company entered into an underwriting agreement with Oppenheimer &amp; Co. Inc., as representative of the several underwriters named therein, relating to the issuance and sale (the "2020 Offering") of 3,670,000 shares of the Company’s common stock at a public offering price of $15.00 per share. The net proceeds to the Company from the 2020 Offering were approximately $51.5 million, after deducting underwriting discounts and commissions and offering expenses payable by the Company. The 2020 Offering closed on October 26, 2020. In addition, the Company had granted the underwriters a 30-day option to purchase up to an additional 550,500 shares of common stock at the public offering price which was not exercised.</w:t>
      </w:r>
    </w:p>
    <w:p>
      <w:pPr>
        <w:spacing w:after="0" w:line="19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(“CDC”)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pacing w:after="0" w:line="17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While the COVID-19 pandemic continues to rapidly evolve, the Company continues to assess the impact of the COVID-19 pandemic to best mitigate risk and continue the operations of the Company’s business. The extent to which the outbreak impacts the Company’s business, liquidity, results of operations and financial condition will depend on future developments, which are highly uncertain and cannot be predicted with confidence, including new information that may emerge concerning the severity of the COVID-19 pandemic and the actions to contain it or treat its impact, among others. If the Company, its customers or suppliers experience prolonged shutdowns or other business disruptions, the Company’s business, liquidity, results of operations and financial condition are likely to be materially adversely affected, and the Company’s ability to access the capital markets may be limited.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823" w:right="339" w:bottom="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both"/>
        <w:ind w:firstLine="486"/>
        <w:spacing w:after="0" w:line="254" w:lineRule="auto"/>
        <w:rPr>
          <w:sz w:val="20"/>
          <w:szCs w:val="20"/>
          <w:color w:val="auto"/>
        </w:rPr>
      </w:pPr>
      <w:r>
        <w:rPr>
          <w:rFonts w:ascii="Arial" w:cs="Arial" w:eastAsia="Arial" w:hAnsi="Arial"/>
          <w:sz w:val="18"/>
          <w:szCs w:val="18"/>
          <w:color w:val="auto"/>
        </w:rPr>
        <w:t>The Company believes that based on the information presented above and its annual management assessment, it has sufficient liquidity to fund its operations and capital expenditures for the next twelve months following the issuance of the financial statements for the year ended March 31, 2021. The Company’s liquidity is highly dependent on its ability to increase revenues, including its ability to collect revenues under its agreements with Inox, its ability to control its operating costs, and its ability to raise additional capital, if necessary. The impact of the COVID-19 pandemic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00" w:lineRule="exact"/>
        <w:rPr>
          <w:sz w:val="20"/>
          <w:szCs w:val="20"/>
          <w:color w:val="auto"/>
        </w:rPr>
      </w:pPr>
    </w:p>
    <w:p>
      <w:pPr>
        <w:spacing w:after="0" w:line="234" w:lineRule="exact"/>
        <w:rPr>
          <w:sz w:val="20"/>
          <w:szCs w:val="20"/>
          <w:color w:val="auto"/>
        </w:rPr>
      </w:pPr>
    </w:p>
    <w:p>
      <w:pPr>
        <w:ind w:left="180" w:right="7680" w:hanging="172"/>
        <w:spacing w:after="0" w:line="503" w:lineRule="auto"/>
        <w:tabs>
          <w:tab w:leader="none" w:pos="19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Consolidation</w:t>
      </w:r>
    </w:p>
    <w:p>
      <w:pPr>
        <w:jc w:val="both"/>
        <w:ind w:firstLine="486"/>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and transactions are eliminated. Certain reclassifications of prior year amounts have been made to conform to the current year presentation. These reclassifications had no effect on net income, cash flows from operating activities or stockholders’ equity.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contingent consideration, warranty provisions, stock-based compensation,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Marketable securities consist of certificates of deposit with maturities of less than 12 months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Accounts receivable consist of amounts owed by commercial companies and government agencies. Accounts receivable are stated net of allowances for doubtful accounts. The Company’s accounts receivable relate principally to a limited number of customers. As of March 31, 2021, Naval Surface Warfare Center accounted for approximately 28%, and RWE Renewables, LLC accounted for approximately 11% of the Company's accounts receivable balance, with no other customers accounting for greater than 10% of the balance. As of March 31, 2020, Fuji Bridex Pte. Ltd. accounted for approximately 25%, Department of Homeland Security accounted for 18%, and Doosan Heavy Industries &amp; Construction Co., Ltd. accounted for approximately 17% of the Company's accounts receivable balance, with no other customers accounting for greater than 10% of the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results of operations, and cash flows.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Inventories include material, direct labor and related manufacturing overhead, and are stated at the lower of cost, determined on a first-in, first-out basis, or net realizable value determined as the estimated selling prices in the ordinary course of business, less reasonably predictable costs of completion, disposal and transportation. The Company records inventory when it takes delivery and title to the product according to the terms of each supply contract.</w:t>
      </w:r>
    </w:p>
    <w:p>
      <w:pPr>
        <w:spacing w:after="0" w:line="1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19" w:gutter="0" w:footer="0" w:header="0"/>
        </w:sectPr>
      </w:pPr>
    </w:p>
    <w:bookmarkStart w:id="58" w:name="page59"/>
    <w:bookmarkEnd w:id="58"/>
    <w:p>
      <w:pPr>
        <w:jc w:val="both"/>
        <w:ind w:firstLine="486"/>
        <w:spacing w:after="0" w:line="279" w:lineRule="auto"/>
        <w:rPr>
          <w:sz w:val="20"/>
          <w:szCs w:val="20"/>
          <w:color w:val="auto"/>
        </w:rPr>
      </w:pPr>
      <w:r>
        <w:rPr>
          <w:rFonts w:ascii="Arial" w:cs="Arial" w:eastAsia="Arial" w:hAnsi="Arial"/>
          <w:sz w:val="17"/>
          <w:szCs w:val="17"/>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the fiscal years ended March 31, 2021 and 2020, the Company recorded inventory reserves of approximately $1.8 million and $1.3 million, respectively, based on evaluating its ending inventory on hand for excess quantities and obsolescence.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Leases include all agreements in which the Company obtains control of a physical asset. Leases are captured on the balance sheet as both a right of use asset and associated lease liability and are valued based on the commencement of the Company's control of the asset, after being discounted by its incremental borrowing rate. The Company's lease portfolio is made up primarily of real estate leases for its various offices, but also include items such as vehicles, IT equipment and other miscellaneous tools and equipment needed for manufacturing. The Company's incremental borrowing rate was determined through an analysis to identify what rates it could obtain if the Company were to secure external financing for similar transactions, and includes considerations of both the market and its current credit ratings. An analysis is performed annually, or upon execution of any individually material agreement, to ensure that the rates being applied to newly acquired leases are still accurate.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majority of the Company's leases are classified as operating leases, and therefore the expense is captured in income from operations each period.</w:t>
      </w:r>
    </w:p>
    <w:p>
      <w:pPr>
        <w:spacing w:after="0" w:line="2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elected to exclude all leases of less than twelve months from the balance sheet presentation. We have also elected a policy in which we will not segregate lease components from non-lease components, so in the event we execute an agreement which includes a non-lease component our asset and liability recorded to the balance sheet will include the value of that non-lease component as well. This policy will be applied to all classifications of leases.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Asset Classification</w:t>
            </w:r>
          </w:p>
        </w:tc>
        <w:tc>
          <w:tcPr>
            <w:tcW w:w="10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 in Years</w:t>
            </w:r>
          </w:p>
        </w:tc>
        <w:tc>
          <w:tcPr>
            <w:tcW w:w="60" w:type="dxa"/>
            <w:vAlign w:val="bottom"/>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580" w:type="dxa"/>
            <w:vAlign w:val="bottom"/>
            <w:gridSpan w:val="2"/>
            <w:shd w:val="clear" w:color="auto" w:fill="CCEEFF"/>
          </w:tcPr>
          <w:p>
            <w:pPr>
              <w:jc w:val="right"/>
              <w:ind w:right="247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580" w:type="dxa"/>
            <w:vAlign w:val="bottom"/>
            <w:gridSpan w:val="2"/>
          </w:tcPr>
          <w:p>
            <w:pPr>
              <w:jc w:val="right"/>
              <w:ind w:right="253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Shorter of the estimated useful life or the remaining lease term</w:t>
            </w: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indicators requiring impairment testing on the Company's long-lived assets during the fiscal years ended March 31, 2021 and 2020.</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Goodwill represents the excess of cost over net assets of acquired businesses that are consolidated. The Company performs its annual assessment of goodwill on February 28th of each fiscal year and whenever events or changes in circumstances or a triggering event indicate that the carrying amount may not be recoverable. Determining whether a triggering event has occurred often involves significant judgment from management. An entity is permitted to first assess qualitatively whether it is necessary to perform a goodwill impairment test. The quantitative impairment test is required only if the entity concludes that it is more likely than not that a reporting unit’s fair value is less than its carrying amount. The Company determines the fair value of a reporting unit based on an income approach utilizing a discounted cash flow adjusted for entity specific factors. In evaluating whether it is more likely than not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not to exceed the total amount of the goodwill allocated to the that reporting unit. See Note 5, "Goodwill" for further information and discussion.</w:t>
      </w:r>
    </w:p>
    <w:p>
      <w:pPr>
        <w:spacing w:after="0" w:line="1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performed its annual assessment of goodwill on February 28, 2021 and noted no triggering events from the analysis date to March 31, 2021 and determined that there was no impairment to goodwill. Additionally, there was no impairment identified for the fiscal year ended March 31, 2020 based on the assessment performed in the prior fiscal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 contracts are defined as an arrangement that creates enforceable rights and obligations of both parties where collection of the contract price is deemed probable. The Company records revenue based on a five-step model which includes confirmation of contract existence,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w:t>
      </w:r>
    </w:p>
    <w:p>
      <w:pPr>
        <w:spacing w:after="0" w:line="16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The Company follows this method when any of the three following criteria are met: when the customer receives the benefits as they are performed, control transfers to the customer as the work is performed, or there is no alternative use to the Company and there is an enforceable right to payment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point in time method.</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enters into sales arrangements that may provide for multiple performance obligations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Performance obligations are separated into more than one unit of accounting when (1) the delivered element(s) have value to the customer on a stand-alone basis, and (2) the Company's promise to transfer the goods or services to the customer is separately identifiable from other promises in the contract. In general, revenues are separated between the different product shipments which have stand-alone value, and the various services to be provided. Revenue for product shipments is generally recognized at a point in time where control of the product is transferred to the customer, while revenues for the services are generally recognized over the period of performance. The Company identifies all goods and/or services that are to be delivered separately under a sales arrangement and allocates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The Company reviews SSP and the related margins at least annually.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ind w:firstLine="486"/>
        <w:spacing w:after="0" w:line="270" w:lineRule="auto"/>
        <w:rPr>
          <w:sz w:val="20"/>
          <w:szCs w:val="20"/>
          <w:color w:val="auto"/>
        </w:rPr>
      </w:pPr>
      <w:r>
        <w:rPr>
          <w:rFonts w:ascii="Arial" w:cs="Arial" w:eastAsia="Arial" w:hAnsi="Arial"/>
          <w:sz w:val="17"/>
          <w:szCs w:val="17"/>
          <w:color w:val="auto"/>
        </w:rPr>
        <w:t>The Company’s license agreements provide either for the payment of contractually determined paid-up front license fees or milestone based payments in consideration for the grant of rights to manufacture and/or sell products using its patented technologies or know-how. Some of these agreements provide for the release of the licensee from past and future intellectual property infringement claims. When the Company can determine that it has no further obligations other than the grant of the license and that the Company has fully transferred the technology know-how, the Company recognizes the revenue under a point in time model. In other license arrangements, the Company may also agree to provide training services to transfer the technology know-how. In these arrangements,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its performance using the over-time method. Costs for these arrangements are expensed as incurred.</w:t>
      </w:r>
    </w:p>
    <w:p>
      <w:pPr>
        <w:spacing w:after="0" w:line="18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the Company recognizes revenue for these amounts upon reaching the constraining event successfully. The Company does not generally provide for extended payment terms or provide its customers with a right of return.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24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See Note 4, “Revenue Recognition,” for further information regarding the Company’s adoption of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 Company accounts for acquisitions using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for each acquisition is allocated to the assets acquired and liabilities assumed based on their estimated fair values at the date of acquisition. Intangible assets, if identified, are also recorded at fair value. The excess purchase price over the estimated fair value of the net assets acquired is recorded as goodwill.</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Determining the fair value of certain assets and liabilities assumed is judgmental in nature and often involves the use of significant estimates and assumptions as well as the use of specialists as needed.</w:t>
      </w:r>
    </w:p>
    <w:p>
      <w:pPr>
        <w:spacing w:after="0" w:line="1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consideration for its acquisitions may include future payments that are contingent upon the occurrence of a particular event. The Company records a contingent consideration obligation for such contingent consideration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Each period the Company revalues the contingent consideration obligations associated with the acquisition to fair value and records changes in the fair value within the operating expenses in its consolidated statements of operations.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 See Note 3, "NEPSI Acquisition," for additional information.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Warranty obligations are incurred in connection with the sale of the Company’s products. 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income taxes are recognized for the tax consequences in future fiscal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Romania and China deferred income tax assets since the Company believes that it is more likely than not that these deferred tax assets are not currently realizable due to uncertainty around profitability in the future.</w:t>
      </w:r>
    </w:p>
    <w:p>
      <w:pPr>
        <w:spacing w:after="0" w:line="16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13, “Income Taxes,” for further information regarding its income tax assumptions and expenses.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stock-based payment transactions using a fair value-based method and recognizes the related expense in the results of operations.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For awards with performance conditions, estimates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6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share-based payments made to non-employees in the same manner as other share-based payments for employees, with the measurement being based on the fair value at the grant date. The non-employee share based payments will be included within the Company's stock compensation currently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left="18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2021 and 2020, common equivalent shares of 436,139, and 354,748, respectively, were not included in the calculation of diluted EPS as they were considered antidilutive. The following table reconciles the numerators and denominators of the EPS calculation for the fiscal years ended March 31, 2021 and 2020 (in thousands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Fiscal year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(22,678)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(17,096)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decrease in fair value of warrants, net of income tax</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Plus: change in fair value due to exercise of warrants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(21,662)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Denominator: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shares of common stock outstanding</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24,991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Weighted-average shares subject to repurchase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used in per-share calculation ― basic</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Common stock warrants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used in per-share calculation ― diluted</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line="196" w:lineRule="exact"/>
              <w:rPr>
                <w:sz w:val="20"/>
                <w:szCs w:val="20"/>
                <w:color w:val="auto"/>
              </w:rPr>
            </w:pPr>
            <w:r>
              <w:rPr>
                <w:rFonts w:ascii="Arial" w:cs="Arial" w:eastAsia="Arial" w:hAnsi="Arial"/>
                <w:sz w:val="18"/>
                <w:szCs w:val="18"/>
                <w:color w:val="auto"/>
              </w:rPr>
              <w:t>Net loss per share ― basic</w:t>
            </w:r>
          </w:p>
        </w:tc>
        <w:tc>
          <w:tcPr>
            <w:tcW w:w="920" w:type="dxa"/>
            <w:vAlign w:val="bottom"/>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(0.95)</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diluted</w:t>
            </w:r>
          </w:p>
        </w:tc>
        <w:tc>
          <w:tcPr>
            <w:tcW w:w="920" w:type="dxa"/>
            <w:vAlign w:val="bottom"/>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(0.95)</w:t>
            </w: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functional currency of all the Company’s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and losses are included in other income (expense), net on the consolidated statements of operations and were $0.7 million and $0.1 million, for the fiscal years ended March 31, 2021 and 2020, respectively. The Company has no restrictions on the foreign exchange activities of its foreign subsidiaries, including the payment of dividends and other distributions.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invests its available cash in high credit, quality financial instruments and invests primarily in investment-grade marketable securities, including, but not limited to, government obligations, money market funds and corporate debt instruments.</w:t>
      </w:r>
    </w:p>
    <w:p>
      <w:pPr>
        <w:spacing w:after="0" w:line="170"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obtain additional contract modifications in the year ending March 31, 2022 and beyond as incremental funding is authorized and appropriated by the government.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16, “Commitments and Contingencies,” for further information.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Company’s financial instruments consist principally of cash and cash equivalents, accounts receivable, marketable securities, accounts payable, accrued expenses, warrants to purchase shares of common stock, and derivatives. The carrying amounts of cash and cash equivalents, accounts receivable, short-term debt, accounts payable, and accrued expenses due to their short nature approximate fair value at March 31, 2021 and 2020. The estimated fair values have been determined through information obtained from market sources and management estimates. Marketable securities consist of certificates of deposit with maturities of less than 12 months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fair value for the contingent consideration is estimated using a Monte Carlo simulation and subject to revaluation at each balance sheet date. The fair value for the warrant arrangements was historically estimated by management based on various assumptions in a lattice model and was subject to revaluation at each balance sheet date. The Company classifies the estimates used to fair value these instruments as Level 3 inputs. See Note 6, “Fair Value Measurements” for a full discussion on fair value measurements.</w:t>
      </w:r>
    </w:p>
    <w:p>
      <w:pPr>
        <w:sectPr>
          <w:pgSz w:w="11900" w:h="16838" w:orient="portrait"/>
          <w:cols w:equalWidth="0" w:num="1">
            <w:col w:w="11240"/>
          </w:cols>
          <w:pgMar w:left="320" w:top="584" w:right="339" w:bottom="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4" w:name="page65"/>
    <w:bookmarkEnd w:id="64"/>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NEPSI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described in Note 1, Nature of the Business and Operations and Liquidity, on the Acquisition Date, the Company acquired all of the issued and outstanding shares of capital stock of NEPSI and membership interests of Northeast Power Realty, LLC, a New York limited liability company, which holds the real property that serves as NEPSI’s headquarters.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Pursuant to the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twelve months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acquisition. The excess of the purchase price paid by the Company over the estimated fair value of net assets acquired has been recorded as goodwill. As NEPSI was previously a private company, the adoption of ASC 606 was completed as part of the NEPSI Acquisition. See Note 4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the Acquisition Date, in addition to the $26.0 million cash, the Company valued the Company’s common stock, using $14.23 per share, which was the closing price on the day that the Company acquired NEPSI and $4.0 million of contingent consideration for the earnout liability valued as of the Acquisition Date. Acquisition costs of $0.3 million were recorded in selling, general and administrative ("SG&amp;A") costs for the year ended March 31, 2021.</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See Note 12, "Warrants and Derivative Liabilities" for further details and a summary of key assumptions used to determine fair value in each period.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0"/>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0"/>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w:t>
      </w:r>
    </w:p>
    <w:p>
      <w:pPr>
        <w:sectPr>
          <w:pgSz w:w="11900" w:h="16942" w:orient="portrait"/>
          <w:cols w:equalWidth="0" w:num="1">
            <w:col w:w="11240"/>
          </w:cols>
          <w:pgMar w:left="320" w:top="823" w:right="339" w:bottom="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to SG&amp;A.</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jc w:val="both"/>
        <w:ind w:firstLine="486"/>
        <w:spacing w:after="0" w:line="254" w:lineRule="auto"/>
        <w:rPr>
          <w:sz w:val="20"/>
          <w:szCs w:val="20"/>
          <w:color w:val="auto"/>
        </w:rPr>
      </w:pPr>
      <w:r>
        <w:rPr>
          <w:rFonts w:ascii="Arial" w:cs="Arial" w:eastAsia="Arial" w:hAnsi="Arial"/>
          <w:sz w:val="18"/>
          <w:szCs w:val="18"/>
          <w:color w:val="auto"/>
        </w:rPr>
        <w:t>Goodwill represents the value associated with the acquired workforce and expected synergies related to the business combination of the two companies. Goodwill resulting from the NEPSI Acquisition was assigned to the Company’s Grid segment. Goodwill recognized in the NEPSI Acquisition is not deductible for tax purposes. This purchase price allocation is preliminary and has not been finalized as the analysis on the assets and liabilities acquired, primarily the tax related liability may require further adjustments to our purchase accounting that could result in a measurement period adjustment that would impact our reported net assets and goodwill as of October 1, 2020. Material changes, if any, to the preliminary allocation summarized above will be reported once the related uncertainties are resolved, but no later than October 1, 2021. The $1.7 million of deferred tax liability is primarily related to inventory step up and intangibles.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year ended March 31, 2021 and 2020 is presented as if the NEPSI Acquisition had occurred on April 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Twelve Months Ended March 31,</w:t>
            </w: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99,462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(20,781)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(23,050)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(12,922)</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Shares - basic</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23,879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21,859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23,879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21,943</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 forma amounts include the historical operating results of the Company and NEPSI with appropriate adjustments that give effect to acquisition related costs, income taxes, intangible amortization resulting from the NEPSI Acquisition and certain conforming accounting policies of the Company. The fiscal year ended March 31, 2021 includes a $3.0 million increase in operating loss and net loss for the change in fair value on the contingent consideration. The pro forma amounts are not necessarily indicative of the operating results that would have occurred if the NEPSI Acquisition and related transactions had been completed at the beginning of the applicable periods presented. In addition, the pro forma amounts are not necessarily indicative of operating results in future periods.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consolidated results for the year ended March 31, 2021, NEPSI’s operations are included in the Company’s consolidated results from the date of Acquisition of October 1, 2020. NEPSI contributed $13.2 million of revenue and $0.3 million in net income for the Company for the fiscal year ended March 31, 2021. Amortization expense of $1.2 million is included in the year ended March 31, 2021 as a result of the NEPSI acquired intangible assets. In addition, $1.0 million for the step-up basis assigned to acquired inventory was charged to cost of revenues in the year ended 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As of March 31, 2021, 78% of revenue was recognized at the point in time when control transferred to the customer, with the remainder being recognized over time. In the fiscal year ended March 31, 2020, 72% of revenue was recognized at the point in time when control transferred to the customer, with the remainder being recognized over time.</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Following the NEPSI Acquisition, the Company evaluated all open NEPSI contracts at the Acquisition Date against a five-step model in accordance with ASC 606 as NEPSI, as a private company, had deferred adopting ASC 606 prior to the Acquisition, as permitted. The Company identified two NEPSI revenue streams which are (1) the sale of its major components, which falls under the equipment and systems product line and (2) the sale of spare parts, which falls under the service product line. Further details on each of these product lines can be found below. The Company does not expect a material impact to its consolidated statements of operations on an ongoing basis resulting from the adoption of the ASC 606 standard for the NEPSI business, and NEPSI revenue streams will follow the existing policies noted below.</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as the Company has determined that this is the point in time that control transfers to the customer.</w:t>
      </w:r>
    </w:p>
    <w:p>
      <w:pPr>
        <w:spacing w:after="0" w:line="19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year ended March 31, 2021, the Company recorded $3.9 million in grant revenue, which is included in the Company’s Grid revenue. There was $6.4 million in grant revenue recorded in the year ended March 31, 2020, which is included in the Company's Grid revenue.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308" w:gutter="0" w:footer="0" w:header="0"/>
        </w:sectPr>
      </w:pPr>
    </w:p>
    <w:bookmarkStart w:id="67" w:name="page68"/>
    <w:bookmarkEnd w:id="67"/>
    <w:p>
      <w:pPr>
        <w:jc w:val="both"/>
        <w:ind w:firstLine="486"/>
        <w:spacing w:after="0" w:line="268" w:lineRule="auto"/>
        <w:rPr>
          <w:sz w:val="20"/>
          <w:szCs w:val="20"/>
          <w:color w:val="auto"/>
        </w:rPr>
      </w:pPr>
      <w:r>
        <w:rPr>
          <w:rFonts w:ascii="Arial" w:cs="Arial" w:eastAsia="Arial" w:hAnsi="Arial"/>
          <w:sz w:val="17"/>
          <w:szCs w:val="17"/>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service contracts can include a purchase order from a customer for specific goods in which each item is a distinct performance obligation satisfied at a point in time at which control of the goods is transferred to the customer which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policy is to not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 term amount will be assessed for materiality. The Company has elected to not adjust the promised amount of consideration for the effects of a significant financing component if the period of financing is twelve months or less.</w:t>
      </w:r>
    </w:p>
    <w:p>
      <w:pPr>
        <w:spacing w:after="0" w:line="16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Year Ended March 31, 2021</w:t>
            </w:r>
          </w:p>
        </w:tc>
      </w:tr>
      <w:tr>
        <w:trPr>
          <w:trHeight w:val="210"/>
        </w:trPr>
        <w:tc>
          <w:tcPr>
            <w:tcW w:w="414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38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5"/>
              </w:rPr>
              <w:t>Wind</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4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65,930</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70,528</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16,597</w:t>
            </w:r>
          </w:p>
        </w:tc>
      </w:tr>
      <w:tr>
        <w:trPr>
          <w:trHeight w:val="196"/>
        </w:trPr>
        <w:tc>
          <w:tcPr>
            <w:tcW w:w="414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Americas</w:t>
            </w:r>
          </w:p>
        </w:tc>
        <w:tc>
          <w:tcPr>
            <w:tcW w:w="4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54,168</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EMEA</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4"/>
        </w:trPr>
        <w:tc>
          <w:tcPr>
            <w:tcW w:w="4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Year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92"/>
              </w:rPr>
              <w:t>March 31, 2020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5"/>
              </w:rPr>
              <w:t>Wind</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4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14,253</w:t>
            </w:r>
          </w:p>
        </w:tc>
      </w:tr>
      <w:tr>
        <w:trPr>
          <w:trHeight w:val="197"/>
        </w:trPr>
        <w:tc>
          <w:tcPr>
            <w:tcW w:w="414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Americas</w:t>
            </w:r>
          </w:p>
        </w:tc>
        <w:tc>
          <w:tcPr>
            <w:tcW w:w="4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33,207</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EMEA</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14,253</w:t>
            </w:r>
          </w:p>
        </w:tc>
      </w:tr>
      <w:tr>
        <w:trPr>
          <w:trHeight w:val="412"/>
        </w:trPr>
        <w:tc>
          <w:tcPr>
            <w:tcW w:w="41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52</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50" w:gutter="0" w:footer="0" w:header="0"/>
        </w:sectPr>
      </w:pPr>
    </w:p>
    <w:bookmarkStart w:id="68" w:name="page69"/>
    <w:bookmarkEnd w:id="68"/>
    <w:p>
      <w:pPr>
        <w:jc w:val="both"/>
        <w:ind w:firstLine="486"/>
        <w:spacing w:after="0" w:line="342" w:lineRule="auto"/>
        <w:rPr>
          <w:sz w:val="20"/>
          <w:szCs w:val="20"/>
          <w:color w:val="auto"/>
        </w:rPr>
      </w:pPr>
      <w:r>
        <w:rPr>
          <w:rFonts w:ascii="Arial" w:cs="Arial" w:eastAsia="Arial" w:hAnsi="Arial"/>
          <w:sz w:val="16"/>
          <w:szCs w:val="16"/>
          <w:color w:val="auto"/>
        </w:rPr>
        <w:t>In the fiscal years ended March 31, 2021 and 2020, 41% and 51% of the Company’s revenues, respectively, were recognized from sales outside the United States. The Company maintains operations in Austria and the United States and sales and service support centers around the world.</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March 31, 2021 and March 31, 2020,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7, “Accounts Receivable” and Note 8, “Inventory” for a reconciliation to the condensed consolidated balance sheet) and contract liabilities, which are included in the current portion and long term portion of “deferred revenue” in the Company’s condensed consolidated balance sheets,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Unbilled AR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Increases for balances acquired</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(8,687)</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52,988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8"/>
              </w:rPr>
              <w:t>Increase (decrease) due to recognition of revenue based on transfer of control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performance obligations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(61,183)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09"/>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as of March 31, 2021</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21,257</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Unbilled AR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2019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(11,516)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(3,525)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Increase (decrease) due to recognition of revenue based on transfer of control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performance obligations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15,017</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r>
      <w:tr>
        <w:trPr>
          <w:trHeight w:val="20"/>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March 31, 2020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March 31, 2021, the Company had outstanding performance obligations on existing contracts under ASC 606 to be recognized in the next twelve months of approximately $54.9 million. There are also approximately $16.9 million of outstanding performance obligations to be recognized over a period of thirteen to sixty months. The remaining performance obligations are subject to customer actions and therefore the timing of revenue recognition cannot be reasonably estimated. The twelve month performance obligations include anticipated shipments to Inox based on the twelve 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customers who represented 10% or more of the Company’s total revenues for the year ended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gridSpan w:val="3"/>
          </w:tcPr>
          <w:p>
            <w:pPr>
              <w:jc w:val="center"/>
              <w:ind w:right="95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64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Reportable</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950"/>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64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EPC Services Company</w:t>
            </w:r>
          </w:p>
        </w:tc>
        <w:tc>
          <w:tcPr>
            <w:tcW w:w="1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Grid</w:t>
            </w:r>
          </w:p>
        </w:tc>
        <w:tc>
          <w:tcPr>
            <w:tcW w:w="104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8"/>
              </w:rPr>
              <w:t>13%</w:t>
            </w:r>
          </w:p>
        </w:tc>
        <w:tc>
          <w:tcPr>
            <w:tcW w:w="210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2"/>
              </w:rPr>
              <w:t>0%</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Grid</w:t>
            </w:r>
          </w:p>
        </w:tc>
        <w:tc>
          <w:tcPr>
            <w:tcW w:w="1040" w:type="dxa"/>
            <w:vAlign w:val="bottom"/>
          </w:tcPr>
          <w:p>
            <w:pPr>
              <w:jc w:val="center"/>
              <w:ind w:left="350"/>
              <w:spacing w:after="0"/>
              <w:rPr>
                <w:sz w:val="20"/>
                <w:szCs w:val="20"/>
                <w:color w:val="auto"/>
              </w:rPr>
            </w:pPr>
            <w:r>
              <w:rPr>
                <w:rFonts w:ascii="Arial" w:cs="Arial" w:eastAsia="Arial" w:hAnsi="Arial"/>
                <w:sz w:val="18"/>
                <w:szCs w:val="18"/>
                <w:color w:val="auto"/>
                <w:w w:val="94"/>
              </w:rPr>
              <w:t>&lt;10%</w:t>
            </w:r>
          </w:p>
        </w:tc>
        <w:tc>
          <w:tcPr>
            <w:tcW w:w="2100" w:type="dxa"/>
            <w:vAlign w:val="bottom"/>
            <w:gridSpan w:val="3"/>
          </w:tcPr>
          <w:p>
            <w:pPr>
              <w:jc w:val="center"/>
              <w:ind w:left="550"/>
              <w:spacing w:after="0"/>
              <w:rPr>
                <w:sz w:val="20"/>
                <w:szCs w:val="20"/>
                <w:color w:val="auto"/>
              </w:rPr>
            </w:pPr>
            <w:r>
              <w:rPr>
                <w:rFonts w:ascii="Arial" w:cs="Arial" w:eastAsia="Arial" w:hAnsi="Arial"/>
                <w:sz w:val="18"/>
                <w:szCs w:val="18"/>
                <w:color w:val="auto"/>
                <w:w w:val="94"/>
              </w:rPr>
              <w:t>10%</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guidance under ASC 805-30 provides for the recognition of goodwill on the Acquisition Date measured as the excess of the aggregate consideration transferred over the net of the Acquisition Date amounts of net assets acquired and liabilities assumed. The Company's goodwill balance relates to the NEPSI Acquisition in fiscal 2020 and Infinia Technology Corporation in fiscal 2017 and is reported in the Grid business segment.</w:t>
      </w:r>
    </w:p>
    <w:p>
      <w:pPr>
        <w:spacing w:after="0" w:line="14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on February 28th and whenever events or changes in circumstances indicate that the carrying value of the goodwill might not be recoverable.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roll forward of the changes in our Grid business segment goodwill balance: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4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NEPSI Acquisition</w:t>
            </w:r>
          </w:p>
        </w:tc>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32,915</w:t>
            </w:r>
          </w:p>
        </w:tc>
        <w:tc>
          <w:tcPr>
            <w:tcW w:w="100" w:type="dxa"/>
            <w:vAlign w:val="bottom"/>
          </w:tcPr>
          <w:p>
            <w:pPr>
              <w:spacing w:after="0"/>
              <w:rPr>
                <w:sz w:val="18"/>
                <w:szCs w:val="18"/>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2021</w:t>
            </w:r>
          </w:p>
        </w:tc>
        <w:tc>
          <w:tcPr>
            <w:tcW w:w="4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change in goodwill during the year ended March 31, 2020.</w:t>
      </w:r>
    </w:p>
    <w:p>
      <w:pPr>
        <w:sectPr>
          <w:pgSz w:w="11900" w:h="16838" w:orient="portrait"/>
          <w:cols w:equalWidth="0" w:num="1">
            <w:col w:w="11240"/>
          </w:cols>
          <w:pgMar w:left="320" w:top="584" w:right="339" w:bottom="0" w:gutter="0" w:footer="0" w:header="0"/>
        </w:sectPr>
      </w:pPr>
    </w:p>
    <w:bookmarkStart w:id="69" w:name="page70"/>
    <w:bookmarkEnd w:id="69"/>
    <w:p>
      <w:pPr>
        <w:jc w:val="both"/>
        <w:ind w:firstLine="486"/>
        <w:spacing w:after="0" w:line="263" w:lineRule="auto"/>
        <w:rPr>
          <w:sz w:val="20"/>
          <w:szCs w:val="20"/>
          <w:color w:val="auto"/>
        </w:rPr>
      </w:pPr>
      <w:r>
        <w:rPr>
          <w:rFonts w:ascii="Arial" w:cs="Arial" w:eastAsia="Arial" w:hAnsi="Arial"/>
          <w:sz w:val="18"/>
          <w:szCs w:val="18"/>
          <w:color w:val="auto"/>
        </w:rPr>
        <w:t>The Company performed its annual assessment of goodwill on February 28, 2021 and noted no triggering events from the analysis date to March 31, 2021 and determined that there was no impairment to goodwill. Additionally, no impairment resulted from the assessment performed in the fiscal year ended March 31,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ectPr>
          <w:pgSz w:w="11900" w:h="16838" w:orient="portrait"/>
          <w:cols w:equalWidth="0" w:num="1">
            <w:col w:w="11240"/>
          </w:cols>
          <w:pgMar w:left="320" w:top="823" w:right="339" w:bottom="0" w:gutter="0" w:footer="0" w:header="0"/>
        </w:sectPr>
      </w:pPr>
    </w:p>
    <w:p>
      <w:pPr>
        <w:spacing w:after="0" w:line="16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Level 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166" w:lineRule="exact"/>
        <w:rPr>
          <w:sz w:val="20"/>
          <w:szCs w:val="20"/>
          <w:color w:val="auto"/>
        </w:rPr>
      </w:pPr>
    </w:p>
    <w:p>
      <w:pPr>
        <w:sectPr>
          <w:pgSz w:w="11900" w:h="16838" w:orient="portrait"/>
          <w:cols w:equalWidth="0" w:num="3">
            <w:col w:w="1040" w:space="320"/>
            <w:col w:w="60" w:space="240"/>
            <w:col w:w="9580"/>
          </w:cols>
          <w:pgMar w:left="320" w:top="823" w:right="339" w:bottom="0" w:gutter="0" w:footer="0" w:header="0"/>
          <w:type w:val="continuous"/>
        </w:sectPr>
      </w:pPr>
    </w:p>
    <w:p>
      <w:pPr>
        <w:ind w:left="500"/>
        <w:spacing w:after="0"/>
        <w:rPr>
          <w:sz w:val="20"/>
          <w:szCs w:val="20"/>
          <w:color w:val="auto"/>
        </w:rPr>
      </w:pPr>
      <w:r>
        <w:rPr>
          <w:rFonts w:ascii="Arial" w:cs="Arial" w:eastAsia="Arial" w:hAnsi="Arial"/>
          <w:sz w:val="15"/>
          <w:szCs w:val="15"/>
          <w:b w:val="1"/>
          <w:bCs w:val="1"/>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45" w:lineRule="exact"/>
        <w:rPr>
          <w:sz w:val="20"/>
          <w:szCs w:val="20"/>
          <w:color w:val="auto"/>
        </w:rPr>
      </w:pPr>
    </w:p>
    <w:p>
      <w:pPr>
        <w:sectPr>
          <w:pgSz w:w="11900" w:h="16838" w:orient="portrait"/>
          <w:cols w:equalWidth="0" w:num="3">
            <w:col w:w="1040" w:space="320"/>
            <w:col w:w="60" w:space="240"/>
            <w:col w:w="9580"/>
          </w:cols>
          <w:pgMar w:left="320" w:top="823" w:right="339" w:bottom="0" w:gutter="0" w:footer="0" w:header="0"/>
          <w:type w:val="continuous"/>
        </w:sectPr>
      </w:pPr>
    </w:p>
    <w:p>
      <w:pPr>
        <w:ind w:left="500"/>
        <w:spacing w:after="0"/>
        <w:rPr>
          <w:sz w:val="20"/>
          <w:szCs w:val="20"/>
          <w:color w:val="auto"/>
        </w:rPr>
      </w:pPr>
      <w:r>
        <w:rPr>
          <w:rFonts w:ascii="Arial" w:cs="Arial" w:eastAsia="Arial" w:hAnsi="Arial"/>
          <w:sz w:val="15"/>
          <w:szCs w:val="15"/>
          <w:b w:val="1"/>
          <w:bCs w:val="1"/>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sectPr>
          <w:pgSz w:w="11900" w:h="16838" w:orient="portrait"/>
          <w:cols w:equalWidth="0" w:num="3">
            <w:col w:w="1040" w:space="320"/>
            <w:col w:w="60" w:space="240"/>
            <w:col w:w="9580"/>
          </w:cols>
          <w:pgMar w:left="320" w:top="823" w:right="339" w:bottom="0" w:gutter="0" w:footer="0" w:header="0"/>
          <w:type w:val="continuous"/>
        </w:sectPr>
      </w:pPr>
    </w:p>
    <w:p>
      <w:pPr>
        <w:jc w:val="both"/>
        <w:ind w:firstLine="486"/>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year ended March 31, 2021.</w:t>
      </w:r>
    </w:p>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Marketable securities consist of certificates of deposit with maturities of less than 12 months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would be recorded to other income (expense), net. The Company recognized less than a $0.1 million in unrealized gains on marketable securities, which is recorded in other income, in the fiscal year ended March 31, 2021. The Company recognized $0.1 million in unrealized gains on marketable securities, which is recorded in other income, for the fiscal year ending March 31, 2020.</w:t>
      </w:r>
    </w:p>
    <w:p>
      <w:pPr>
        <w:spacing w:after="0" w:line="17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Contingent consideration relates to the earnout payment for the NEPSI Acquisition. See Note 3 "NEPSI Acquisition" and Note 12, "Warrants and Derivative Liabilities" for further discussion. The Company relied on a Monte Carlo simulation pricing method to determine the fair value of the contingent consideration on the Acquisition Date and will continue to revalue the fair value of the contingent consideration at each subsequent balance sheet date until the final settlement date, with the resulting gain or loss recorded in operating expenses.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March 31, 2021 and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Quoted Prices in</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Active Markets</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 (Level 3)</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5,141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5,141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7,050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Quoted Prices in</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Active Markets</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 (Level 3)</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35,195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35,195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r>
      <w:tr>
        <w:trPr>
          <w:trHeight w:val="418"/>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823" w:right="339" w:bottom="0" w:gutter="0" w:footer="0" w:header="0"/>
          <w:type w:val="continuous"/>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ind w:left="500"/>
        <w:spacing w:after="0"/>
        <w:rPr>
          <w:sz w:val="20"/>
          <w:szCs w:val="20"/>
          <w:color w:val="auto"/>
        </w:rPr>
      </w:pPr>
      <w:r>
        <w:rPr>
          <w:rFonts w:ascii="Arial" w:cs="Arial" w:eastAsia="Arial" w:hAnsi="Arial"/>
          <w:sz w:val="17"/>
          <w:szCs w:val="17"/>
          <w:color w:val="auto"/>
        </w:rPr>
        <w:t>The table below reflects the activity for the Company’s major classes of liabilities measured at fair value on a recurring basis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9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Consideration</w:t>
            </w: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April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Issuance of contingent consideration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 to market adjustment</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 to market adjustment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Exercise of in-the-money warrants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7. Accounts Receivable</w:t>
            </w: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w w:val="98"/>
              </w:rPr>
              <w:t>Accounts receivable at March 31, 2021 and March 31, 2020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net of reserves, at March 31, 2021 and March 31, 2020 consisted of the following (in thousands):</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r>
      <w:tr>
        <w:trPr>
          <w:trHeight w:val="195"/>
        </w:trPr>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8,255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10,739</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5,260</w:t>
            </w:r>
          </w:p>
        </w:tc>
      </w:tr>
      <w:tr>
        <w:trPr>
          <w:trHeight w:val="230"/>
        </w:trPr>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1,631</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13,306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18,975</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recorded inventory reserves of $1.8 million and $1.3 million for the fiscal years ended March 31, 2021 and 2020, respectively. These write downs were based on evaluating its inventory on hand for excess quantities and obsolescence.</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Deferred program costs as of March 31, 2021 and March 31, 2020 primarily represent costs incurred on programs accounted for upon completion of the project when control has transferred to the customer before revenue and costs will be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9. Property, Plant and Equipment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0" w:type="dxa"/>
            <w:vAlign w:val="bottom"/>
            <w:gridSpan w:val="4"/>
          </w:tcPr>
          <w:p>
            <w:pPr>
              <w:ind w:left="500"/>
              <w:spacing w:after="0"/>
              <w:rPr>
                <w:sz w:val="20"/>
                <w:szCs w:val="20"/>
                <w:color w:val="auto"/>
              </w:rPr>
            </w:pPr>
            <w:r>
              <w:rPr>
                <w:rFonts w:ascii="Arial" w:cs="Arial" w:eastAsia="Arial" w:hAnsi="Arial"/>
                <w:sz w:val="18"/>
                <w:szCs w:val="18"/>
                <w:color w:val="auto"/>
                <w:w w:val="90"/>
              </w:rPr>
              <w:t>The cost and accumulated depreciation of property and equipment at March 31, 2021 and 2020 are as follows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4"/>
                <w:szCs w:val="24"/>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Construction in progress - equipment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3,130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41,652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41,737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gross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48,646</w:t>
            </w: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(42,416)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(40,081)</w:t>
            </w: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expense was $3.7 million and $4.0 million, for the fiscal years ended March 31, 2021 and 2020, respectively. Construction in progress</w:t>
      </w:r>
    </w:p>
    <w:p>
      <w:pPr>
        <w:spacing w:after="0" w:line="46" w:lineRule="exact"/>
        <w:rPr>
          <w:sz w:val="20"/>
          <w:szCs w:val="20"/>
          <w:color w:val="auto"/>
        </w:rPr>
      </w:pPr>
    </w:p>
    <w:p>
      <w:pPr>
        <w:ind w:firstLine="8"/>
        <w:spacing w:after="0" w:line="260" w:lineRule="auto"/>
        <w:tabs>
          <w:tab w:leader="none" w:pos="1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equipment primarily includes capital investments in the Company's HTS equipment and leasehold improvements in the Company's leased facility in Ayer, Massachusetts. The increase in land and building relates to the property added as part of the NEPSI Acquisition.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10. Intangible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15"/>
          </w:tcPr>
          <w:p>
            <w:pPr>
              <w:ind w:left="500"/>
              <w:spacing w:after="0"/>
              <w:rPr>
                <w:sz w:val="20"/>
                <w:szCs w:val="20"/>
                <w:color w:val="auto"/>
              </w:rPr>
            </w:pPr>
            <w:r>
              <w:rPr>
                <w:rFonts w:ascii="Arial" w:cs="Arial" w:eastAsia="Arial" w:hAnsi="Arial"/>
                <w:sz w:val="18"/>
                <w:szCs w:val="18"/>
                <w:color w:val="auto"/>
              </w:rPr>
              <w:t>Intangible assets at March 31, 2021 and 2020 consisted of the following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2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3,067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3,550</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3,550</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recorded intangible amortization expense of $1.2 million and $0.3 million, for the fiscal years ended March 31, 2021, and 2020, respectively. Additionally, in the fiscal year ended March 31, 2021, the Company recorded $0.5 million related to intangible amortization related to backlog that is reported in cost of revenues.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ind w:left="50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Fiscal years ending March 31,</w:t>
            </w:r>
          </w:p>
        </w:tc>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2023</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2025</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r>
      <w:tr>
        <w:trPr>
          <w:trHeight w:val="249"/>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5" w:name="page76"/>
    <w:bookmarkEnd w:id="7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11. Accounts Payable and Accrued Expenses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80" w:type="dxa"/>
            <w:vAlign w:val="bottom"/>
            <w:gridSpan w:val="3"/>
          </w:tcPr>
          <w:p>
            <w:pPr>
              <w:ind w:left="500"/>
              <w:spacing w:after="0"/>
              <w:rPr>
                <w:sz w:val="20"/>
                <w:szCs w:val="20"/>
                <w:color w:val="auto"/>
              </w:rPr>
            </w:pPr>
            <w:r>
              <w:rPr>
                <w:rFonts w:ascii="Arial" w:cs="Arial" w:eastAsia="Arial" w:hAnsi="Arial"/>
                <w:sz w:val="18"/>
                <w:szCs w:val="18"/>
                <w:color w:val="auto"/>
                <w:w w:val="92"/>
              </w:rPr>
              <w:t>Accounts payable and accrued expenses at March 31, 2021 and March 31, 2020 consisted of the following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4"/>
                <w:szCs w:val="24"/>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Advanced deposits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19,810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22,091</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Product warranty activity was as follows (in thousands):</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w:t>
            </w:r>
          </w:p>
        </w:tc>
        <w:tc>
          <w:tcPr>
            <w:tcW w:w="1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1,545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Warranty Obligation</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accruals for warranties during the period</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Settlements during the period</w:t>
            </w:r>
          </w:p>
        </w:tc>
        <w:tc>
          <w:tcPr>
            <w:tcW w:w="10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2,015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 and Derivative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Stock Purchase Agreement (see Note 3, "NEPSI Acquisition"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Arial" w:cs="Arial" w:eastAsia="Arial" w:hAnsi="Arial"/>
                <w:sz w:val="18"/>
                <w:szCs w:val="18"/>
                <w:color w:val="auto"/>
              </w:rPr>
              <w:t>Fiscal Year 2020</w:t>
            </w:r>
          </w:p>
        </w:tc>
        <w:tc>
          <w:tcPr>
            <w:tcW w:w="2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March 31, 2021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October, 1, 2020</w:t>
            </w:r>
          </w:p>
        </w:tc>
        <w:tc>
          <w:tcPr>
            <w:tcW w:w="160" w:type="dxa"/>
            <w:vAlign w:val="bottom"/>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volatility</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Payment delay (days)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 million</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6"/>
              </w:rPr>
              <w:t>$6.7 million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 million</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Warrants</w:t>
      </w:r>
    </w:p>
    <w:p>
      <w:pPr>
        <w:spacing w:after="0" w:line="2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accounted for its warrants as liabilities due to certain adjustment provisions within the instruments, which required that they be recorded at fair value. The warrants were subject to revaluation at each balance sheet date and any change in fair value was recorded as a change in fair value of warrants until the earlier of its expiration or its exercise at which time the warrant liability was reclassified to equity. The Company calculated the fair value of the warrants utilizing an integrated lattice model. See Note 6, "Fair Value Measurements," for further discussion. As of March 31, 2021 and 2020, the Company had no remaining outstanding warrants.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Hercules Warrant</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December 19, 2014, the Company entered into a second amendment to the Loan and Security Agreement with Hercules (the "Hercules Second Amendment"). In conjunction with the Hercules Second Amendment, the Company issued Hercules a warrant to purchase 58,823 shares of the Company's common stock (the "Hercules Warrant"). The Hercules Warrant was exercisable at any time after its issuance at an exercise price of $7.85 per share, subject to certain price-based and other anti-dilution adjustments, including the equity offering in May 2017, the acquisition of Infinia Technology Corporation ("ITC") with common stock in September 2017 and sales of common stock under the ATM entered into in January 2017. This warrant had a fair value of $0.4 million as of March 31, 2019. On April 8, 2019, Hercules notified the Company of its intent to exercise this warrant on a cashless basis. Hercules received 22,821 shares of the Company's common stock on April 17, 2019. As a result of this exercise the Company recorded a net gain of $0.1 million to change in fair value of warrants, resulting from the decrease in the fair value of the Hercules Warrant during the year ended March 31, 2020.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Hudson Warrant</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November 13, 2014, the Company completed an offering of 909,090 units of the Company’s common stock with Hudson Bay Capital. Each unit consisted of one share of the Company’s common stock and 0.9 of a warrant to purchase one share of common stock, or warrants to purchase in the</w:t>
      </w:r>
    </w:p>
    <w:p>
      <w:pPr>
        <w:sectPr>
          <w:pgSz w:w="11900" w:h="16861" w:orient="portrait"/>
          <w:cols w:equalWidth="0" w:num="1">
            <w:col w:w="11240"/>
          </w:cols>
          <w:pgMar w:left="320" w:top="823" w:right="339" w:bottom="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aggregate 818,181 shares (the "Hudson Warrants"). The Hudson Warrants were exercisable at any time, at an exercise price equal to $7.81 per share, subject to certain price-based and other anti-dilution adjustments including those noted above. On November 13, 2019, Hudson partially exercised the Hudson Warrants for 786,000 restricted shares of Company common stock at $7.81 per share. The remaining 32,181 warrants expired on November 13, 2019. The Company recorded a net gain of $4.6 million to change in fair value of warrants, resulting from the decrease in the fair value of the Hudson Warrants during the year ended March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(Loss) income before income taxes for the fiscal years ended March 31, 2021, and 2020 are provided in the table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(26,721)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(18,260)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(23,510)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(16,901)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tax expense (benefit) attributable to continuing operations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years ended March 31,</w:t>
            </w:r>
          </w:p>
        </w:tc>
      </w:tr>
      <w:tr>
        <w:trPr>
          <w:trHeight w:val="210"/>
        </w:trPr>
        <w:tc>
          <w:tcPr>
            <w:tcW w:w="38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Federal</w:t>
            </w:r>
          </w:p>
        </w:tc>
        <w:tc>
          <w:tcPr>
            <w:tcW w:w="51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1,814</w:t>
            </w:r>
          </w:p>
        </w:tc>
      </w:tr>
      <w:tr>
        <w:trPr>
          <w:trHeight w:val="216"/>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4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Total current</w:t>
            </w:r>
          </w:p>
        </w:tc>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r>
      <w:tr>
        <w:trPr>
          <w:trHeight w:val="216"/>
        </w:trPr>
        <w:tc>
          <w:tcPr>
            <w:tcW w:w="38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Deferred</w:t>
            </w:r>
          </w:p>
        </w:tc>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0"/>
        </w:trPr>
        <w:tc>
          <w:tcPr>
            <w:tcW w:w="3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4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r>
      <w:tr>
        <w:trPr>
          <w:trHeight w:val="209"/>
        </w:trPr>
        <w:tc>
          <w:tcPr>
            <w:tcW w:w="382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51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413"/>
        </w:trPr>
        <w:tc>
          <w:tcPr>
            <w:tcW w:w="3820" w:type="dxa"/>
            <w:vAlign w:val="bottom"/>
            <w:tcBorders>
              <w:top w:val="single" w:sz="8" w:color="CCEEFF"/>
            </w:tcBorders>
          </w:tcPr>
          <w:p>
            <w:pPr>
              <w:spacing w:after="0"/>
              <w:rPr>
                <w:sz w:val="24"/>
                <w:szCs w:val="24"/>
                <w:color w:val="auto"/>
              </w:rPr>
            </w:pPr>
          </w:p>
        </w:tc>
        <w:tc>
          <w:tcPr>
            <w:tcW w:w="418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59</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78" w:name="page79"/>
    <w:bookmarkEnd w:id="78"/>
    <w:p>
      <w:pPr>
        <w:ind w:left="500"/>
        <w:spacing w:after="0"/>
        <w:rPr>
          <w:sz w:val="20"/>
          <w:szCs w:val="20"/>
          <w:color w:val="auto"/>
        </w:rPr>
      </w:pPr>
      <w:r>
        <w:rPr>
          <w:rFonts w:ascii="Arial" w:cs="Arial" w:eastAsia="Arial" w:hAnsi="Arial"/>
          <w:sz w:val="18"/>
          <w:szCs w:val="18"/>
          <w:color w:val="auto"/>
        </w:rPr>
        <w:t>The reconciliation between the statutory federal income tax rate and the Company’s effective income tax rate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w w:val="97"/>
              </w:rPr>
              <w:t>Fiscal years ended March 31,</w:t>
            </w:r>
          </w:p>
        </w:tc>
      </w:tr>
      <w:tr>
        <w:trPr>
          <w:trHeight w:val="209"/>
        </w:trPr>
        <w:tc>
          <w:tcPr>
            <w:tcW w:w="4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Foreign income tax rate differential</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True-up of NOLs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GILTI</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9600" w:type="dxa"/>
            <w:vAlign w:val="bottom"/>
            <w:gridSpan w:val="7"/>
          </w:tcPr>
          <w:p>
            <w:pPr>
              <w:ind w:left="500"/>
              <w:spacing w:after="0"/>
              <w:rPr>
                <w:sz w:val="20"/>
                <w:szCs w:val="20"/>
                <w:color w:val="auto"/>
              </w:rPr>
            </w:pPr>
            <w:r>
              <w:rPr>
                <w:rFonts w:ascii="Arial" w:cs="Arial" w:eastAsia="Arial" w:hAnsi="Arial"/>
                <w:sz w:val="18"/>
                <w:szCs w:val="18"/>
                <w:color w:val="auto"/>
                <w:w w:val="92"/>
              </w:rPr>
              <w:t>The following is a summary of the principal components of the Company’s deferred tax assets and liabilities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March 31, 2021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March 31, 2020</w:t>
            </w: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184,455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195,504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and other tax credit carryforwards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13,244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Accruals and reserves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5,352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Fixed assets and 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205,714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217,362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(200,081)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(199,989)</w:t>
            </w: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17,373</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Intercompany Debt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(14,365)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(1,637)</w:t>
            </w:r>
          </w:p>
        </w:tc>
      </w:tr>
      <w:tr>
        <w:trPr>
          <w:trHeight w:val="20"/>
        </w:trPr>
        <w:tc>
          <w:tcPr>
            <w:tcW w:w="49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(4,684)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(16,002)</w:t>
            </w:r>
          </w:p>
        </w:tc>
      </w:tr>
      <w:tr>
        <w:trPr>
          <w:trHeight w:val="25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0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980" w:type="dxa"/>
            <w:vAlign w:val="bottom"/>
          </w:tcPr>
          <w:p>
            <w:pPr>
              <w:spacing w:after="0"/>
              <w:rPr>
                <w:sz w:val="24"/>
                <w:szCs w:val="24"/>
                <w:color w:val="auto"/>
              </w:rPr>
            </w:pPr>
          </w:p>
        </w:tc>
        <w:tc>
          <w:tcPr>
            <w:tcW w:w="2860" w:type="dxa"/>
            <w:vAlign w:val="bottom"/>
          </w:tcPr>
          <w:p>
            <w:pPr>
              <w:jc w:val="right"/>
              <w:ind w:right="203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79" w:name="page80"/>
    <w:bookmarkEnd w:id="79"/>
    <w:p>
      <w:pPr>
        <w:jc w:val="both"/>
        <w:ind w:firstLine="720"/>
        <w:spacing w:after="0" w:line="293" w:lineRule="auto"/>
        <w:rPr>
          <w:sz w:val="20"/>
          <w:szCs w:val="20"/>
          <w:color w:val="auto"/>
        </w:rPr>
      </w:pPr>
      <w:r>
        <w:rPr>
          <w:rFonts w:ascii="Arial" w:cs="Arial" w:eastAsia="Arial" w:hAnsi="Arial"/>
          <w:sz w:val="16"/>
          <w:szCs w:val="16"/>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some of the more significant provisions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of 2017. The CARES Act is not expected to have a material impact on the Company’s financial position, results of operations or cash flows.</w:t>
      </w:r>
    </w:p>
    <w:p>
      <w:pPr>
        <w:spacing w:after="0" w:line="16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provided a full valuation allowance against its net deferred income tax assets in the U.S., Romania and China since it is more likely than not that its deferred tax assets will not be realizable. After consideration of all the available evidence, both positive and negative, the Company has determined that a $200.1 million valuation allowance at March 31, 2021 is necessary to reduce the deferred tax assets to the amount that will more likely than not be realized which is a $0.1 million increase from the $200.0 valuation allowance as of March 31, 2020.</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At March 31, 2021, the Company had aggregate net operating loss carryforwards in the U.S. for federal and state income tax purposes of approximately $780.5 million and $211.1 million, respectively, which expire in the years ending March 31, 2021 through 2040. For U.S. federal tax purpose, approximately $68.2 million of federal net operating losses have an indefinite carryforward period. Included in the U.S. net operating loss are $3.7 million of acquired losses from Power Quality Systems, Inc. and $0.3 million of acquired losses from Infinia Technology Corporation. Research and development and other tax credit carryforwards amounting to approximately $10.6 million and $3.0 million are available to offset federal and state income taxes, respectively, and will expire in the years ending through 2040.</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March 31, 2021, the Company had aggregate net operating loss carryforwards for its Chinese operation of approximately $30.1 million, which can be carried forward for five years and begin to expire December 31, 2021.</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March 31, 2021, AMSC Romania had aggregate net operating loss carryforwards of approximately $0.9 million, which can be carried forward for seven years and begin to expire at March 31, 2028.</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Section 382 of the U.S. Internal Revenue Code of 1986, as amended (the “IRC”), provides limits on the extent to which a corporation that has undergone an ownership change (as defined) can utilize any net operating loss ("NOL") and general business tax credit carryforwards it may have. The Company updated its study in 2020 to determine whether Section 382 could limit the use of its carryforwards in this manner. After completing this study, the Company has concluded that the limitation will not have a material impact on its ability to utilize its NOL carryforwards. If there were material ownership changes subsequent to the study, such changes could limit the Company's ability to utilize its NOL carryforwards.</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total amount of undistributed foreign earnings available to be repatriated at March 31, 2021 was $1.7 million resulting in the recording of a $0.3 million deferred tax liability for foreign withholding taxes.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has not recorded a deferred tax asset for the temporary difference associated with the excess of the tax greater than the book basis in its Chinese and Romanian subsidiaries as the future tax benefit is not expected to reverse in the foreseeable future.</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2021. The Company did not have any gross unrecognized tax benefits at March 31, 2021 or 2020.</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reversals of uncertain tax positions in the fiscal years ended March 31, 2021 and 2020.</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conducts business globally and, as a result, its subsidiaries file income tax returns in the U.S. federal jurisdiction and various state and foreign jurisdictions. Major tax jurisdictions include the U.S., China, Romania and Austria. All U.S. income tax filings for fiscal years ended March 31, 1996 through 2021 remain open and subject to examination.</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All fiscal years from the fiscal year ended March 31, 2019 through 2021 remain open and subject to examination in Austria. As of March 31, 2021, the Company remains open to audit for the calendar years 2016 and forward in China. Tax filings in Romania for the fiscal years ended March 31, 2016 through 2021 remain open and subject to examination.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On April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using the modified retrospective approach. The Company elected the package of practical expedients available in the standard and as a result, did not reassess the lease classification of existing contracts or leases or the initial direct costs associated with existing leases. The Company did not elect the hindsight practical expedient and evaluated lease terms for existing leases. The Company has also elected the practical expedient to not separate lease components and non-lease components and will account for the leases as a single lease component for all classes of leases.</w:t>
      </w:r>
    </w:p>
    <w:p>
      <w:pPr>
        <w:spacing w:after="0" w:line="1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agreements generally provide for fixed minimum rental payments and the payment of real estate taxes and insurance. Many of these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7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The Company did not identify any leases that are classified as financing leases.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920" w:type="dxa"/>
            <w:vAlign w:val="bottom"/>
          </w:tcPr>
          <w:p>
            <w:pPr>
              <w:ind w:left="500"/>
              <w:spacing w:after="0"/>
              <w:rPr>
                <w:sz w:val="20"/>
                <w:szCs w:val="20"/>
                <w:color w:val="auto"/>
              </w:rPr>
            </w:pPr>
            <w:r>
              <w:rPr>
                <w:rFonts w:ascii="Arial" w:cs="Arial" w:eastAsia="Arial" w:hAnsi="Arial"/>
                <w:sz w:val="18"/>
                <w:szCs w:val="18"/>
                <w:color w:val="auto"/>
                <w:w w:val="91"/>
              </w:rPr>
              <w:t>Supplemental balance sheet information related to leases at March 31, 2021 and 2020 are as follows: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 2020</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3,747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3,359</w:t>
            </w: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right-of-use assets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3,359</w:t>
            </w:r>
          </w:p>
        </w:tc>
      </w:t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3,246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3,439</w:t>
            </w:r>
          </w:p>
        </w:tc>
      </w:tr>
      <w:tr>
        <w:trPr>
          <w:trHeight w:val="196"/>
        </w:trPr>
        <w:tc>
          <w:tcPr>
            <w:tcW w:w="7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r>
    </w:tbl>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costs related to the Company's leases for the fiscal years ended March 31, 2021 and 2020 are included in selling, general and administrative costs and are as follows: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 fixed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costs - variable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20" w:type="dxa"/>
            <w:vAlign w:val="bottom"/>
          </w:tcPr>
          <w:p>
            <w:pPr>
              <w:spacing w:after="0"/>
              <w:rPr>
                <w:sz w:val="20"/>
                <w:szCs w:val="20"/>
                <w:color w:val="auto"/>
              </w:rPr>
            </w:pPr>
          </w:p>
        </w:tc>
      </w:tr>
      <w:tr>
        <w:trPr>
          <w:trHeight w:val="41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r>
      <w:tr>
        <w:trPr>
          <w:trHeight w:val="216"/>
        </w:trPr>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8840" w:type="dxa"/>
            <w:vAlign w:val="bottom"/>
          </w:tcPr>
          <w:p>
            <w:pPr>
              <w:ind w:left="500"/>
              <w:spacing w:after="0"/>
              <w:rPr>
                <w:sz w:val="20"/>
                <w:szCs w:val="20"/>
                <w:color w:val="auto"/>
              </w:rPr>
            </w:pPr>
            <w:r>
              <w:rPr>
                <w:rFonts w:ascii="Arial" w:cs="Arial" w:eastAsia="Arial" w:hAnsi="Arial"/>
                <w:sz w:val="18"/>
                <w:szCs w:val="18"/>
                <w:color w:val="auto"/>
              </w:rPr>
              <w:t>The Company’s estimated minimum future lease obligations under the Company's leases are as follows:</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Operating Leases</w:t>
            </w:r>
          </w:p>
        </w:tc>
      </w:tr>
      <w:tr>
        <w:trPr>
          <w:trHeight w:val="20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2022</w:t>
            </w:r>
          </w:p>
        </w:tc>
        <w:tc>
          <w:tcPr>
            <w:tcW w:w="14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8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r>
      <w:tr>
        <w:trPr>
          <w:trHeight w:val="224"/>
        </w:trPr>
        <w:tc>
          <w:tcPr>
            <w:tcW w:w="8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Borders>
              <w:top w:val="single" w:sz="8" w:color="CCEEFF"/>
            </w:tcBorders>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March 31, 2021, the Company had two active stock plans: the 2007 Stock Incentive Plan, as amended (the “2007 Plan”) and the Amended and Restated 2007 Director Stock Plan (the “2007 Director Plan”). On August 1, 2019, the Company’s stockholders approved amendments to the 2007 Plan and the 2007 Director Plan. The amendment to the 2007 Plan increased the total number of shares of common stock authorized for issuance under the 2007 Plan from 3,400,000 shares to 4,600,000 shares. The amendment to the 2007 Director Plan increased the total number of shares of common stock authorized for issuance under the 2007 Director Plan from 230,000 shares to 280,000 shares.</w:t>
      </w:r>
    </w:p>
    <w:p>
      <w:pPr>
        <w:spacing w:after="0" w:line="1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2007 Plan provides for the grant of incentive stock options intended to qualify under Section 422 of the IRC of 1986, as amended, nonstatutory stock options, stock appreciation rights, restricted stock, restricted stock units and other stock-based awards. In the case of options, the exercise price is no less than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w:t>
      </w:r>
    </w:p>
    <w:p>
      <w:pPr>
        <w:spacing w:after="0" w:line="1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2007 Director Plan provides for the grant of nonstatutory stock options and stock awards to members of the Board of Directors who are not also employees of the Company ("outside directors"). Under the terms of the 2007 Director Plan,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each outside director is granted an award of shares of common stock on the third business day following the last day of each fiscal year with an aggregate value equal to $40,000 using the closing price of the Company's common stock two business days following the last day of each fiscal year, subject to proration for any partial fiscal year of service.</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2021, the 2007 Plan had 793,499 shares available for future issuance and the 2007 Director Plan had 81,133 shares available for future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stock-based compensation for the years ended March 31, 2021 and 2020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stock and stock awards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3,428</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1,870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3,485</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1,922</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less than $0.1 million for the fiscal year ended March 31, 2021. This expense will be recognized over a weighted-average expense period of approximately 0.2 years. The total unrecognized compensation cost for unvested outstanding restricted stock was $4.4 million for the fiscal year ended March 31, 2021. This expense will be recognized over a weighted-average expense period of approximately 1.7 years.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stock-based compensation expense by financial statement line item for the fiscal years ended March 31, 2021 and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49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11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1,922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980" w:type="dxa"/>
            <w:vAlign w:val="bottom"/>
            <w:vMerge w:val="restart"/>
          </w:tcPr>
          <w:p>
            <w:pPr>
              <w:jc w:val="right"/>
              <w:ind w:right="2190"/>
              <w:spacing w:after="0"/>
              <w:rPr>
                <w:sz w:val="20"/>
                <w:szCs w:val="20"/>
                <w:color w:val="auto"/>
              </w:rPr>
            </w:pPr>
            <w:r>
              <w:rPr>
                <w:rFonts w:ascii="Arial" w:cs="Arial" w:eastAsia="Arial" w:hAnsi="Arial"/>
                <w:sz w:val="18"/>
                <w:szCs w:val="18"/>
                <w:color w:val="auto"/>
              </w:rPr>
              <w:t>63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406" w:gutter="0" w:footer="0" w:header="0"/>
        </w:sectPr>
      </w:pPr>
    </w:p>
    <w:bookmarkStart w:id="82" w:name="page83"/>
    <w:bookmarkEnd w:id="82"/>
    <w:p>
      <w:pPr>
        <w:ind w:left="500"/>
        <w:spacing w:after="0"/>
        <w:rPr>
          <w:sz w:val="20"/>
          <w:szCs w:val="20"/>
          <w:color w:val="auto"/>
        </w:rPr>
      </w:pPr>
      <w:r>
        <w:rPr>
          <w:rFonts w:ascii="Arial" w:cs="Arial" w:eastAsia="Arial" w:hAnsi="Arial"/>
          <w:sz w:val="17"/>
          <w:szCs w:val="17"/>
          <w:color w:val="auto"/>
        </w:rPr>
        <w:t>The following table summarizes the information concerning currently outstanding and exercisable employee and non-employee options: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r>
      <w:tr>
        <w:trPr>
          <w:trHeight w:val="234"/>
        </w:trPr>
        <w:tc>
          <w:tcPr>
            <w:tcW w:w="4620" w:type="dxa"/>
            <w:vAlign w:val="bottom"/>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Options / 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49.95</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Canceled/forfeited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129.53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0"/>
        </w:trPr>
        <w:tc>
          <w:tcPr>
            <w:tcW w:w="46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127,140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44.38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0"/>
        </w:trPr>
        <w:tc>
          <w:tcPr>
            <w:tcW w:w="4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March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124,196</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140" w:right="120"/>
        <w:spacing w:after="0" w:line="259" w:lineRule="auto"/>
        <w:rPr>
          <w:sz w:val="20"/>
          <w:szCs w:val="20"/>
          <w:color w:val="auto"/>
        </w:rPr>
      </w:pPr>
      <w:r>
        <w:rPr>
          <w:rFonts w:ascii="Arial" w:cs="Arial" w:eastAsia="Arial" w:hAnsi="Arial"/>
          <w:sz w:val="18"/>
          <w:szCs w:val="18"/>
          <w:color w:val="auto"/>
        </w:rPr>
        <w:t>The Company did not grant any options to purchase shares of common stock during the year ended March 31, 2021. The Company granted options to purchase 5,939 shares of common stock during the year ended March 31, 2020. The stock options granted during the year ended March 31, 2020 will vest over 2 years. The weighted average assumptions used in the Black Scholes valuation model for stock options granted during the year ended March 31, 2020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Fiscal years ended</w:t>
            </w:r>
          </w:p>
        </w:tc>
      </w:tr>
      <w:tr>
        <w:trPr>
          <w:trHeight w:val="234"/>
        </w:trPr>
        <w:tc>
          <w:tcPr>
            <w:tcW w:w="6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418"/>
        </w:trPr>
        <w:tc>
          <w:tcPr>
            <w:tcW w:w="9680" w:type="dxa"/>
            <w:vAlign w:val="bottom"/>
            <w:gridSpan w:val="6"/>
          </w:tcPr>
          <w:p>
            <w:pPr>
              <w:ind w:left="500"/>
              <w:spacing w:after="0"/>
              <w:rPr>
                <w:sz w:val="20"/>
                <w:szCs w:val="20"/>
                <w:color w:val="auto"/>
              </w:rPr>
            </w:pPr>
            <w:r>
              <w:rPr>
                <w:rFonts w:ascii="Arial" w:cs="Arial" w:eastAsia="Arial" w:hAnsi="Arial"/>
                <w:sz w:val="18"/>
                <w:szCs w:val="18"/>
                <w:color w:val="auto"/>
                <w:w w:val="92"/>
              </w:rPr>
              <w:t>The following table summarizes the employee and non-employee restricted stock activity for the year ended March 31, 2021:</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Grant Date Fair</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Aggregate Value</w:t>
            </w:r>
          </w:p>
        </w:tc>
      </w:tr>
      <w:tr>
        <w:trPr>
          <w:trHeight w:val="234"/>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982,247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712,824</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(414,449)</w:t>
            </w:r>
          </w:p>
        </w:tc>
        <w:tc>
          <w:tcPr>
            <w:tcW w:w="10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(232,708)</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1,047,914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19,868</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total fair value of restricted stock that was granted during the fiscal years ended March 31, 2021 and 2020 was $5.1 million and $3.4 million, respectively. The total fair value of restricted stock that vested during the fiscal years ended March 31, 2021 and 2020 was $4.3 million and $2.9 million, respectively.</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255,000 performance-based restricted shares awarded during the fiscal year ended March 31, 2021 for which the performance conditions are deemed probable to be met and the expense is being recorded over the expected vesting period. There were 94,500 performance-based restricted shares awarded during the fiscal year ended March 31, 2020 for which the performance conditions are deemed probable to be met and the expense is being recorded over the expected vesting period.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remaining shares awarded vest upon the passage of time. For awards that vest upon the passage of time, expense is being recorded over the vesting period.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the 2000 Employee Stock Purchase Plan, as amended (the "ESPP") which provides employees with the opportunity to purchase shares of common stock at a price equal to the market value of the common stock at the end of the offering period, less a 15% purchase discount. As of March 31, 2021, the ESPP had 187,868 shares available for future issuance. The Company recognized less than $0.1 million of compensation expense for both the fiscal years ended March 31, 2021 and 2020, related to the ESPP.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year ended March 31, 2021 and 2020 all leases were recorded in selling, general and administrative expense. See Note 14, "Leases"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31, 2021, the Company had $5.6 million of restricted cash included in long-term assets and $2.2 million of restricted cash in current assets. These amounts included in restricted cash primarily represent deposits to secure letters of credit for various supply contracts or collateral deposits including the irrevocable letter of credit in the amount of $5.0 million to secure certain of the Company’s obligations under the Subcontract Agreement with Commonwealth Edison Company. These deposits are held in interest bearing accounts.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17. Employee Benefit Plans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implemented a defined contribution plan (the “Plan”) under Section 401(k) of the IRC. Any contributions made by the Company to the Plan are discretionary. The Company has a stock match program under which the Company matched, in the form of Company common stock, 50% of the first 6% of eligible contributions. The Company recorded expense of $0.4 million for the fiscal year ended March 31, 2021, and $0.3 million for the fiscal year ended March 31, 2020, and recorded corresponding charges to additional paid-in capital related to this program.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The Company reports its financial results in two reportable business segments: Grid and Wind.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aggregate two operating segments into one reporting segment for financial reporting purposes due to their similar operating and financial characteristics. Our operating segments reflect the way in which internally-reported financial information is used to make decisions and allocate resources.</w:t>
      </w:r>
    </w:p>
    <w:p>
      <w:pPr>
        <w:spacing w:after="0" w:line="1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The operating results for the two business segments are as follows (in thousands):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40" w:type="dxa"/>
            <w:vAlign w:val="bottom"/>
            <w:gridSpan w:val="6"/>
          </w:tcPr>
          <w:p>
            <w:pPr>
              <w:ind w:left="420"/>
              <w:spacing w:after="0"/>
              <w:rPr>
                <w:sz w:val="20"/>
                <w:szCs w:val="20"/>
                <w:color w:val="auto"/>
              </w:rPr>
            </w:pPr>
            <w:r>
              <w:rPr>
                <w:rFonts w:ascii="Arial" w:cs="Arial" w:eastAsia="Arial" w:hAnsi="Arial"/>
                <w:sz w:val="18"/>
                <w:szCs w:val="18"/>
                <w:b w:val="1"/>
                <w:bCs w:val="1"/>
                <w:color w:val="auto"/>
              </w:rPr>
              <w:t>Fiscal Years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Grid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70,528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49,585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Wind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16,597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87,125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63,838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Fiscal Years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Grid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(13,318)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(13,508)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Unallocated corporate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(1,922)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(23,165)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(23,129)</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 for the two business segments as of March 31, 2021 and March 31, 2020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2020</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Wind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14,250</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168,866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124,109</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5" w:name="page86"/>
    <w:bookmarkEnd w:id="85"/>
    <w:p>
      <w:pPr>
        <w:jc w:val="both"/>
        <w:ind w:firstLine="486"/>
        <w:spacing w:after="0" w:line="263" w:lineRule="auto"/>
        <w:rPr>
          <w:sz w:val="20"/>
          <w:szCs w:val="20"/>
          <w:color w:val="auto"/>
        </w:rPr>
      </w:pPr>
      <w:r>
        <w:rPr>
          <w:rFonts w:ascii="Arial" w:cs="Arial" w:eastAsia="Arial" w:hAnsi="Arial"/>
          <w:sz w:val="18"/>
          <w:szCs w:val="18"/>
          <w:color w:val="auto"/>
        </w:rPr>
        <w:t>Unallocated corporate expenses primarily consist of loss on contingent consideration of $3.0 million and stock-based compensation expense of $3.5 million, in the fiscal year ended March 31, 2021. Unallocated corporate expenses primarily consist of stock-based compensation of $1.9 million in the year ended March 31, 2020.</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Europe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8,997</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8,565</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Recent Accounting Pronouncements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will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The Company is currently evaluating the impact, if any, the adoption of ASU 2016-13 may have on its consolidated financial statements.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The amendments in ASU 2018-13 provide for increased effectiveness of the disclosures made around fair value measurements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consideration for costs and benefits. The ASU is effective for annual reporting periods beginning after December 15, 2019, including interim periods within those periods. As of April 1, 2020, the Company has adopted ASU 2018-13 and noted no material impact on its consolidated financial statements.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The ASU is effective for annual reporting periods beginning after December 15, 2020, including interim periods within those periods. The Company does not expect the impact of the adoption of ASU 2019-12 to be material to its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Annual Report on Form 10-K with the SEC, and has determined that other than the details below, there are no such events to report.</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May 6, 2021, the Company acquired all of the issued and outstanding shares of capital stock of (i) Neeltran Inc. ("Neeltran"), that supplies rectifiers and transformers to industrial customers, and (ii) Neeltran International, Inc. ("International"), for: (a) $1.0 million in cash, and (b) 301,556 shares of the Company’s common stock, which were paid and issued to the selling stockholders of Neeltran. The Company also paid $1.1 million to the selling stockholders of Neeltran at closing to pay off previous loans made by them to Neeltran.</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Also on May 6, 2021, the Company's wholly-owned Connecticut subsidiary, AMSC Husky LLC,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Additionally, the Company paid approximately $7.6 million, including the $1.9 million of indebtedness secured by the mortgage on the real property, directly to Neeltran lenders at closing to extinguish outstanding Neeltran indebtedness to third parties. All cash payments associated with the Neeltran acquisition were funded with cash on hand.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1240" w:hanging="260"/>
        <w:spacing w:after="0"/>
        <w:tabs>
          <w:tab w:leader="none" w:pos="1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48" w:lineRule="exact"/>
        <w:rPr>
          <w:rFonts w:ascii="Arial" w:cs="Arial" w:eastAsia="Arial" w:hAnsi="Arial"/>
          <w:sz w:val="16"/>
          <w:szCs w:val="16"/>
          <w:color w:val="auto"/>
        </w:rPr>
      </w:pPr>
    </w:p>
    <w:p>
      <w:pPr>
        <w:jc w:val="both"/>
        <w:ind w:right="20" w:firstLine="980"/>
        <w:spacing w:after="0" w:line="263" w:lineRule="auto"/>
        <w:tabs>
          <w:tab w:leader="none" w:pos="12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183" w:lineRule="exact"/>
        <w:rPr>
          <w:rFonts w:ascii="Arial" w:cs="Arial" w:eastAsia="Arial" w:hAnsi="Arial"/>
          <w:sz w:val="18"/>
          <w:szCs w:val="18"/>
          <w:color w:val="auto"/>
        </w:rPr>
      </w:pPr>
    </w:p>
    <w:p>
      <w:pPr>
        <w:ind w:firstLine="980"/>
        <w:spacing w:after="0" w:line="277" w:lineRule="auto"/>
        <w:tabs>
          <w:tab w:leader="none" w:pos="12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disclosed in Item 4, Controls and Procedures in our Quarterly Report on Form 10-Q for the quarter ended December 31, 2020, during the third quarter of fiscal 2020 we identified a material weakness in internal controls related to the initial purchase accounting and the continuing fair value accounting associated with the acquisition of Northeast Power Systems, Inc. ("NEPSI") and related assets (the "NEPSI Acquisition").</w:t>
      </w:r>
    </w:p>
    <w:p>
      <w:pPr>
        <w:spacing w:after="0" w:line="16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During the fourth quarter of fiscal 2020, management implemented new procedures, policies and processes, including revising the precision level of management review controls and gaining additional assurance regarding timely completion of our outside service providers’ quality control procedures, in order to remediate the material weakness. During this same quarter, we completed our testing of the operating effectiveness of the implemented controls and found them to be effective. As a result, we have concluded that the material weakness has been remediated as of March 31, 2021.</w:t>
      </w:r>
    </w:p>
    <w:p>
      <w:pPr>
        <w:spacing w:after="0" w:line="1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Committee of Sponsoring Organizations of the Treadway Commission’s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Edition). Our evaluation excluded the NEPSI Acquisition, which was acquired on October 1, 2020. Our Consolidated Statement of Operations for the year ended March 31, 2021 included revenue of approximately $13.1 million and our Consolidated Balance Sheet as of March 31, 2021 included total assets of approximately $48.8 million attributable to the NEPSI Acquisition. In accordance with guidance issued by the Securities and Exchange Commission, companies are allowed to exclude acquisitions from their assessment of internal control over financial reporting during the first year subsequent to the acquisition while integrating the acquired operations. Based on this evaluation, management concluded that our internal control over financial reporting is effective as of </w:t>
      </w:r>
      <w:r>
        <w:rPr>
          <w:rFonts w:ascii="Arial" w:cs="Arial" w:eastAsia="Arial" w:hAnsi="Arial"/>
          <w:sz w:val="17"/>
          <w:szCs w:val="17"/>
          <w:color w:val="333333"/>
        </w:rPr>
        <w:t>March 31, 2021</w:t>
      </w:r>
      <w:r>
        <w:rPr>
          <w:rFonts w:ascii="Arial" w:cs="Arial" w:eastAsia="Arial" w:hAnsi="Arial"/>
          <w:sz w:val="17"/>
          <w:szCs w:val="17"/>
          <w:color w:val="auto"/>
        </w:rPr>
        <w:t>.</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because we do not qualify as an accelerated or a large accelerated filer (as defined in Rule 12b-2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than changes related to our material weakness remediation efforts and new procedures associated with business combinations in general, initial purchase accounting and continuing fair value accounting specifically as described above, there were no changes in our internal control over financial reporting (as defined in Rules 13a-15(f) and 15d-15(f) under the Exchange Act) during the year ended March 31, 2021 that has materially affected, or is reasonably likely to materially affect, our internal control over financial reporting.</w:t>
      </w:r>
    </w:p>
    <w:p>
      <w:pPr>
        <w:spacing w:after="0" w:line="18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0" w:gutter="0" w:footer="0" w:header="0"/>
        </w:sectPr>
      </w:pPr>
    </w:p>
    <w:bookmarkStart w:id="87" w:name="page88"/>
    <w:bookmarkEnd w:id="87"/>
    <w:p>
      <w:pPr>
        <w:spacing w:after="0"/>
        <w:tabs>
          <w:tab w:leader="none" w:pos="13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response to this item is contained in part under the caption “Executive Officers” in Part I of this Annual Report on Form 10-K, and in part in our Proxy Statement for the Annual Meeting of Stockholders to be held in 2021 (the “2021 Proxy Statement”) in the sections “Corporate Governance — Members of the Board,” “Corporate Governance — Code of Business Conduct and Ethics,” “Corporate Governance —Board Committees” and “Corporate Governance — Board Committees — Audit Committee,” “Corporate Governance — Director Nomination Process”, “Corporate Governance — Board Determination of Independence”, which sections are incorporated herein by reference.</w:t>
      </w:r>
    </w:p>
    <w:p>
      <w:pPr>
        <w:spacing w:after="0" w:line="3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sections of the 2021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396" w:lineRule="exact"/>
        <w:rPr>
          <w:sz w:val="20"/>
          <w:szCs w:val="20"/>
          <w:color w:val="auto"/>
        </w:rPr>
      </w:pPr>
    </w:p>
    <w:p>
      <w:pPr>
        <w:ind w:left="1360" w:right="380" w:hanging="1349"/>
        <w:spacing w:after="0" w:line="277" w:lineRule="auto"/>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sections of the 2021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sections of the 2021 Proxy Statement titled “Certain Relationships and Related Transactions” and “Corporate Governance — Board Determination of Independence” and “Corporate Governance — Board Committees” are incorporated herein by reference.</w:t>
      </w:r>
    </w:p>
    <w:p>
      <w:pPr>
        <w:spacing w:after="0" w:line="38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section of the 2021 Proxy Statement titled “Ratification of Selection of Independent Registered Public Accounting Firm (Proposal 2)”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8" w:name="page89"/>
    <w:bookmarkEnd w:id="8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29" w:lineRule="exact"/>
        <w:rPr>
          <w:sz w:val="20"/>
          <w:szCs w:val="20"/>
          <w:color w:val="auto"/>
        </w:rPr>
      </w:pPr>
    </w:p>
    <w:p>
      <w:pPr>
        <w:ind w:left="500" w:right="6120" w:hanging="6"/>
        <w:spacing w:after="0" w:line="500" w:lineRule="auto"/>
        <w:tabs>
          <w:tab w:leader="none" w:pos="7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Document filed as part of this Annual Report on Form 10-K: 1. Financial Statements</w:t>
      </w:r>
    </w:p>
    <w:p>
      <w:pPr>
        <w:spacing w:after="0" w:line="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2060" w:type="dxa"/>
            <w:vAlign w:val="bottom"/>
            <w:gridSpan w:val="2"/>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37</w:t>
              </w:r>
            </w:hyperlink>
          </w:p>
        </w:tc>
      </w:tr>
      <w:tr>
        <w:trPr>
          <w:trHeight w:val="196"/>
        </w:trPr>
        <w:tc>
          <w:tcPr>
            <w:tcW w:w="4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Balance Sheets at March 31, 2021 and 2020</w:t>
              </w:r>
            </w:hyperlink>
          </w:p>
        </w:tc>
        <w:tc>
          <w:tcPr>
            <w:tcW w:w="40" w:type="dxa"/>
            <w:vAlign w:val="bottom"/>
            <w:tcBorders>
              <w:top w:val="single" w:sz="8" w:color="0000EE"/>
            </w:tcBorders>
          </w:tcPr>
          <w:p>
            <w:pPr>
              <w:spacing w:after="0"/>
              <w:rPr>
                <w:sz w:val="17"/>
                <w:szCs w:val="17"/>
                <w:color w:val="auto"/>
              </w:rPr>
            </w:pPr>
          </w:p>
        </w:tc>
        <w:tc>
          <w:tcPr>
            <w:tcW w:w="4960" w:type="dxa"/>
            <w:vAlign w:val="bottom"/>
            <w:gridSpan w:val="4"/>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38</w:t>
              </w:r>
            </w:hyperlink>
          </w:p>
        </w:tc>
      </w:tr>
      <w:tr>
        <w:trPr>
          <w:trHeight w:val="196"/>
        </w:trPr>
        <w:tc>
          <w:tcPr>
            <w:tcW w:w="65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Operations for the fiscal years ended March 31, 2021 and 2020</w:t>
              </w:r>
            </w:hyperlink>
          </w:p>
        </w:tc>
        <w:tc>
          <w:tcPr>
            <w:tcW w:w="260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39</w:t>
              </w:r>
            </w:hyperlink>
          </w:p>
        </w:tc>
      </w:tr>
      <w:tr>
        <w:trPr>
          <w:trHeight w:val="196"/>
        </w:trPr>
        <w:tc>
          <w:tcPr>
            <w:tcW w:w="7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 xml:space="preserve">Consolidated Statements of Comprehensive Loss for the fiscal years ended March 31, </w:t>
              </w:r>
            </w:hyperlink>
            <w:hyperlink w:anchor="page52">
              <w:r>
                <w:rPr>
                  <w:rFonts w:ascii="Arial" w:cs="Arial" w:eastAsia="Arial" w:hAnsi="Arial"/>
                  <w:sz w:val="18"/>
                  <w:szCs w:val="18"/>
                  <w:color w:val="0000EE"/>
                  <w:w w:val="89"/>
                </w:rPr>
                <w:t>2021 and 2020</w:t>
              </w:r>
            </w:hyperlink>
          </w:p>
        </w:tc>
        <w:tc>
          <w:tcPr>
            <w:tcW w:w="1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40</w:t>
              </w:r>
            </w:hyperlink>
          </w:p>
        </w:tc>
      </w:tr>
      <w:tr>
        <w:trPr>
          <w:trHeight w:val="196"/>
        </w:trPr>
        <w:tc>
          <w:tcPr>
            <w:tcW w:w="918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 xml:space="preserve">Consolidated Statements of Stockholders’ Equity for the fiscal years ended March 31, </w:t>
              </w:r>
            </w:hyperlink>
            <w:hyperlink w:anchor="page52">
              <w:r>
                <w:rPr>
                  <w:rFonts w:ascii="Arial" w:cs="Arial" w:eastAsia="Arial" w:hAnsi="Arial"/>
                  <w:sz w:val="18"/>
                  <w:szCs w:val="18"/>
                  <w:color w:val="0000EE"/>
                </w:rPr>
                <w:t>2021 and 2020</w:t>
              </w:r>
            </w:hyperlink>
          </w:p>
        </w:tc>
        <w:tc>
          <w:tcPr>
            <w:tcW w:w="2060" w:type="dxa"/>
            <w:vAlign w:val="bottom"/>
            <w:gridSpan w:val="2"/>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41</w:t>
              </w:r>
            </w:hyperlink>
          </w:p>
        </w:tc>
      </w:tr>
      <w:tr>
        <w:trPr>
          <w:trHeight w:val="196"/>
        </w:trPr>
        <w:tc>
          <w:tcPr>
            <w:tcW w:w="730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 xml:space="preserve">Consolidated Statements of Cash Flows for the fiscal years ended March 31, </w:t>
              </w:r>
            </w:hyperlink>
            <w:hyperlink w:anchor="page52">
              <w:r>
                <w:rPr>
                  <w:rFonts w:ascii="Arial" w:cs="Arial" w:eastAsia="Arial" w:hAnsi="Arial"/>
                  <w:sz w:val="18"/>
                  <w:szCs w:val="18"/>
                  <w:color w:val="0000EE"/>
                  <w:w w:val="98"/>
                </w:rPr>
                <w:t>2021 and 2020</w:t>
              </w:r>
            </w:hyperlink>
          </w:p>
        </w:tc>
        <w:tc>
          <w:tcPr>
            <w:tcW w:w="1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42</w:t>
              </w:r>
            </w:hyperlink>
          </w:p>
        </w:tc>
      </w:tr>
      <w:tr>
        <w:trPr>
          <w:trHeight w:val="196"/>
        </w:trPr>
        <w:tc>
          <w:tcPr>
            <w:tcW w:w="6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the Consolidated Financial Statements</w:t>
              </w:r>
            </w:hyperlink>
          </w:p>
        </w:tc>
        <w:tc>
          <w:tcPr>
            <w:tcW w:w="256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43</w:t>
              </w:r>
            </w:hyperlink>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schedules are omitted because they are not applicable, not required or the required information is shown in the consolidated financial statements or notes thereto.</w:t>
      </w:r>
    </w:p>
    <w:p>
      <w:pPr>
        <w:spacing w:after="0" w:line="170" w:lineRule="exact"/>
        <w:rPr>
          <w:sz w:val="20"/>
          <w:szCs w:val="20"/>
          <w:color w:val="auto"/>
        </w:rPr>
      </w:pPr>
    </w:p>
    <w:p>
      <w:pPr>
        <w:ind w:left="500" w:right="5160" w:hanging="6"/>
        <w:spacing w:after="0" w:line="500"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 Required by Item 601 of Regulation S-K under the Exchange Act. See (b) Exhibits.</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 Exhibits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following Item 16, “Form 10-K Summary</w:t>
      </w:r>
      <w:r>
        <w:rPr>
          <w:rFonts w:ascii="Arial" w:cs="Arial" w:eastAsia="Arial" w:hAnsi="Arial"/>
          <w:sz w:val="18"/>
          <w:szCs w:val="18"/>
          <w:i w:val="1"/>
          <w:iCs w:val="1"/>
          <w:color w:val="auto"/>
        </w:rPr>
        <w:t>”</w:t>
      </w:r>
      <w:r>
        <w:rPr>
          <w:rFonts w:ascii="Arial" w:cs="Arial" w:eastAsia="Arial" w:hAnsi="Arial"/>
          <w:sz w:val="18"/>
          <w:szCs w:val="18"/>
          <w:color w:val="auto"/>
        </w:rPr>
        <w: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9" w:name="page90"/>
    <w:bookmarkEnd w:id="89"/>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rPr>
              <w:t>EXHIBIT INDEX</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4"/>
          </w:tcPr>
          <w:p>
            <w:pPr>
              <w:ind w:left="400"/>
              <w:spacing w:after="0"/>
              <w:rPr>
                <w:sz w:val="20"/>
                <w:szCs w:val="20"/>
                <w:color w:val="auto"/>
              </w:rPr>
            </w:pPr>
            <w:r>
              <w:rPr>
                <w:rFonts w:ascii="Arial" w:cs="Arial" w:eastAsia="Arial" w:hAnsi="Arial"/>
                <w:sz w:val="18"/>
                <w:szCs w:val="18"/>
                <w:b w:val="1"/>
                <w:bCs w:val="1"/>
                <w:color w:val="auto"/>
              </w:rPr>
              <w:t>Exhibit Description</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Form</w:t>
            </w:r>
          </w:p>
        </w:tc>
        <w:tc>
          <w:tcPr>
            <w:tcW w:w="1060" w:type="dxa"/>
            <w:vAlign w:val="bottom"/>
          </w:tcPr>
          <w:p>
            <w:pPr>
              <w:ind w:left="24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3960" w:type="dxa"/>
            <w:vAlign w:val="bottom"/>
            <w:tcBorders>
              <w:top w:val="single" w:sz="8" w:color="auto"/>
              <w:bottom w:val="single" w:sz="8" w:color="0000EE"/>
            </w:tcBorders>
            <w:gridSpan w:val="21"/>
          </w:tcPr>
          <w:p>
            <w:pPr>
              <w:spacing w:after="0" w:line="169"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Restated Certificate of Incorporation of the Registrant,</w:t>
              </w:r>
            </w:hyperlink>
          </w:p>
        </w:tc>
        <w:tc>
          <w:tcPr>
            <w:tcW w:w="140" w:type="dxa"/>
            <w:vAlign w:val="bottom"/>
            <w:tcBorders>
              <w:top w:val="single" w:sz="8" w:color="auto"/>
            </w:tcBorders>
            <w:gridSpan w:val="5"/>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5"/>
              </w:rPr>
              <w:t>S-3</w:t>
            </w:r>
          </w:p>
        </w:tc>
        <w:tc>
          <w:tcPr>
            <w:tcW w:w="220" w:type="dxa"/>
            <w:vAlign w:val="bottom"/>
          </w:tcPr>
          <w:p>
            <w:pPr>
              <w:spacing w:after="0"/>
              <w:rPr>
                <w:sz w:val="14"/>
                <w:szCs w:val="14"/>
                <w:color w:val="auto"/>
              </w:rPr>
            </w:pPr>
          </w:p>
        </w:tc>
        <w:tc>
          <w:tcPr>
            <w:tcW w:w="10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333-191153</w:t>
            </w: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9/13/2013</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r:id="rId103">
              <w:r>
                <w:rPr>
                  <w:rFonts w:ascii="Arial" w:cs="Arial" w:eastAsia="Arial" w:hAnsi="Arial"/>
                  <w:sz w:val="18"/>
                  <w:szCs w:val="18"/>
                  <w:color w:val="0000EE"/>
                  <w:w w:val="84"/>
                </w:rPr>
                <w:t>as amended.</w:t>
              </w:r>
            </w:hyperlink>
          </w:p>
        </w:tc>
        <w:tc>
          <w:tcPr>
            <w:tcW w:w="3420" w:type="dxa"/>
            <w:vAlign w:val="bottom"/>
            <w:gridSpan w:val="24"/>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Certificate of Amendment of Restated Certificate of</w:t>
              </w:r>
            </w:hyperlink>
          </w:p>
        </w:tc>
        <w:tc>
          <w:tcPr>
            <w:tcW w:w="560" w:type="dxa"/>
            <w:vAlign w:val="bottom"/>
            <w:gridSpan w:val="11"/>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10"/>
              <w:spacing w:after="0" w:line="196" w:lineRule="exact"/>
              <w:rPr>
                <w:sz w:val="20"/>
                <w:szCs w:val="20"/>
                <w:color w:val="auto"/>
              </w:rPr>
            </w:pPr>
            <w:r>
              <w:rPr>
                <w:rFonts w:ascii="Arial" w:cs="Arial" w:eastAsia="Arial" w:hAnsi="Arial"/>
                <w:sz w:val="18"/>
                <w:szCs w:val="18"/>
                <w:color w:val="auto"/>
                <w:w w:val="87"/>
              </w:rPr>
              <w:t>3.1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3/24/2015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Incorporation of the Registrant, dated March 24, 2015.</w:t>
              </w:r>
            </w:hyperlink>
          </w:p>
        </w:tc>
        <w:tc>
          <w:tcPr>
            <w:tcW w:w="3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Amended and Restated By-Laws of the Registrant.</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333-191153</w:t>
            </w:r>
          </w:p>
        </w:tc>
        <w:tc>
          <w:tcPr>
            <w:tcW w:w="1100" w:type="dxa"/>
            <w:vAlign w:val="bottom"/>
            <w:gridSpan w:val="2"/>
          </w:tcPr>
          <w:p>
            <w:pPr>
              <w:jc w:val="center"/>
              <w:ind w:left="110"/>
              <w:spacing w:after="0" w:line="196" w:lineRule="exact"/>
              <w:rPr>
                <w:sz w:val="20"/>
                <w:szCs w:val="20"/>
                <w:color w:val="auto"/>
              </w:rPr>
            </w:pPr>
            <w:r>
              <w:rPr>
                <w:rFonts w:ascii="Arial" w:cs="Arial" w:eastAsia="Arial" w:hAnsi="Arial"/>
                <w:sz w:val="18"/>
                <w:szCs w:val="18"/>
                <w:color w:val="auto"/>
                <w:w w:val="87"/>
              </w:rPr>
              <w:t>3.1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2/1/2021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3660" w:type="dxa"/>
            <w:vAlign w:val="bottom"/>
            <w:tcBorders>
              <w:top w:val="single" w:sz="8" w:color="0000EE"/>
            </w:tcBorders>
            <w:gridSpan w:val="15"/>
          </w:tcPr>
          <w:p>
            <w:pPr>
              <w:spacing w:after="0" w:line="196" w:lineRule="exact"/>
              <w:rPr>
                <w:rFonts w:ascii="Arial" w:cs="Arial" w:eastAsia="Arial" w:hAnsi="Arial"/>
                <w:sz w:val="18"/>
                <w:szCs w:val="18"/>
                <w:color w:val="0000EE"/>
                <w:w w:val="97"/>
              </w:rPr>
            </w:pPr>
            <w:hyperlink r:id="rId106">
              <w:r>
                <w:rPr>
                  <w:rFonts w:ascii="Arial" w:cs="Arial" w:eastAsia="Arial" w:hAnsi="Arial"/>
                  <w:sz w:val="18"/>
                  <w:szCs w:val="18"/>
                  <w:color w:val="0000EE"/>
                  <w:w w:val="97"/>
                </w:rPr>
                <w:t>Form of Indenture, between the Registrant and</w:t>
              </w:r>
            </w:hyperlink>
          </w:p>
        </w:tc>
        <w:tc>
          <w:tcPr>
            <w:tcW w:w="660" w:type="dxa"/>
            <w:vAlign w:val="bottom"/>
            <w:gridSpan w:val="12"/>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5"/>
              </w:rPr>
              <w:t>S-3</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333-222874</w:t>
            </w:r>
          </w:p>
        </w:tc>
        <w:tc>
          <w:tcPr>
            <w:tcW w:w="1100" w:type="dxa"/>
            <w:vAlign w:val="bottom"/>
            <w:gridSpan w:val="2"/>
          </w:tcPr>
          <w:p>
            <w:pPr>
              <w:jc w:val="center"/>
              <w:ind w:left="110"/>
              <w:spacing w:after="0" w:line="196" w:lineRule="exact"/>
              <w:rPr>
                <w:sz w:val="20"/>
                <w:szCs w:val="20"/>
                <w:color w:val="auto"/>
              </w:rPr>
            </w:pPr>
            <w:r>
              <w:rPr>
                <w:rFonts w:ascii="Arial" w:cs="Arial" w:eastAsia="Arial" w:hAnsi="Arial"/>
                <w:sz w:val="18"/>
                <w:szCs w:val="18"/>
                <w:color w:val="auto"/>
                <w:w w:val="87"/>
              </w:rPr>
              <w:t>4.1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2/5/2018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Wilmington Trust, National Association.</w:t>
              </w:r>
            </w:hyperlink>
          </w:p>
        </w:tc>
        <w:tc>
          <w:tcPr>
            <w:tcW w:w="420" w:type="dxa"/>
            <w:vAlign w:val="bottom"/>
            <w:tcBorders>
              <w:top w:val="single" w:sz="8" w:color="0000EE"/>
            </w:tcBorders>
            <w:gridSpan w:val="2"/>
          </w:tcPr>
          <w:p>
            <w:pPr>
              <w:spacing w:after="0"/>
              <w:rPr>
                <w:sz w:val="17"/>
                <w:szCs w:val="17"/>
                <w:color w:val="auto"/>
              </w:rPr>
            </w:pPr>
          </w:p>
        </w:tc>
        <w:tc>
          <w:tcPr>
            <w:tcW w:w="96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35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Form of Warrant Agreement, by and between the</w:t>
              </w:r>
            </w:hyperlink>
          </w:p>
        </w:tc>
        <w:tc>
          <w:tcPr>
            <w:tcW w:w="740" w:type="dxa"/>
            <w:vAlign w:val="bottom"/>
            <w:gridSpan w:val="14"/>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10"/>
              <w:spacing w:after="0" w:line="196" w:lineRule="exact"/>
              <w:rPr>
                <w:sz w:val="20"/>
                <w:szCs w:val="20"/>
                <w:color w:val="auto"/>
              </w:rPr>
            </w:pPr>
            <w:r>
              <w:rPr>
                <w:rFonts w:ascii="Arial" w:cs="Arial" w:eastAsia="Arial" w:hAnsi="Arial"/>
                <w:sz w:val="18"/>
                <w:szCs w:val="18"/>
                <w:color w:val="auto"/>
                <w:w w:val="87"/>
              </w:rPr>
              <w:t>4.1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8"/>
              </w:rPr>
              <w:t>11/13/2014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Registrant and the American Stock Transfer and Trust</w:t>
              </w:r>
            </w:hyperlink>
          </w:p>
        </w:tc>
        <w:tc>
          <w:tcPr>
            <w:tcW w:w="42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Company, dated November 13, 2014, and Form of</w:t>
              </w:r>
            </w:hyperlink>
          </w:p>
        </w:tc>
        <w:tc>
          <w:tcPr>
            <w:tcW w:w="68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Warrant.</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Description of Capital Stock</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4"/>
              </w:rPr>
              <w:t>10-K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10"/>
              <w:spacing w:after="0" w:line="196" w:lineRule="exact"/>
              <w:rPr>
                <w:sz w:val="20"/>
                <w:szCs w:val="20"/>
                <w:color w:val="auto"/>
              </w:rPr>
            </w:pPr>
            <w:r>
              <w:rPr>
                <w:rFonts w:ascii="Arial" w:cs="Arial" w:eastAsia="Arial" w:hAnsi="Arial"/>
                <w:sz w:val="18"/>
                <w:szCs w:val="18"/>
                <w:color w:val="auto"/>
                <w:w w:val="87"/>
              </w:rPr>
              <w:t>4.3</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6/5/2019</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2007 Stock Incentive Plan, as amended.</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8/6/2019</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w w:val="98"/>
              </w:rPr>
            </w:pPr>
            <w:hyperlink r:id="rId110">
              <w:r>
                <w:rPr>
                  <w:rFonts w:ascii="Arial" w:cs="Arial" w:eastAsia="Arial" w:hAnsi="Arial"/>
                  <w:sz w:val="18"/>
                  <w:szCs w:val="18"/>
                  <w:color w:val="0000EE"/>
                  <w:w w:val="98"/>
                </w:rPr>
                <w:t>Form of Incentive Stock Option Agreement under 2007</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Stock Incentive Plan, as amended.</w:t>
              </w:r>
            </w:hyperlink>
          </w:p>
        </w:tc>
        <w:tc>
          <w:tcPr>
            <w:tcW w:w="1520" w:type="dxa"/>
            <w:vAlign w:val="bottom"/>
            <w:tcBorders>
              <w:top w:val="single" w:sz="8" w:color="0000EE"/>
            </w:tcBorders>
            <w:gridSpan w:val="19"/>
          </w:tcPr>
          <w:p>
            <w:pPr>
              <w:spacing w:after="0"/>
              <w:rPr>
                <w:sz w:val="17"/>
                <w:szCs w:val="17"/>
                <w:color w:val="auto"/>
              </w:rPr>
            </w:pPr>
          </w:p>
        </w:tc>
        <w:tc>
          <w:tcPr>
            <w:tcW w:w="32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39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Form of Non-statutory Stock Option Agreement under</w:t>
              </w:r>
            </w:hyperlink>
          </w:p>
        </w:tc>
        <w:tc>
          <w:tcPr>
            <w:tcW w:w="380" w:type="dxa"/>
            <w:vAlign w:val="bottom"/>
            <w:gridSpan w:val="7"/>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10.3</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2007 Stock Option Plan, as amended.</w:t>
              </w:r>
            </w:hyperlink>
          </w:p>
        </w:tc>
        <w:tc>
          <w:tcPr>
            <w:tcW w:w="1600" w:type="dxa"/>
            <w:vAlign w:val="bottom"/>
            <w:gridSpan w:val="21"/>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w w:val="96"/>
              </w:rPr>
            </w:pPr>
            <w:hyperlink r:id="rId112">
              <w:r>
                <w:rPr>
                  <w:rFonts w:ascii="Arial" w:cs="Arial" w:eastAsia="Arial" w:hAnsi="Arial"/>
                  <w:sz w:val="18"/>
                  <w:szCs w:val="18"/>
                  <w:color w:val="0000EE"/>
                  <w:w w:val="96"/>
                </w:rPr>
                <w:t>Form of Restricted Stock Agreement Regarding Awards</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10.4</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to Executive Officers under 2007 Stock Option Plan, as</w:t>
              </w:r>
            </w:hyperlink>
          </w:p>
        </w:tc>
        <w:tc>
          <w:tcPr>
            <w:tcW w:w="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amended.</w:t>
              </w:r>
            </w:hyperlink>
          </w:p>
        </w:tc>
        <w:tc>
          <w:tcPr>
            <w:tcW w:w="32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w w:val="96"/>
              </w:rPr>
            </w:pPr>
            <w:hyperlink r:id="rId113">
              <w:r>
                <w:rPr>
                  <w:rFonts w:ascii="Arial" w:cs="Arial" w:eastAsia="Arial" w:hAnsi="Arial"/>
                  <w:sz w:val="18"/>
                  <w:szCs w:val="18"/>
                  <w:color w:val="0000EE"/>
                  <w:w w:val="96"/>
                </w:rPr>
                <w:t>Form of Restricted Stock Agreement Regarding Awards</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10.5</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to Employees, under 2007 Stock Option Plan, as</w:t>
              </w:r>
            </w:hyperlink>
          </w:p>
        </w:tc>
        <w:tc>
          <w:tcPr>
            <w:tcW w:w="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amended.</w:t>
              </w:r>
            </w:hyperlink>
          </w:p>
        </w:tc>
        <w:tc>
          <w:tcPr>
            <w:tcW w:w="82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Form of Restricted Stock Agreement (regarding</w:t>
              </w:r>
            </w:hyperlink>
          </w:p>
        </w:tc>
        <w:tc>
          <w:tcPr>
            <w:tcW w:w="860" w:type="dxa"/>
            <w:vAlign w:val="bottom"/>
            <w:gridSpan w:val="16"/>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5/20/2008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performance-based awards to executive officers and</w:t>
              </w:r>
            </w:hyperlink>
          </w:p>
        </w:tc>
        <w:tc>
          <w:tcPr>
            <w:tcW w:w="56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employees) under 2007 Stock Incentive Plan, as</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amended.</w:t>
              </w:r>
            </w:hyperlink>
          </w:p>
        </w:tc>
        <w:tc>
          <w:tcPr>
            <w:tcW w:w="860" w:type="dxa"/>
            <w:vAlign w:val="bottom"/>
            <w:gridSpan w:val="16"/>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Form of Option Surrender Agreement under 2007 Stock</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10.4</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11/6/2018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Incentive Plan, as amended.</w:t>
              </w:r>
            </w:hyperlink>
          </w:p>
        </w:tc>
        <w:tc>
          <w:tcPr>
            <w:tcW w:w="2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Form of Performance-Based Restricted Stock</w:t>
              </w:r>
            </w:hyperlink>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2/5/2020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gridSpan w:val="9"/>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Agreement for Executive Officers under 2007 Stock</w:t>
              </w:r>
            </w:hyperlink>
          </w:p>
        </w:tc>
        <w:tc>
          <w:tcPr>
            <w:tcW w:w="54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Incentive Plan, as amended.</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38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Form of Time-Based Restricted Stock Agreement for</w:t>
              </w:r>
            </w:hyperlink>
          </w:p>
        </w:tc>
        <w:tc>
          <w:tcPr>
            <w:tcW w:w="480" w:type="dxa"/>
            <w:vAlign w:val="bottom"/>
            <w:gridSpan w:val="9"/>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2/5/2020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Executive Officers under 2007 Stock Incentive Plan, as</w:t>
              </w:r>
            </w:hyperlink>
          </w:p>
        </w:tc>
        <w:tc>
          <w:tcPr>
            <w:tcW w:w="32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amended.</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Amended and Restated 2007 Director Stock Plan.</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Borders>
              <w:right w:val="single" w:sz="8" w:color="0000EE"/>
            </w:tcBorders>
            <w:gridSpan w:val="13"/>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00" w:type="dxa"/>
            <w:vAlign w:val="bottom"/>
          </w:tcPr>
          <w:p>
            <w:pPr>
              <w:spacing w:after="0"/>
              <w:rPr>
                <w:sz w:val="17"/>
                <w:szCs w:val="17"/>
                <w:color w:val="auto"/>
              </w:rPr>
            </w:pPr>
          </w:p>
        </w:tc>
        <w:tc>
          <w:tcPr>
            <w:tcW w:w="39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Form of Non-statutory Stock Option Agreement Under</w:t>
              </w:r>
            </w:hyperlink>
          </w:p>
        </w:tc>
        <w:tc>
          <w:tcPr>
            <w:tcW w:w="340" w:type="dxa"/>
            <w:vAlign w:val="bottom"/>
            <w:gridSpan w:val="5"/>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0"/>
              </w:rPr>
              <w:t>000-19672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10.7</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gridSpan w:val="2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Amended and Restated 2007 Director Stock Plan</w:t>
              </w:r>
              <w:r>
                <w:rPr>
                  <w:rFonts w:ascii="Arial" w:cs="Arial" w:eastAsia="Arial" w:hAnsi="Arial"/>
                  <w:sz w:val="18"/>
                  <w:szCs w:val="18"/>
                  <w:color w:val="000000"/>
                </w:rPr>
                <w:t>.</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11"/>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22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10.12+</w:t>
            </w:r>
          </w:p>
        </w:tc>
        <w:tc>
          <w:tcPr>
            <w:tcW w:w="240" w:type="dxa"/>
            <w:vAlign w:val="bottom"/>
          </w:tcPr>
          <w:p>
            <w:pPr>
              <w:spacing w:after="0"/>
              <w:rPr>
                <w:sz w:val="14"/>
                <w:szCs w:val="14"/>
                <w:color w:val="auto"/>
              </w:rPr>
            </w:pPr>
          </w:p>
        </w:tc>
        <w:tc>
          <w:tcPr>
            <w:tcW w:w="4160" w:type="dxa"/>
            <w:vAlign w:val="bottom"/>
            <w:tcBorders>
              <w:top w:val="single" w:sz="8" w:color="auto"/>
            </w:tcBorders>
            <w:gridSpan w:val="12"/>
          </w:tcPr>
          <w:p>
            <w:pPr>
              <w:spacing w:after="0" w:line="169"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Form of Employee Nondisclosure and Developments</w:t>
              </w:r>
            </w:hyperlink>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8"/>
              </w:rPr>
              <w:t>10-K/A</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333-43647</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10.11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6/7/2018</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Agreement.</w:t>
              </w:r>
            </w:hyperlink>
          </w:p>
        </w:tc>
        <w:tc>
          <w:tcPr>
            <w:tcW w:w="2980" w:type="dxa"/>
            <w:vAlign w:val="bottom"/>
            <w:tcBorders>
              <w:top w:val="single" w:sz="8" w:color="0000EE"/>
            </w:tcBorders>
            <w:gridSpan w:val="5"/>
          </w:tcPr>
          <w:p>
            <w:pPr>
              <w:spacing w:after="0"/>
              <w:rPr>
                <w:sz w:val="17"/>
                <w:szCs w:val="17"/>
                <w:color w:val="auto"/>
              </w:rPr>
            </w:pPr>
          </w:p>
        </w:tc>
        <w:tc>
          <w:tcPr>
            <w:tcW w:w="5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4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Amended and Restated Executive Severance Agreement,</w:t>
              </w:r>
            </w:hyperlink>
          </w:p>
        </w:tc>
        <w:tc>
          <w:tcPr>
            <w:tcW w:w="26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5/24/2011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dated as of May 24, 2011, between the Registrant and</w:t>
              </w:r>
            </w:hyperlink>
          </w:p>
        </w:tc>
        <w:tc>
          <w:tcPr>
            <w:tcW w:w="5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Daniel P. McGahn.</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40" w:type="dxa"/>
            <w:vAlign w:val="bottom"/>
          </w:tcPr>
          <w:p>
            <w:pPr>
              <w:spacing w:after="0"/>
              <w:rPr>
                <w:sz w:val="17"/>
                <w:szCs w:val="17"/>
                <w:color w:val="auto"/>
              </w:rPr>
            </w:pPr>
          </w:p>
        </w:tc>
        <w:tc>
          <w:tcPr>
            <w:tcW w:w="41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Executive Severance Agreement, dated as of January 13,</w:t>
              </w:r>
            </w:hyperlink>
          </w:p>
        </w:tc>
        <w:tc>
          <w:tcPr>
            <w:tcW w:w="28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4/4/2017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2012, between the Registrant and John W. Kosiba.</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First Amendment to Executive Severance Agreement,</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11/7/2017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effective as of July 31, 2017, between the Registrant and</w:t>
              </w:r>
            </w:hyperlink>
          </w:p>
        </w:tc>
        <w:tc>
          <w:tcPr>
            <w:tcW w:w="3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John W. Kosiba.</w:t>
              </w:r>
            </w:hyperlink>
          </w:p>
        </w:tc>
        <w:tc>
          <w:tcPr>
            <w:tcW w:w="32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4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Fiscal 2020 Executive Incentive Plan.</w:t>
              </w:r>
            </w:hyperlink>
          </w:p>
        </w:tc>
        <w:tc>
          <w:tcPr>
            <w:tcW w:w="1660" w:type="dxa"/>
            <w:vAlign w:val="bottom"/>
            <w:gridSpan w:val="9"/>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5/27/2020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Fiscal 2021 Executive Incentive Plan.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5/25/2021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gridSpan w:val="19"/>
          </w:tcPr>
          <w:p>
            <w:pPr>
              <w:ind w:left="28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340" w:type="dxa"/>
            <w:vAlign w:val="bottom"/>
          </w:tcPr>
          <w:p>
            <w:pPr>
              <w:spacing w:after="0"/>
              <w:rPr>
                <w:sz w:val="20"/>
                <w:szCs w:val="20"/>
                <w:color w:val="auto"/>
              </w:rPr>
            </w:pP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10.18†</w:t>
            </w:r>
          </w:p>
        </w:tc>
        <w:tc>
          <w:tcPr>
            <w:tcW w:w="240" w:type="dxa"/>
            <w:vAlign w:val="bottom"/>
          </w:tcPr>
          <w:p>
            <w:pPr>
              <w:spacing w:after="0"/>
              <w:rPr>
                <w:sz w:val="14"/>
                <w:szCs w:val="14"/>
                <w:color w:val="auto"/>
              </w:rPr>
            </w:pPr>
          </w:p>
        </w:tc>
        <w:tc>
          <w:tcPr>
            <w:tcW w:w="4160" w:type="dxa"/>
            <w:vAlign w:val="bottom"/>
            <w:tcBorders>
              <w:top w:val="single" w:sz="8" w:color="auto"/>
            </w:tcBorders>
            <w:gridSpan w:val="21"/>
          </w:tcPr>
          <w:p>
            <w:pPr>
              <w:spacing w:after="0" w:line="169" w:lineRule="exact"/>
              <w:rPr>
                <w:rFonts w:ascii="Arial" w:cs="Arial" w:eastAsia="Arial" w:hAnsi="Arial"/>
                <w:sz w:val="18"/>
                <w:szCs w:val="18"/>
                <w:color w:val="0000EE"/>
              </w:rPr>
            </w:pPr>
            <w:hyperlink r:id="rId125">
              <w:r>
                <w:rPr>
                  <w:rFonts w:ascii="Arial" w:cs="Arial" w:eastAsia="Arial" w:hAnsi="Arial"/>
                  <w:sz w:val="18"/>
                  <w:szCs w:val="18"/>
                  <w:color w:val="0000EE"/>
                </w:rPr>
                <w:t>Supply Contract, dated December 16, 2015, by and</w:t>
              </w:r>
            </w:hyperlink>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000-19672</w:t>
            </w:r>
          </w:p>
        </w:tc>
        <w:tc>
          <w:tcPr>
            <w:tcW w:w="34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2/9/2016</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between the Registrant and Inox Wind Limited.</w:t>
              </w:r>
            </w:hyperlink>
          </w:p>
        </w:tc>
        <w:tc>
          <w:tcPr>
            <w:tcW w:w="260" w:type="dxa"/>
            <w:vAlign w:val="bottom"/>
            <w:tcBorders>
              <w:top w:val="single" w:sz="8" w:color="0000EE"/>
            </w:tcBorders>
            <w:gridSpan w:val="2"/>
          </w:tcPr>
          <w:p>
            <w:pPr>
              <w:spacing w:after="0"/>
              <w:rPr>
                <w:sz w:val="17"/>
                <w:szCs w:val="17"/>
                <w:color w:val="auto"/>
              </w:rPr>
            </w:pPr>
          </w:p>
        </w:tc>
        <w:tc>
          <w:tcPr>
            <w:tcW w:w="70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Amendment No. 1 to Supply Contract, entered into as of</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8"/>
              </w:rPr>
              <w:t>10.29</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6/6/2018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March 14, 2018 and effective as of November 8, 2017,</w:t>
              </w:r>
            </w:hyperlink>
          </w:p>
        </w:tc>
        <w:tc>
          <w:tcPr>
            <w:tcW w:w="120" w:type="dxa"/>
            <w:vAlign w:val="bottom"/>
            <w:tcBorders>
              <w:top w:val="single" w:sz="8" w:color="0000EE"/>
            </w:tcBorders>
            <w:gridSpan w:val="3"/>
          </w:tcPr>
          <w:p>
            <w:pPr>
              <w:spacing w:after="0"/>
              <w:rPr>
                <w:sz w:val="17"/>
                <w:szCs w:val="17"/>
                <w:color w:val="auto"/>
              </w:rPr>
            </w:pPr>
          </w:p>
        </w:tc>
        <w:tc>
          <w:tcPr>
            <w:tcW w:w="3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by and between the Registrant and Inox Wind Limited.</w:t>
              </w:r>
            </w:hyperlink>
          </w:p>
        </w:tc>
        <w:tc>
          <w:tcPr>
            <w:tcW w:w="4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240" w:type="dxa"/>
            <w:vAlign w:val="bottom"/>
          </w:tcPr>
          <w:p>
            <w:pPr>
              <w:spacing w:after="0"/>
              <w:rPr>
                <w:sz w:val="17"/>
                <w:szCs w:val="17"/>
                <w:color w:val="auto"/>
              </w:rPr>
            </w:pPr>
          </w:p>
        </w:tc>
        <w:tc>
          <w:tcPr>
            <w:tcW w:w="3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Amendment No. 2 to Supply Contract, entered into on</w:t>
              </w:r>
            </w:hyperlink>
          </w:p>
        </w:tc>
        <w:tc>
          <w:tcPr>
            <w:tcW w:w="460" w:type="dxa"/>
            <w:vAlign w:val="bottom"/>
            <w:gridSpan w:val="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8"/>
              </w:rPr>
              <w:t>10.30</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6/6/2018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May 21, 2018, by and between the Registrant and Inox</w:t>
              </w:r>
            </w:hyperlink>
          </w:p>
        </w:tc>
        <w:tc>
          <w:tcPr>
            <w:tcW w:w="4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Wind Limited.</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240" w:type="dxa"/>
            <w:vAlign w:val="bottom"/>
          </w:tcPr>
          <w:p>
            <w:pPr>
              <w:spacing w:after="0"/>
              <w:rPr>
                <w:sz w:val="17"/>
                <w:szCs w:val="17"/>
                <w:color w:val="auto"/>
              </w:rPr>
            </w:pPr>
          </w:p>
        </w:tc>
        <w:tc>
          <w:tcPr>
            <w:tcW w:w="3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Amendment No. 3 to Supply Contract, entered into on</w:t>
              </w:r>
            </w:hyperlink>
          </w:p>
        </w:tc>
        <w:tc>
          <w:tcPr>
            <w:tcW w:w="4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May 11, 2021, by and between the Registrant and Inox</w:t>
              </w:r>
            </w:hyperlink>
          </w:p>
        </w:tc>
        <w:tc>
          <w:tcPr>
            <w:tcW w:w="4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Wind Limited.</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Technology License Agreement, dated December 16,</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10.2</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2/9/2016</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2015, by and among AMSC Austria GMBH, the</w:t>
              </w:r>
            </w:hyperlink>
          </w:p>
        </w:tc>
        <w:tc>
          <w:tcPr>
            <w:tcW w:w="5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Registrant and Inox Wind Limited.</w:t>
              </w:r>
            </w:hyperlink>
          </w:p>
        </w:tc>
        <w:tc>
          <w:tcPr>
            <w:tcW w:w="960" w:type="dxa"/>
            <w:vAlign w:val="bottom"/>
            <w:tcBorders>
              <w:top w:val="single" w:sz="8" w:color="0000EE"/>
            </w:tcBorders>
            <w:gridSpan w:val="3"/>
          </w:tcPr>
          <w:p>
            <w:pPr>
              <w:spacing w:after="0"/>
              <w:rPr>
                <w:sz w:val="17"/>
                <w:szCs w:val="17"/>
                <w:color w:val="auto"/>
              </w:rPr>
            </w:pPr>
          </w:p>
        </w:tc>
        <w:tc>
          <w:tcPr>
            <w:tcW w:w="9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240" w:type="dxa"/>
            <w:vAlign w:val="bottom"/>
          </w:tcPr>
          <w:p>
            <w:pPr>
              <w:spacing w:after="0"/>
              <w:rPr>
                <w:sz w:val="17"/>
                <w:szCs w:val="17"/>
                <w:color w:val="auto"/>
              </w:rPr>
            </w:pPr>
          </w:p>
        </w:tc>
        <w:tc>
          <w:tcPr>
            <w:tcW w:w="39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129">
              <w:r>
                <w:rPr>
                  <w:rFonts w:ascii="Arial" w:cs="Arial" w:eastAsia="Arial" w:hAnsi="Arial"/>
                  <w:sz w:val="18"/>
                  <w:szCs w:val="18"/>
                  <w:color w:val="0000EE"/>
                  <w:w w:val="87"/>
                </w:rPr>
                <w:t>Purchase and Sale Agreement, dated as of February 1,</w:t>
              </w:r>
            </w:hyperlink>
          </w:p>
        </w:tc>
        <w:tc>
          <w:tcPr>
            <w:tcW w:w="480" w:type="dxa"/>
            <w:vAlign w:val="bottom"/>
            <w:gridSpan w:val="9"/>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10.1</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2/1/2018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2018, by and between ASC Devens LLC and 64 Jackson,</w:t>
              </w:r>
            </w:hyperlink>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LLC.</w:t>
              </w:r>
            </w:hyperlink>
          </w:p>
        </w:tc>
        <w:tc>
          <w:tcPr>
            <w:tcW w:w="400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Subordinated Secured Commercial Promissory Note of</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10.1</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4/3/2018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top w:val="single" w:sz="8" w:color="0000EE"/>
            </w:tcBorders>
            <w:gridSpan w:val="16"/>
          </w:tcPr>
          <w:p>
            <w:pPr>
              <w:spacing w:after="0" w:line="19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Jackson 64 MGI, LLC in favor of ASC Devens LLC</w:t>
              </w:r>
            </w:hyperlink>
          </w:p>
        </w:tc>
        <w:tc>
          <w:tcPr>
            <w:tcW w:w="4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dated March 28, 2018.</w:t>
              </w:r>
            </w:hyperlink>
          </w:p>
        </w:tc>
        <w:tc>
          <w:tcPr>
            <w:tcW w:w="2160" w:type="dxa"/>
            <w:vAlign w:val="bottom"/>
            <w:tcBorders>
              <w:top w:val="single" w:sz="8" w:color="0000EE"/>
            </w:tcBorders>
            <w:gridSpan w:val="6"/>
          </w:tcPr>
          <w:p>
            <w:pPr>
              <w:spacing w:after="0"/>
              <w:rPr>
                <w:sz w:val="17"/>
                <w:szCs w:val="17"/>
                <w:color w:val="auto"/>
              </w:rPr>
            </w:pPr>
          </w:p>
        </w:tc>
        <w:tc>
          <w:tcPr>
            <w:tcW w:w="6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240" w:type="dxa"/>
            <w:vAlign w:val="bottom"/>
          </w:tcPr>
          <w:p>
            <w:pPr>
              <w:spacing w:after="0"/>
              <w:rPr>
                <w:sz w:val="17"/>
                <w:szCs w:val="17"/>
                <w:color w:val="auto"/>
              </w:rPr>
            </w:pPr>
          </w:p>
        </w:tc>
        <w:tc>
          <w:tcPr>
            <w:tcW w:w="4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Assignment of Purchase and Sale Agreement, dated as of</w:t>
              </w:r>
            </w:hyperlink>
          </w:p>
        </w:tc>
        <w:tc>
          <w:tcPr>
            <w:tcW w:w="2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10.2</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4/3/2018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March 26, 2018, by and among ASC Devens LLC, 64</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Jackson, LLC and Jackson 64 MGI, LLC.</w:t>
              </w:r>
            </w:hyperlink>
          </w:p>
        </w:tc>
        <w:tc>
          <w:tcPr>
            <w:tcW w:w="50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240" w:type="dxa"/>
            <w:vAlign w:val="bottom"/>
          </w:tcPr>
          <w:p>
            <w:pPr>
              <w:spacing w:after="0"/>
              <w:rPr>
                <w:sz w:val="17"/>
                <w:szCs w:val="17"/>
                <w:color w:val="auto"/>
              </w:rPr>
            </w:pPr>
          </w:p>
        </w:tc>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Subordinated Second Mortgage of Jackson 64 MGI, LLC</w:t>
              </w:r>
            </w:hyperlink>
          </w:p>
        </w:tc>
        <w:tc>
          <w:tcPr>
            <w:tcW w:w="24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10.3</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4/3/2018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in favor of ASC Devens LLC effective March 28, 2018.</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360" w:type="dxa"/>
            <w:vAlign w:val="bottom"/>
            <w:gridSpan w:val="1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24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Subordinated Second Assignment of Leases and Rents by</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10.4</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4/3/2018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Jackson 64 MGI, LLC to ASC Devens LLC dated March</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80" w:type="dxa"/>
            <w:vAlign w:val="bottom"/>
            <w:gridSpan w:val="4"/>
          </w:tcPr>
          <w:p>
            <w:pPr>
              <w:ind w:left="240"/>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28, 2018.</w:t>
              </w:r>
            </w:hyperlink>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4100" w:type="dxa"/>
            <w:vAlign w:val="bottom"/>
            <w:tcBorders>
              <w:bottom w:val="single" w:sz="8" w:color="0000EE"/>
            </w:tcBorders>
            <w:gridSpan w:val="27"/>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Intercreditor, Subordination and Standstill Agreement by</w:t>
              </w:r>
            </w:hyperlink>
          </w:p>
        </w:tc>
        <w:tc>
          <w:tcPr>
            <w:tcW w:w="300" w:type="dxa"/>
            <w:vAlign w:val="bottom"/>
            <w:gridSpan w:val="4"/>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060" w:type="dxa"/>
            <w:vAlign w:val="bottom"/>
          </w:tcPr>
          <w:p>
            <w:pPr>
              <w:jc w:val="center"/>
              <w:ind w:right="690"/>
              <w:spacing w:after="0"/>
              <w:rPr>
                <w:sz w:val="20"/>
                <w:szCs w:val="20"/>
                <w:color w:val="auto"/>
              </w:rPr>
            </w:pPr>
            <w:r>
              <w:rPr>
                <w:rFonts w:ascii="Arial" w:cs="Arial" w:eastAsia="Arial" w:hAnsi="Arial"/>
                <w:sz w:val="18"/>
                <w:szCs w:val="18"/>
                <w:color w:val="auto"/>
                <w:w w:val="91"/>
              </w:rPr>
              <w:t>4/3/2018</w:t>
            </w:r>
          </w:p>
        </w:tc>
      </w:tr>
      <w:tr>
        <w:trPr>
          <w:trHeight w:val="196"/>
        </w:trPr>
        <w:tc>
          <w:tcPr>
            <w:tcW w:w="1040" w:type="dxa"/>
            <w:vAlign w:val="bottom"/>
          </w:tcPr>
          <w:p>
            <w:pPr>
              <w:spacing w:after="0"/>
              <w:rPr>
                <w:sz w:val="17"/>
                <w:szCs w:val="17"/>
                <w:color w:val="auto"/>
              </w:rPr>
            </w:pPr>
          </w:p>
        </w:tc>
        <w:tc>
          <w:tcPr>
            <w:tcW w:w="416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and among East Boston Savings Bank, ASC Devens LLC</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and Jackson 64 MGI, LLC dated March 28, 2018.</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38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First Amendment to Intercreditor, Subordination and</w:t>
              </w:r>
            </w:hyperlink>
          </w:p>
        </w:tc>
        <w:tc>
          <w:tcPr>
            <w:tcW w:w="600" w:type="dxa"/>
            <w:vAlign w:val="bottom"/>
            <w:gridSpan w:val="1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8"/>
              </w:rPr>
              <w:t>10.38</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91"/>
              </w:rPr>
              <w:t>6/5/2019</w:t>
            </w:r>
          </w:p>
        </w:tc>
      </w:tr>
      <w:tr>
        <w:trPr>
          <w:trHeight w:val="196"/>
        </w:trPr>
        <w:tc>
          <w:tcPr>
            <w:tcW w:w="104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Standstill Agreement by and between East Boston</w:t>
              </w:r>
            </w:hyperlink>
          </w:p>
        </w:tc>
        <w:tc>
          <w:tcPr>
            <w:tcW w:w="78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Savings Bank and ASC Devens LLC dated March 28,</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5">
              <w:r>
                <w:rPr>
                  <w:rFonts w:ascii="Arial" w:cs="Arial" w:eastAsia="Arial" w:hAnsi="Arial"/>
                  <w:sz w:val="18"/>
                  <w:szCs w:val="18"/>
                  <w:color w:val="0000EE"/>
                  <w:w w:val="84"/>
                </w:rPr>
                <w:t>2019.</w:t>
              </w:r>
            </w:hyperlink>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4400" w:type="dxa"/>
            <w:vAlign w:val="bottom"/>
            <w:gridSpan w:val="31"/>
          </w:tcPr>
          <w:p>
            <w:pPr>
              <w:spacing w:after="0" w:line="196"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Subordination of Subordinated Second Mortgage Rents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8"/>
              </w:rPr>
              <w:t>10.38</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91"/>
              </w:rPr>
              <w:t>6/5/2019</w:t>
            </w: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1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by ASC Devens LLC to East Boston Savings Bank dated</w:t>
              </w:r>
            </w:hyperlink>
          </w:p>
        </w:tc>
        <w:tc>
          <w:tcPr>
            <w:tcW w:w="2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March 28, 2019.</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40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Subcontract Agreement, dated October 31, 2018, by and</w:t>
              </w:r>
            </w:hyperlink>
          </w:p>
        </w:tc>
        <w:tc>
          <w:tcPr>
            <w:tcW w:w="34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91"/>
              </w:rPr>
              <w:t>2/5/2019</w:t>
            </w: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between the Registrant and Commonwealth Edison</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Company.</w:t>
              </w:r>
            </w:hyperlink>
          </w:p>
        </w:tc>
        <w:tc>
          <w:tcPr>
            <w:tcW w:w="72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Amendment to Subcontract Agreement, effective</w:t>
              </w:r>
            </w:hyperlink>
          </w:p>
        </w:tc>
        <w:tc>
          <w:tcPr>
            <w:tcW w:w="820" w:type="dxa"/>
            <w:vAlign w:val="bottom"/>
            <w:gridSpan w:val="2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8"/>
              </w:rPr>
              <w:t>10.30</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91"/>
              </w:rPr>
              <w:t>6/2/2020</w:t>
            </w: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February 6, 2020, by and between the Registrant and</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Commonwealth Edison Company.</w:t>
              </w:r>
            </w:hyperlink>
          </w:p>
        </w:tc>
        <w:tc>
          <w:tcPr>
            <w:tcW w:w="6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39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Stock Purchase Agreement, dated October 1, 2020, by</w:t>
              </w:r>
            </w:hyperlink>
          </w:p>
        </w:tc>
        <w:tc>
          <w:tcPr>
            <w:tcW w:w="480" w:type="dxa"/>
            <w:vAlign w:val="bottom"/>
            <w:gridSpan w:val="1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89"/>
              </w:rPr>
              <w:t>10/5/2020</w:t>
            </w:r>
          </w:p>
        </w:tc>
      </w:tr>
      <w:tr>
        <w:trPr>
          <w:trHeight w:val="196"/>
        </w:trPr>
        <w:tc>
          <w:tcPr>
            <w:tcW w:w="1040" w:type="dxa"/>
            <w:vAlign w:val="bottom"/>
          </w:tcPr>
          <w:p>
            <w:pPr>
              <w:spacing w:after="0"/>
              <w:rPr>
                <w:sz w:val="17"/>
                <w:szCs w:val="17"/>
                <w:color w:val="auto"/>
              </w:rPr>
            </w:pPr>
          </w:p>
        </w:tc>
        <w:tc>
          <w:tcPr>
            <w:tcW w:w="416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and among American Superconductor Corporation, Frank</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J. Steciuk, Paul B. Steciuk and Peter A. Steciuk.</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41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Stock Purchase Agreement, dated May 6th, 2021, by and</w:t>
              </w:r>
            </w:hyperlink>
          </w:p>
        </w:tc>
        <w:tc>
          <w:tcPr>
            <w:tcW w:w="30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89"/>
              </w:rPr>
              <w:t>5/10/2021</w:t>
            </w: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among American Superconductor Corporation.</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Subsidiaries.</w:t>
              </w:r>
            </w:hyperlink>
          </w:p>
        </w:tc>
        <w:tc>
          <w:tcPr>
            <w:tcW w:w="2460" w:type="dxa"/>
            <w:vAlign w:val="bottom"/>
            <w:tcBorders>
              <w:top w:val="single" w:sz="8" w:color="0000EE"/>
            </w:tcBorders>
            <w:gridSpan w:val="5"/>
          </w:tcPr>
          <w:p>
            <w:pPr>
              <w:spacing w:after="0"/>
              <w:rPr>
                <w:sz w:val="17"/>
                <w:szCs w:val="17"/>
                <w:color w:val="auto"/>
              </w:rPr>
            </w:pPr>
          </w:p>
        </w:tc>
        <w:tc>
          <w:tcPr>
            <w:tcW w:w="102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400" w:type="dxa"/>
            <w:vAlign w:val="bottom"/>
            <w:gridSpan w:val="31"/>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Consent of RSM US LLP</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1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Chief Executive Officer — Certification pursuant to Rule</w:t>
              </w:r>
            </w:hyperlink>
          </w:p>
        </w:tc>
        <w:tc>
          <w:tcPr>
            <w:tcW w:w="2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13a-14(a) or Rule 15d-14(a) of the Securities Exchange</w:t>
              </w:r>
            </w:hyperlink>
          </w:p>
        </w:tc>
        <w:tc>
          <w:tcPr>
            <w:tcW w:w="4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9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Act of 1934, as adopted pursuant to Section 302 of the</w:t>
              </w:r>
            </w:hyperlink>
          </w:p>
        </w:tc>
        <w:tc>
          <w:tcPr>
            <w:tcW w:w="4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Sarbanes-Oxley Act of 2002.</w:t>
              </w:r>
            </w:hyperlink>
          </w:p>
        </w:tc>
        <w:tc>
          <w:tcPr>
            <w:tcW w:w="230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400" w:type="dxa"/>
            <w:vAlign w:val="bottom"/>
            <w:gridSpan w:val="31"/>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Chief Financial Officer — Certification pursuant to Rule</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13a-14(a) or Rule 15d-14(a) of the Securities Exchange</w:t>
              </w:r>
            </w:hyperlink>
          </w:p>
        </w:tc>
        <w:tc>
          <w:tcPr>
            <w:tcW w:w="80" w:type="dxa"/>
            <w:vAlign w:val="bottom"/>
            <w:tcBorders>
              <w:top w:val="single" w:sz="8" w:color="0000EE"/>
            </w:tcBorders>
            <w:gridSpan w:val="3"/>
          </w:tcPr>
          <w:p>
            <w:pPr>
              <w:spacing w:after="0"/>
              <w:rPr>
                <w:sz w:val="17"/>
                <w:szCs w:val="17"/>
                <w:color w:val="auto"/>
              </w:rPr>
            </w:pPr>
          </w:p>
        </w:tc>
        <w:tc>
          <w:tcPr>
            <w:tcW w:w="3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9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Act of 1934, as adopted pursuant to Section 302 of the</w:t>
              </w:r>
            </w:hyperlink>
          </w:p>
        </w:tc>
        <w:tc>
          <w:tcPr>
            <w:tcW w:w="4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Sarbanes-Oxley Act of 2002.</w:t>
              </w:r>
            </w:hyperlink>
          </w:p>
        </w:tc>
        <w:tc>
          <w:tcPr>
            <w:tcW w:w="230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4400" w:type="dxa"/>
            <w:vAlign w:val="bottom"/>
            <w:gridSpan w:val="3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Chief Executive Officer — Certification pursuant to</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374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Rule13a-14(b) or Rule 15d-14(b) of the Securities</w:t>
              </w:r>
            </w:hyperlink>
          </w:p>
        </w:tc>
        <w:tc>
          <w:tcPr>
            <w:tcW w:w="66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9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Exchange Act of 1934 and 18 U.S.C. Section 1350, as</w:t>
              </w:r>
            </w:hyperlink>
          </w:p>
        </w:tc>
        <w:tc>
          <w:tcPr>
            <w:tcW w:w="5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w w:val="98"/>
              </w:rPr>
            </w:pPr>
            <w:hyperlink w:anchor="page109">
              <w:r>
                <w:rPr>
                  <w:rFonts w:ascii="Arial" w:cs="Arial" w:eastAsia="Arial" w:hAnsi="Arial"/>
                  <w:sz w:val="18"/>
                  <w:szCs w:val="18"/>
                  <w:color w:val="0000EE"/>
                  <w:w w:val="98"/>
                </w:rPr>
                <w:t>adopted pursuant to Section 906 of the Sarbanes-Oxley</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Act of 2002.</w:t>
              </w:r>
            </w:hyperlink>
          </w:p>
        </w:tc>
        <w:tc>
          <w:tcPr>
            <w:tcW w:w="3080" w:type="dxa"/>
            <w:vAlign w:val="bottom"/>
            <w:tcBorders>
              <w:top w:val="single" w:sz="8" w:color="0000EE"/>
            </w:tcBorders>
            <w:gridSpan w:val="19"/>
          </w:tcPr>
          <w:p>
            <w:pPr>
              <w:spacing w:after="0"/>
              <w:rPr>
                <w:sz w:val="17"/>
                <w:szCs w:val="17"/>
                <w:color w:val="auto"/>
              </w:rPr>
            </w:pPr>
          </w:p>
        </w:tc>
        <w:tc>
          <w:tcPr>
            <w:tcW w:w="42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400" w:type="dxa"/>
            <w:vAlign w:val="bottom"/>
            <w:gridSpan w:val="3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Chief Financial Officer — Certification pursuant to Rule</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13a-14(b) or Rule 15d-14(b) of the Securities Exchange</w:t>
              </w:r>
            </w:hyperlink>
          </w:p>
        </w:tc>
        <w:tc>
          <w:tcPr>
            <w:tcW w:w="60" w:type="dxa"/>
            <w:vAlign w:val="bottom"/>
            <w:tcBorders>
              <w:top w:val="single" w:sz="8" w:color="0000EE"/>
            </w:tcBorders>
            <w:gridSpan w:val="2"/>
          </w:tcPr>
          <w:p>
            <w:pPr>
              <w:spacing w:after="0"/>
              <w:rPr>
                <w:sz w:val="17"/>
                <w:szCs w:val="17"/>
                <w:color w:val="auto"/>
              </w:rPr>
            </w:pPr>
          </w:p>
        </w:tc>
        <w:tc>
          <w:tcPr>
            <w:tcW w:w="3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Act of 1934 and 18 U.S.C. Section 1350, as adopted</w:t>
              </w:r>
            </w:hyperlink>
          </w:p>
        </w:tc>
        <w:tc>
          <w:tcPr>
            <w:tcW w:w="64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pursuant to Section 906 of the Sarbanes-Oxley Act of</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10">
              <w:r>
                <w:rPr>
                  <w:rFonts w:ascii="Arial" w:cs="Arial" w:eastAsia="Arial" w:hAnsi="Arial"/>
                  <w:sz w:val="18"/>
                  <w:szCs w:val="18"/>
                  <w:color w:val="0000EE"/>
                  <w:w w:val="84"/>
                </w:rPr>
                <w:t>2002.</w:t>
              </w:r>
            </w:hyperlink>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40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400" w:type="dxa"/>
            <w:vAlign w:val="bottom"/>
            <w:gridSpan w:val="31"/>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400" w:type="dxa"/>
            <w:vAlign w:val="bottom"/>
            <w:gridSpan w:val="31"/>
          </w:tcPr>
          <w:p>
            <w:pPr>
              <w:spacing w:after="0"/>
              <w:rPr>
                <w:sz w:val="20"/>
                <w:szCs w:val="20"/>
                <w:color w:val="auto"/>
              </w:rPr>
            </w:pPr>
            <w:r>
              <w:rPr>
                <w:rFonts w:ascii="Arial" w:cs="Arial" w:eastAsia="Arial" w:hAnsi="Arial"/>
                <w:sz w:val="18"/>
                <w:szCs w:val="18"/>
                <w:color w:val="auto"/>
              </w:rPr>
              <w:t>XBRL Taxonomy Calculation Linkbase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400" w:type="dxa"/>
            <w:vAlign w:val="bottom"/>
            <w:gridSpan w:val="31"/>
          </w:tcPr>
          <w:p>
            <w:pPr>
              <w:spacing w:after="0"/>
              <w:rPr>
                <w:sz w:val="20"/>
                <w:szCs w:val="20"/>
                <w:color w:val="auto"/>
              </w:rPr>
            </w:pPr>
            <w:r>
              <w:rPr>
                <w:rFonts w:ascii="Arial" w:cs="Arial" w:eastAsia="Arial" w:hAnsi="Arial"/>
                <w:sz w:val="18"/>
                <w:szCs w:val="18"/>
                <w:color w:val="auto"/>
              </w:rPr>
              <w:t>XBRL Taxonomy Definition Linkbase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400" w:type="dxa"/>
            <w:vAlign w:val="bottom"/>
            <w:gridSpan w:val="31"/>
          </w:tcPr>
          <w:p>
            <w:pPr>
              <w:spacing w:after="0"/>
              <w:rPr>
                <w:sz w:val="20"/>
                <w:szCs w:val="20"/>
                <w:color w:val="auto"/>
              </w:rPr>
            </w:pPr>
            <w:r>
              <w:rPr>
                <w:rFonts w:ascii="Arial" w:cs="Arial" w:eastAsia="Arial" w:hAnsi="Arial"/>
                <w:sz w:val="18"/>
                <w:szCs w:val="18"/>
                <w:color w:val="auto"/>
              </w:rPr>
              <w:t>XBRL Taxonomy Label Linkbase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400" w:type="dxa"/>
            <w:vAlign w:val="bottom"/>
            <w:gridSpan w:val="31"/>
          </w:tcPr>
          <w:p>
            <w:pPr>
              <w:spacing w:after="0"/>
              <w:rPr>
                <w:sz w:val="20"/>
                <w:szCs w:val="20"/>
                <w:color w:val="auto"/>
              </w:rPr>
            </w:pPr>
            <w:r>
              <w:rPr>
                <w:rFonts w:ascii="Arial" w:cs="Arial" w:eastAsia="Arial" w:hAnsi="Arial"/>
                <w:sz w:val="18"/>
                <w:szCs w:val="18"/>
                <w:color w:val="auto"/>
              </w:rPr>
              <w:t>XBRL Taxonomy Presentation Linkbase Document.</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spacing w:after="0" w:line="17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pursuant to Item 601(b)(10)(iv)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2"/>
                <w:szCs w:val="12"/>
                <w:color w:val="auto"/>
                <w:w w:val="97"/>
              </w:rPr>
              <w:t>ANIEL</w:t>
            </w:r>
            <w:r>
              <w:rPr>
                <w:rFonts w:ascii="Arial" w:cs="Arial" w:eastAsia="Arial" w:hAnsi="Arial"/>
                <w:sz w:val="18"/>
                <w:szCs w:val="18"/>
                <w:color w:val="auto"/>
                <w:w w:val="97"/>
              </w:rPr>
              <w:t xml:space="preserve"> P. M</w:t>
            </w:r>
            <w:r>
              <w:rPr>
                <w:rFonts w:ascii="Arial" w:cs="Arial" w:eastAsia="Arial" w:hAnsi="Arial"/>
                <w:sz w:val="12"/>
                <w:szCs w:val="12"/>
                <w:color w:val="auto"/>
                <w:w w:val="97"/>
              </w:rPr>
              <w:t>C</w:t>
            </w:r>
            <w:r>
              <w:rPr>
                <w:rFonts w:ascii="Arial" w:cs="Arial" w:eastAsia="Arial" w:hAnsi="Arial"/>
                <w:sz w:val="18"/>
                <w:szCs w:val="18"/>
                <w:color w:val="auto"/>
                <w:w w:val="97"/>
              </w:rPr>
              <w:t>G</w:t>
            </w:r>
            <w:r>
              <w:rPr>
                <w:rFonts w:ascii="Arial" w:cs="Arial" w:eastAsia="Arial" w:hAnsi="Arial"/>
                <w:sz w:val="12"/>
                <w:szCs w:val="12"/>
                <w:color w:val="auto"/>
                <w:w w:val="97"/>
              </w:rPr>
              <w:t>AHN</w:t>
            </w:r>
          </w:p>
        </w:tc>
      </w:tr>
      <w:tr>
        <w:trPr>
          <w:trHeight w:val="191"/>
        </w:trPr>
        <w:tc>
          <w:tcPr>
            <w:tcW w:w="34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Daniel P. McGahn</w:t>
            </w:r>
          </w:p>
        </w:tc>
      </w:tr>
      <w:tr>
        <w:trPr>
          <w:trHeight w:val="216"/>
        </w:trPr>
        <w:tc>
          <w:tcPr>
            <w:tcW w:w="3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President, and</w:t>
            </w:r>
          </w:p>
        </w:tc>
      </w:tr>
      <w:tr>
        <w:trPr>
          <w:trHeight w:val="234"/>
        </w:trPr>
        <w:tc>
          <w:tcPr>
            <w:tcW w:w="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June 2,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4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1"/>
        </w:trPr>
        <w:tc>
          <w:tcPr>
            <w:tcW w:w="3380" w:type="dxa"/>
            <w:vAlign w:val="bottom"/>
            <w:vMerge w:val="restart"/>
          </w:tcPr>
          <w:p>
            <w:pPr>
              <w:jc w:val="cente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ANIEL</w:t>
            </w:r>
            <w:r>
              <w:rPr>
                <w:rFonts w:ascii="Arial" w:cs="Arial" w:eastAsia="Arial" w:hAnsi="Arial"/>
                <w:sz w:val="18"/>
                <w:szCs w:val="18"/>
                <w:color w:val="auto"/>
                <w:w w:val="95"/>
              </w:rPr>
              <w:t xml:space="preserve"> P. M</w:t>
            </w:r>
            <w:r>
              <w:rPr>
                <w:rFonts w:ascii="Arial" w:cs="Arial" w:eastAsia="Arial" w:hAnsi="Arial"/>
                <w:sz w:val="12"/>
                <w:szCs w:val="12"/>
                <w:color w:val="auto"/>
                <w:w w:val="95"/>
              </w:rPr>
              <w:t>C</w:t>
            </w:r>
            <w:r>
              <w:rPr>
                <w:rFonts w:ascii="Arial" w:cs="Arial" w:eastAsia="Arial" w:hAnsi="Arial"/>
                <w:sz w:val="18"/>
                <w:szCs w:val="18"/>
                <w:color w:val="auto"/>
                <w:w w:val="95"/>
              </w:rPr>
              <w:t>G</w:t>
            </w:r>
            <w:r>
              <w:rPr>
                <w:rFonts w:ascii="Arial" w:cs="Arial" w:eastAsia="Arial" w:hAnsi="Arial"/>
                <w:sz w:val="12"/>
                <w:szCs w:val="12"/>
                <w:color w:val="auto"/>
                <w:w w:val="95"/>
              </w:rPr>
              <w:t>AHN</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Chairman of the Board, President, Chief Executive Officer, and Director</w:t>
            </w:r>
          </w:p>
        </w:tc>
        <w:tc>
          <w:tcPr>
            <w:tcW w:w="20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8"/>
              </w:rPr>
              <w:t>June 2, 2021</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8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2"/>
              </w:rPr>
              <w:t>Daniel P. McGahn</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w:t>
            </w:r>
            <w:r>
              <w:rPr>
                <w:rFonts w:ascii="Arial" w:cs="Arial" w:eastAsia="Arial" w:hAnsi="Arial"/>
                <w:sz w:val="12"/>
                <w:szCs w:val="12"/>
                <w:color w:val="auto"/>
                <w:w w:val="93"/>
              </w:rPr>
              <w:t>OHN</w:t>
            </w:r>
            <w:r>
              <w:rPr>
                <w:rFonts w:ascii="Arial" w:cs="Arial" w:eastAsia="Arial" w:hAnsi="Arial"/>
                <w:sz w:val="18"/>
                <w:szCs w:val="18"/>
                <w:color w:val="auto"/>
                <w:w w:val="93"/>
              </w:rPr>
              <w:t xml:space="preserve"> W. K</w:t>
            </w:r>
            <w:r>
              <w:rPr>
                <w:rFonts w:ascii="Arial" w:cs="Arial" w:eastAsia="Arial" w:hAnsi="Arial"/>
                <w:sz w:val="12"/>
                <w:szCs w:val="12"/>
                <w:color w:val="auto"/>
                <w:w w:val="93"/>
              </w:rPr>
              <w:t>OSIBA</w:t>
            </w:r>
            <w:r>
              <w:rPr>
                <w:rFonts w:ascii="Arial" w:cs="Arial" w:eastAsia="Arial" w:hAnsi="Arial"/>
                <w:sz w:val="18"/>
                <w:szCs w:val="18"/>
                <w:color w:val="auto"/>
                <w:w w:val="93"/>
              </w:rPr>
              <w:t>, J</w:t>
            </w:r>
            <w:r>
              <w:rPr>
                <w:rFonts w:ascii="Arial" w:cs="Arial" w:eastAsia="Arial" w:hAnsi="Arial"/>
                <w:sz w:val="12"/>
                <w:szCs w:val="12"/>
                <w:color w:val="auto"/>
                <w:w w:val="93"/>
              </w:rPr>
              <w:t>R</w:t>
            </w:r>
            <w:r>
              <w:rPr>
                <w:rFonts w:ascii="Arial" w:cs="Arial" w:eastAsia="Arial" w:hAnsi="Arial"/>
                <w:sz w:val="18"/>
                <w:szCs w:val="18"/>
                <w:color w:val="auto"/>
                <w:w w:val="93"/>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2, 2021</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John W. Kosiba, Jr.</w:t>
            </w:r>
          </w:p>
        </w:tc>
        <w:tc>
          <w:tcPr>
            <w:tcW w:w="24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w:t>
            </w:r>
            <w:r>
              <w:rPr>
                <w:rFonts w:ascii="Arial" w:cs="Arial" w:eastAsia="Arial" w:hAnsi="Arial"/>
                <w:sz w:val="12"/>
                <w:szCs w:val="12"/>
                <w:color w:val="auto"/>
                <w:w w:val="94"/>
              </w:rPr>
              <w:t>RTHUR</w:t>
            </w:r>
            <w:r>
              <w:rPr>
                <w:rFonts w:ascii="Arial" w:cs="Arial" w:eastAsia="Arial" w:hAnsi="Arial"/>
                <w:sz w:val="18"/>
                <w:szCs w:val="18"/>
                <w:color w:val="auto"/>
                <w:w w:val="94"/>
              </w:rPr>
              <w:t xml:space="preserve"> H. H</w:t>
            </w:r>
            <w:r>
              <w:rPr>
                <w:rFonts w:ascii="Arial" w:cs="Arial" w:eastAsia="Arial" w:hAnsi="Arial"/>
                <w:sz w:val="12"/>
                <w:szCs w:val="12"/>
                <w:color w:val="auto"/>
                <w:w w:val="94"/>
              </w:rPr>
              <w:t>OUSE</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Lead Independent Director of the Board</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2, 2021</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House</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V</w:t>
            </w:r>
            <w:r>
              <w:rPr>
                <w:rFonts w:ascii="Arial" w:cs="Arial" w:eastAsia="Arial" w:hAnsi="Arial"/>
                <w:sz w:val="12"/>
                <w:szCs w:val="12"/>
                <w:color w:val="auto"/>
                <w:w w:val="98"/>
              </w:rPr>
              <w:t>IKRAM</w:t>
            </w:r>
            <w:r>
              <w:rPr>
                <w:rFonts w:ascii="Arial" w:cs="Arial" w:eastAsia="Arial" w:hAnsi="Arial"/>
                <w:sz w:val="18"/>
                <w:szCs w:val="18"/>
                <w:color w:val="auto"/>
                <w:w w:val="98"/>
              </w:rPr>
              <w:t xml:space="preserve"> S. B</w:t>
            </w:r>
            <w:r>
              <w:rPr>
                <w:rFonts w:ascii="Arial" w:cs="Arial" w:eastAsia="Arial" w:hAnsi="Arial"/>
                <w:sz w:val="12"/>
                <w:szCs w:val="12"/>
                <w:color w:val="auto"/>
                <w:w w:val="98"/>
              </w:rPr>
              <w:t>UDHRAJA</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2, 2021</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Vikram S. Budhraja</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ARBARA G</w:t>
            </w:r>
            <w:r>
              <w:rPr>
                <w:rFonts w:ascii="Arial" w:cs="Arial" w:eastAsia="Arial" w:hAnsi="Arial"/>
                <w:sz w:val="18"/>
                <w:szCs w:val="18"/>
                <w:color w:val="auto"/>
              </w:rPr>
              <w:t>. L</w:t>
            </w:r>
            <w:r>
              <w:rPr>
                <w:rFonts w:ascii="Arial" w:cs="Arial" w:eastAsia="Arial" w:hAnsi="Arial"/>
                <w:sz w:val="12"/>
                <w:szCs w:val="12"/>
                <w:color w:val="auto"/>
              </w:rPr>
              <w:t>ITTLEFIELD</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2, 2021</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Barbara G. Littlefield</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AVID</w:t>
            </w:r>
            <w:r>
              <w:rPr>
                <w:rFonts w:ascii="Arial" w:cs="Arial" w:eastAsia="Arial" w:hAnsi="Arial"/>
                <w:sz w:val="18"/>
                <w:szCs w:val="18"/>
                <w:color w:val="auto"/>
                <w:w w:val="95"/>
              </w:rPr>
              <w:t xml:space="preserve"> R. O</w:t>
            </w:r>
            <w:r>
              <w:rPr>
                <w:rFonts w:ascii="Arial" w:cs="Arial" w:eastAsia="Arial" w:hAnsi="Arial"/>
                <w:sz w:val="12"/>
                <w:szCs w:val="12"/>
                <w:color w:val="auto"/>
                <w:w w:val="95"/>
              </w:rPr>
              <w:t>LIVER</w:t>
            </w:r>
            <w:r>
              <w:rPr>
                <w:rFonts w:ascii="Arial" w:cs="Arial" w:eastAsia="Arial" w:hAnsi="Arial"/>
                <w:sz w:val="18"/>
                <w:szCs w:val="18"/>
                <w:color w:val="auto"/>
                <w:w w:val="95"/>
              </w:rPr>
              <w:t>, J</w:t>
            </w:r>
            <w:r>
              <w:rPr>
                <w:rFonts w:ascii="Arial" w:cs="Arial" w:eastAsia="Arial" w:hAnsi="Arial"/>
                <w:sz w:val="12"/>
                <w:szCs w:val="12"/>
                <w:color w:val="auto"/>
                <w:w w:val="95"/>
              </w:rPr>
              <w:t>R</w:t>
            </w:r>
            <w:r>
              <w:rPr>
                <w:rFonts w:ascii="Arial" w:cs="Arial" w:eastAsia="Arial" w:hAnsi="Arial"/>
                <w:sz w:val="18"/>
                <w:szCs w:val="18"/>
                <w:color w:val="auto"/>
                <w:w w:val="95"/>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2, 2021</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2"/>
              </w:rPr>
              <w:t>David R. Oliver, Jr.</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380" w:type="dxa"/>
            <w:vAlign w:val="bottom"/>
          </w:tcPr>
          <w:p>
            <w:pPr>
              <w:spacing w:after="0"/>
              <w:rPr>
                <w:sz w:val="24"/>
                <w:szCs w:val="24"/>
                <w:color w:val="auto"/>
              </w:rPr>
            </w:pPr>
          </w:p>
        </w:tc>
        <w:tc>
          <w:tcPr>
            <w:tcW w:w="5640" w:type="dxa"/>
            <w:vAlign w:val="bottom"/>
            <w:gridSpan w:val="2"/>
          </w:tcPr>
          <w:p>
            <w:pPr>
              <w:jc w:val="right"/>
              <w:ind w:right="321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STOCK PLAN</w:t>
      </w:r>
    </w:p>
    <w:p>
      <w:pPr>
        <w:spacing w:after="0" w:line="207" w:lineRule="exact"/>
        <w:rPr>
          <w:sz w:val="20"/>
          <w:szCs w:val="20"/>
          <w:color w:val="auto"/>
        </w:rPr>
      </w:pPr>
    </w:p>
    <w:p>
      <w:pPr>
        <w:ind w:left="1120" w:hanging="316"/>
        <w:spacing w:after="0"/>
        <w:tabs>
          <w:tab w:leader="none" w:pos="11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purpose of this Amended and Restated 2007 Director Stock Option Plan (the “Plan”) of American Superconductor Corporation (the “Company”) is to encourage stock ownership in the Company by outside directors of the Company whose continued services are considered essential to the Company’s future success and to provide them with a further incentive to remain as directors of the Company. This Plan constitutes an amendment and restatement of the 2007 Director Stock Plan, as approved by the Company’s Board of Directors (the “Board”) on May 8, 2014, and approved by the Company’s stockholders on August 1, 2014, as adjusted to take into account the Company’s reverse stock split, effective as of March 24, 2015 (the “Existing Plan”). In the event that the Company’s stockholders do not approve the Plan, the Existing Plan will continue in full force and effect on its terms and conditions as in effect immediately prior to the date the Plan is approved by the Board.</w:t>
      </w:r>
    </w:p>
    <w:p>
      <w:pPr>
        <w:spacing w:after="0" w:line="173" w:lineRule="exact"/>
        <w:rPr>
          <w:sz w:val="20"/>
          <w:szCs w:val="20"/>
          <w:color w:val="auto"/>
        </w:rPr>
      </w:pPr>
    </w:p>
    <w:p>
      <w:pPr>
        <w:ind w:left="800" w:hanging="333"/>
        <w:spacing w:after="0"/>
        <w:tabs>
          <w:tab w:leader="none" w:pos="800"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ind w:right="20" w:firstLine="656"/>
        <w:spacing w:after="0" w:line="290" w:lineRule="auto"/>
        <w:tabs>
          <w:tab w:leader="none" w:pos="1018" w:val="left"/>
        </w:tabs>
        <w:numPr>
          <w:ilvl w:val="2"/>
          <w:numId w:val="34"/>
        </w:numPr>
        <w:rPr>
          <w:rFonts w:ascii="Arial" w:cs="Arial" w:eastAsia="Arial" w:hAnsi="Arial"/>
          <w:sz w:val="16"/>
          <w:szCs w:val="16"/>
          <w:color w:val="auto"/>
        </w:rPr>
      </w:pPr>
      <w:r>
        <w:rPr>
          <w:rFonts w:ascii="Arial" w:cs="Arial" w:eastAsia="Arial" w:hAnsi="Arial"/>
          <w:sz w:val="16"/>
          <w:szCs w:val="16"/>
          <w:color w:val="auto"/>
        </w:rPr>
        <w:t>Administration by Board. The Board shall supervise and administer the Plan. Except for grants permitted under Section 5(b), grants of stock options and stock awards under the Plan and the amount and nature of the options and awards to be granted shall be automatic in accordance with Section 5(a). The Board shall have authority to adopt, amend and repeal such administrative rules, guidelines and practices relating to the Plan as it shall deem advisable. The Board may construe and interpret the terms of the Plan and any options and awards granted under the Plan. The Board may correct any defect, supply any omission or reconcile any inconsistency in the Plan or any option or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or award. No director or person acting pursuant to the authority delegated by the Board shall be liable for any action or determination relating to or under the Plan made in good faith.</w:t>
      </w:r>
    </w:p>
    <w:p>
      <w:pPr>
        <w:spacing w:after="0" w:line="165" w:lineRule="exact"/>
        <w:rPr>
          <w:rFonts w:ascii="Arial" w:cs="Arial" w:eastAsia="Arial" w:hAnsi="Arial"/>
          <w:sz w:val="16"/>
          <w:szCs w:val="16"/>
          <w:color w:val="auto"/>
        </w:rPr>
      </w:pPr>
    </w:p>
    <w:p>
      <w:pPr>
        <w:ind w:right="240" w:firstLine="656"/>
        <w:spacing w:after="0" w:line="263" w:lineRule="auto"/>
        <w:tabs>
          <w:tab w:leader="none" w:pos="1038"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Delegation. To the extent permitted by applicable law, the Board may delegate any or all of its powers under the Plan to one or more committees or subcommittees of the Board. All references in the Plan to the “Board” shall mean the Board or a committee of the Board to the extent that the Board’s powers or authority under the Plan have been delegated to such committee.</w:t>
      </w:r>
    </w:p>
    <w:p>
      <w:pPr>
        <w:spacing w:after="0" w:line="179" w:lineRule="exact"/>
        <w:rPr>
          <w:rFonts w:ascii="Arial" w:cs="Arial" w:eastAsia="Arial" w:hAnsi="Arial"/>
          <w:sz w:val="18"/>
          <w:szCs w:val="18"/>
          <w:color w:val="auto"/>
        </w:rPr>
      </w:pPr>
    </w:p>
    <w:p>
      <w:pPr>
        <w:ind w:left="620" w:hanging="329"/>
        <w:spacing w:after="0"/>
        <w:tabs>
          <w:tab w:leader="none" w:pos="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-1790700</wp:posOffset>
            </wp:positionV>
            <wp:extent cx="1250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1250315" cy="825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-556260</wp:posOffset>
            </wp:positionV>
            <wp:extent cx="6153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615315" cy="889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Directors of the Company who are not full-time employees of the Company or any subsidiary of the Company (“Outside Directors”) shall be eligible to receive options and stock awards under the Plan, except that Directors of the Company who are representatives of an equity holder of the Company shall not be eligible to receive options or awards under the Plan.</w:t>
      </w:r>
    </w:p>
    <w:p>
      <w:pPr>
        <w:spacing w:after="0" w:line="180" w:lineRule="exact"/>
        <w:rPr>
          <w:sz w:val="20"/>
          <w:szCs w:val="20"/>
          <w:color w:val="auto"/>
        </w:rPr>
      </w:pPr>
    </w:p>
    <w:p>
      <w:pPr>
        <w:ind w:left="620" w:hanging="329"/>
        <w:spacing w:after="0"/>
        <w:tabs>
          <w:tab w:leader="none" w:pos="62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229" w:lineRule="exact"/>
        <w:rPr>
          <w:rFonts w:ascii="Arial" w:cs="Arial" w:eastAsia="Arial" w:hAnsi="Arial"/>
          <w:sz w:val="18"/>
          <w:szCs w:val="18"/>
          <w:b w:val="1"/>
          <w:bCs w:val="1"/>
          <w:color w:val="auto"/>
        </w:rPr>
      </w:pPr>
    </w:p>
    <w:p>
      <w:pPr>
        <w:ind w:right="100" w:firstLine="656"/>
        <w:spacing w:after="0" w:line="277" w:lineRule="auto"/>
        <w:tabs>
          <w:tab w:leader="none" w:pos="1027"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Shares Issuable. The maximum number of shares of the Company’s common stock, par value $.01 per share (“Common Stock”), which may be issued under the Plan shall be 280,000 shares, subject to adjustment as provided in Section 7.</w:t>
      </w:r>
    </w:p>
    <w:p>
      <w:pPr>
        <w:spacing w:after="0" w:line="170" w:lineRule="exact"/>
        <w:rPr>
          <w:rFonts w:ascii="Arial" w:cs="Arial" w:eastAsia="Arial" w:hAnsi="Arial"/>
          <w:sz w:val="18"/>
          <w:szCs w:val="18"/>
          <w:color w:val="auto"/>
        </w:rPr>
      </w:pPr>
    </w:p>
    <w:p>
      <w:pPr>
        <w:ind w:right="140" w:firstLine="656"/>
        <w:spacing w:after="0" w:line="342" w:lineRule="auto"/>
        <w:tabs>
          <w:tab w:leader="none" w:pos="1038" w:val="left"/>
        </w:tabs>
        <w:numPr>
          <w:ilvl w:val="2"/>
          <w:numId w:val="36"/>
        </w:numPr>
        <w:rPr>
          <w:rFonts w:ascii="Arial" w:cs="Arial" w:eastAsia="Arial" w:hAnsi="Arial"/>
          <w:sz w:val="16"/>
          <w:szCs w:val="16"/>
          <w:color w:val="auto"/>
        </w:rPr>
      </w:pPr>
      <w:r>
        <w:rPr>
          <w:rFonts w:ascii="Arial" w:cs="Arial" w:eastAsia="Arial" w:hAnsi="Arial"/>
          <w:sz w:val="16"/>
          <w:szCs w:val="16"/>
          <w:color w:val="auto"/>
        </w:rPr>
        <w:t>Reissuance of Shares. If any outstanding option under the Plan for any reason expires or is terminated, surrendered, or cancelled without having been exercised in full, the shares covered by the unexercised portion of such option shall again become available for issuance pursuant to the Plan.</w:t>
      </w:r>
    </w:p>
    <w:p>
      <w:pPr>
        <w:spacing w:after="0" w:line="123" w:lineRule="exact"/>
        <w:rPr>
          <w:rFonts w:ascii="Arial" w:cs="Arial" w:eastAsia="Arial" w:hAnsi="Arial"/>
          <w:sz w:val="16"/>
          <w:szCs w:val="16"/>
          <w:color w:val="auto"/>
        </w:rPr>
      </w:pPr>
    </w:p>
    <w:p>
      <w:pPr>
        <w:ind w:right="480" w:firstLine="656"/>
        <w:spacing w:after="0" w:line="277" w:lineRule="auto"/>
        <w:tabs>
          <w:tab w:leader="none" w:pos="1027"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Non-Statutory Options. All options granted under the Plan shall be non-statutory options and not entitled to special tax treatment under Section 422 of the Internal Revenue Code of 1986, as amended.</w:t>
      </w:r>
    </w:p>
    <w:p>
      <w:pPr>
        <w:spacing w:after="0" w:line="170" w:lineRule="exact"/>
        <w:rPr>
          <w:rFonts w:ascii="Arial" w:cs="Arial" w:eastAsia="Arial" w:hAnsi="Arial"/>
          <w:sz w:val="18"/>
          <w:szCs w:val="18"/>
          <w:color w:val="auto"/>
        </w:rPr>
      </w:pPr>
    </w:p>
    <w:p>
      <w:pPr>
        <w:ind w:right="280" w:firstLine="656"/>
        <w:spacing w:after="0" w:line="277" w:lineRule="auto"/>
        <w:tabs>
          <w:tab w:leader="none" w:pos="1038" w:val="left"/>
        </w:tabs>
        <w:numPr>
          <w:ilvl w:val="2"/>
          <w:numId w:val="36"/>
        </w:numPr>
        <w:rPr>
          <w:rFonts w:ascii="Arial" w:cs="Arial" w:eastAsia="Arial" w:hAnsi="Arial"/>
          <w:sz w:val="18"/>
          <w:szCs w:val="18"/>
          <w:color w:val="auto"/>
        </w:rPr>
      </w:pPr>
      <w:r>
        <w:rPr>
          <w:rFonts w:ascii="Arial" w:cs="Arial" w:eastAsia="Arial" w:hAnsi="Arial"/>
          <w:sz w:val="18"/>
          <w:szCs w:val="18"/>
          <w:color w:val="auto"/>
        </w:rPr>
        <w:t>Unissued and Treasury Shares. Shares of Common Stock issued under the Plan may consist in whole or in part of authorized but unissued shares or treasury shares.</w:t>
      </w:r>
    </w:p>
    <w:p>
      <w:pPr>
        <w:spacing w:after="0" w:line="166"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Director Option and Award Grants; Terms of Director Options.</w:t>
      </w:r>
    </w:p>
    <w:p>
      <w:pPr>
        <w:spacing w:after="0" w:line="229" w:lineRule="exact"/>
        <w:rPr>
          <w:rFonts w:ascii="Arial" w:cs="Arial" w:eastAsia="Arial" w:hAnsi="Arial"/>
          <w:sz w:val="18"/>
          <w:szCs w:val="18"/>
          <w:b w:val="1"/>
          <w:bCs w:val="1"/>
          <w:color w:val="auto"/>
        </w:rPr>
      </w:pPr>
    </w:p>
    <w:p>
      <w:pPr>
        <w:ind w:left="1020" w:hanging="364"/>
        <w:spacing w:after="0"/>
        <w:tabs>
          <w:tab w:leader="none" w:pos="10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Automatic Director Equity Grants. The Company shall grant options or awards to Outside Directors under the Plan as follows:</w:t>
      </w:r>
    </w:p>
    <w:p>
      <w:pPr>
        <w:spacing w:after="0" w:line="225" w:lineRule="exact"/>
        <w:rPr>
          <w:rFonts w:ascii="Arial" w:cs="Arial" w:eastAsia="Arial" w:hAnsi="Arial"/>
          <w:sz w:val="18"/>
          <w:szCs w:val="18"/>
          <w:color w:val="auto"/>
        </w:rPr>
      </w:pPr>
    </w:p>
    <w:p>
      <w:pPr>
        <w:ind w:right="60" w:firstLine="1304"/>
        <w:spacing w:after="0" w:line="273" w:lineRule="auto"/>
        <w:tabs>
          <w:tab w:leader="none" w:pos="1646" w:val="left"/>
        </w:tabs>
        <w:numPr>
          <w:ilvl w:val="3"/>
          <w:numId w:val="37"/>
        </w:numPr>
        <w:rPr>
          <w:rFonts w:ascii="Arial" w:cs="Arial" w:eastAsia="Arial" w:hAnsi="Arial"/>
          <w:sz w:val="17"/>
          <w:szCs w:val="17"/>
          <w:color w:val="auto"/>
        </w:rPr>
      </w:pPr>
      <w:r>
        <w:rPr>
          <w:rFonts w:ascii="Arial" w:cs="Arial" w:eastAsia="Arial" w:hAnsi="Arial"/>
          <w:sz w:val="17"/>
          <w:szCs w:val="17"/>
          <w:color w:val="auto"/>
        </w:rPr>
        <w:t>Initial Option Grants to Outside Directors. An option to purchase shares of Common Stock shall be granted automatically to an Outside Director on the date such Outside Director commences service on the Board. The number of shares of Common Stock subject to such option shall be determined by dividing (A) $40,000, by (B) the Black-Scholes value of an option to purchase one share of Common Stock, which Black-Scholes value shall be based on the last reported sale price per share of Common Stock on the business day immediately prior to the date an Outside Director commences service on the Board and the valuation assumptions for the most recent period set forth in the most recent Form 10-Q or 10-K (or any successor forms) of the Company (rounding the resulting number to the nearest whole share of Common Stock).</w:t>
      </w:r>
    </w:p>
    <w:p>
      <w:pPr>
        <w:spacing w:after="0" w:line="177" w:lineRule="exact"/>
        <w:rPr>
          <w:rFonts w:ascii="Arial" w:cs="Arial" w:eastAsia="Arial" w:hAnsi="Arial"/>
          <w:sz w:val="17"/>
          <w:szCs w:val="17"/>
          <w:color w:val="auto"/>
        </w:rPr>
      </w:pPr>
    </w:p>
    <w:p>
      <w:pPr>
        <w:ind w:left="1700" w:hanging="396"/>
        <w:spacing w:after="0"/>
        <w:tabs>
          <w:tab w:leader="none" w:pos="1700" w:val="left"/>
        </w:tabs>
        <w:numPr>
          <w:ilvl w:val="3"/>
          <w:numId w:val="37"/>
        </w:numPr>
        <w:rPr>
          <w:rFonts w:ascii="Arial" w:cs="Arial" w:eastAsia="Arial" w:hAnsi="Arial"/>
          <w:sz w:val="18"/>
          <w:szCs w:val="18"/>
          <w:color w:val="auto"/>
        </w:rPr>
      </w:pPr>
      <w:r>
        <w:rPr>
          <w:rFonts w:ascii="Arial" w:cs="Arial" w:eastAsia="Arial" w:hAnsi="Arial"/>
          <w:sz w:val="18"/>
          <w:szCs w:val="18"/>
          <w:color w:val="auto"/>
        </w:rPr>
        <w:t>Stock Awards to Outside Directors. With respect to each fiscal year of the Company:</w:t>
      </w:r>
    </w:p>
    <w:p>
      <w:pPr>
        <w:spacing w:after="0" w:line="225" w:lineRule="exact"/>
        <w:rPr>
          <w:rFonts w:ascii="Arial" w:cs="Arial" w:eastAsia="Arial" w:hAnsi="Arial"/>
          <w:sz w:val="18"/>
          <w:szCs w:val="18"/>
          <w:color w:val="auto"/>
        </w:rPr>
      </w:pPr>
    </w:p>
    <w:p>
      <w:pPr>
        <w:ind w:right="20" w:firstLine="1952"/>
        <w:spacing w:after="0" w:line="293" w:lineRule="auto"/>
        <w:tabs>
          <w:tab w:leader="none" w:pos="2370" w:val="left"/>
        </w:tabs>
        <w:numPr>
          <w:ilvl w:val="4"/>
          <w:numId w:val="37"/>
        </w:numPr>
        <w:rPr>
          <w:rFonts w:ascii="Arial" w:cs="Arial" w:eastAsia="Arial" w:hAnsi="Arial"/>
          <w:sz w:val="16"/>
          <w:szCs w:val="16"/>
          <w:color w:val="auto"/>
        </w:rPr>
      </w:pPr>
      <w:r>
        <w:rPr>
          <w:rFonts w:ascii="Arial" w:cs="Arial" w:eastAsia="Arial" w:hAnsi="Arial"/>
          <w:sz w:val="16"/>
          <w:szCs w:val="16"/>
          <w:color w:val="auto"/>
        </w:rPr>
        <w:t>With respect to each Outside Director providing services on the third business day following the last day of such fiscal year of the Company, an award of Common Stock shall be granted automatically, on the third business day following the last day of such fiscal year of the Company, to such Outside Director. The number of shares of Common Stock subject to such award shall equal the product of (x) $50,000 divided by the last reported sale price per share of Common Stock on the second business day following the last day of such fiscal year of the Company, and (y) a fraction, the numerator of which is the number of days in such fiscal year in which such Outside Director provided services to the Company and the denominator of which is the number of days in such fiscal year (rounding the resulting product to the nearest whole share of Common Stock).</w:t>
      </w:r>
    </w:p>
    <w:p>
      <w:pPr>
        <w:spacing w:after="0" w:line="164" w:lineRule="exact"/>
        <w:rPr>
          <w:rFonts w:ascii="Arial" w:cs="Arial" w:eastAsia="Arial" w:hAnsi="Arial"/>
          <w:sz w:val="16"/>
          <w:szCs w:val="16"/>
          <w:color w:val="auto"/>
        </w:rPr>
      </w:pPr>
    </w:p>
    <w:p>
      <w:pPr>
        <w:ind w:right="60" w:firstLine="1952"/>
        <w:spacing w:after="0" w:line="296" w:lineRule="auto"/>
        <w:tabs>
          <w:tab w:leader="none" w:pos="2361" w:val="left"/>
        </w:tabs>
        <w:numPr>
          <w:ilvl w:val="4"/>
          <w:numId w:val="37"/>
        </w:numPr>
        <w:rPr>
          <w:rFonts w:ascii="Arial" w:cs="Arial" w:eastAsia="Arial" w:hAnsi="Arial"/>
          <w:sz w:val="16"/>
          <w:szCs w:val="16"/>
          <w:color w:val="auto"/>
        </w:rPr>
      </w:pPr>
      <w:r>
        <w:rPr>
          <w:rFonts w:ascii="Arial" w:cs="Arial" w:eastAsia="Arial" w:hAnsi="Arial"/>
          <w:sz w:val="16"/>
          <w:szCs w:val="16"/>
          <w:color w:val="auto"/>
        </w:rPr>
        <w:t>With respect to each Outside Director who provided services as of the commencement of such fiscal year, but ceased providing services prior to any grant pursuant to Section 5(a)(ii)(A) with respect to such fiscal year, an award of Common Stock shall be granted automatically, on the last business day of service of such Outside Director, to such Outside Director. The number of shares of Common Stock subject to such award shall equal the product of (x) $50,000 divided by the last reported sale price per share of Common Stock on the business day prior to the last business day of service of such Outside Director, and (y) a fraction, the numerator of which is the number of days in such fiscal year in which such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-4988560</wp:posOffset>
            </wp:positionV>
            <wp:extent cx="821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82169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-4577080</wp:posOffset>
            </wp:positionV>
            <wp:extent cx="10852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1085215"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-4165600</wp:posOffset>
            </wp:positionV>
            <wp:extent cx="1158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1158240"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-3754120</wp:posOffset>
            </wp:positionV>
            <wp:extent cx="14966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1496695"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-3068320</wp:posOffset>
            </wp:positionV>
            <wp:extent cx="16656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1665605"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-2794000</wp:posOffset>
            </wp:positionV>
            <wp:extent cx="20212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2021205" cy="889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-1833880</wp:posOffset>
            </wp:positionV>
            <wp:extent cx="17030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170307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96" w:name="page97"/>
    <w:bookmarkEnd w:id="96"/>
    <w:p>
      <w:pPr>
        <w:ind w:right="240"/>
        <w:spacing w:after="0" w:line="277" w:lineRule="auto"/>
        <w:rPr>
          <w:sz w:val="20"/>
          <w:szCs w:val="20"/>
          <w:color w:val="auto"/>
        </w:rPr>
      </w:pPr>
      <w:r>
        <w:rPr>
          <w:rFonts w:ascii="Arial" w:cs="Arial" w:eastAsia="Arial" w:hAnsi="Arial"/>
          <w:sz w:val="18"/>
          <w:szCs w:val="18"/>
          <w:color w:val="auto"/>
        </w:rPr>
        <w:t>Director provided services to the Company and the denominator of which is the number of days in such fiscal year (rounding the resulting product to the nearest whole share of Common Stock).</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shares of Common Stock covered by awards described in this Section 5(a)(ii) shall be fully vested and not subject to any repurchase rights or other contractual restrictions.</w:t>
      </w:r>
    </w:p>
    <w:p>
      <w:pPr>
        <w:spacing w:after="0" w:line="170" w:lineRule="exact"/>
        <w:rPr>
          <w:sz w:val="20"/>
          <w:szCs w:val="20"/>
          <w:color w:val="auto"/>
        </w:rPr>
      </w:pPr>
    </w:p>
    <w:p>
      <w:pPr>
        <w:ind w:right="40" w:firstLine="656"/>
        <w:spacing w:after="0" w:line="263" w:lineRule="auto"/>
        <w:tabs>
          <w:tab w:leader="none" w:pos="10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Discretionary Equity Awards to Outside Directors. Without limiting Section 5(a), but subject to Section 5(d), the Board is authorized to grant options and awards to Outside Directors, from time to time, in its sole discretion, on such terms and conditions as it may determine, which shall not be inconsistent with the Plan.</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0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Terms of Director Options. Each option granted pursuant to Section 5(a)(i) or 5(b) shall be evidenced by a written agreement in such form as the President or the Executive Vice President, Corporate Development shall from time to time approve, which agreements shall comply with and be subject to the following terms and conditions:</w:t>
      </w:r>
    </w:p>
    <w:p>
      <w:pPr>
        <w:spacing w:after="0" w:line="183" w:lineRule="exact"/>
        <w:rPr>
          <w:rFonts w:ascii="Arial" w:cs="Arial" w:eastAsia="Arial" w:hAnsi="Arial"/>
          <w:sz w:val="18"/>
          <w:szCs w:val="18"/>
          <w:color w:val="auto"/>
        </w:rPr>
      </w:pPr>
    </w:p>
    <w:p>
      <w:pPr>
        <w:ind w:right="180" w:firstLine="1304"/>
        <w:spacing w:after="0" w:line="272" w:lineRule="auto"/>
        <w:tabs>
          <w:tab w:leader="none" w:pos="1646" w:val="left"/>
        </w:tabs>
        <w:numPr>
          <w:ilvl w:val="2"/>
          <w:numId w:val="38"/>
        </w:numPr>
        <w:rPr>
          <w:rFonts w:ascii="Arial" w:cs="Arial" w:eastAsia="Arial" w:hAnsi="Arial"/>
          <w:sz w:val="17"/>
          <w:szCs w:val="17"/>
          <w:color w:val="auto"/>
        </w:rPr>
      </w:pPr>
      <w:r>
        <w:rPr>
          <w:rFonts w:ascii="Arial" w:cs="Arial" w:eastAsia="Arial" w:hAnsi="Arial"/>
          <w:sz w:val="17"/>
          <w:szCs w:val="17"/>
          <w:color w:val="auto"/>
        </w:rPr>
        <w:t>Option Exercise Price. The option exercise price per share for each option granted under the Plan shall be equal to the fair market value per share of Common Stock on the date of grant, which shall be determined as follows: (i) if the Common Stock is listed on the Nasdaq Global Market or another nationally recognized exchange or trading system as of the date on which a determination of fair market value is to be made, the fair market value per share shall be deemed to be the last reported sale price per share of Common Stock thereon on such date (or, if no such price is reported on such date, such price on the nearest preceding date on which such a price is reported); and (ii) if the Common Stock is not listed on the Nasdaq Global Market or another nationally recognized exchange or trading system as of the date on which a determination of fair market value is to be made, the fair market value per share shall be as determined by the Board.</w:t>
      </w:r>
    </w:p>
    <w:p>
      <w:pPr>
        <w:spacing w:after="0" w:line="177" w:lineRule="exact"/>
        <w:rPr>
          <w:rFonts w:ascii="Arial" w:cs="Arial" w:eastAsia="Arial" w:hAnsi="Arial"/>
          <w:sz w:val="17"/>
          <w:szCs w:val="17"/>
          <w:color w:val="auto"/>
        </w:rPr>
      </w:pPr>
    </w:p>
    <w:p>
      <w:pPr>
        <w:ind w:firstLine="1304"/>
        <w:spacing w:after="0" w:line="289" w:lineRule="auto"/>
        <w:tabs>
          <w:tab w:leader="none" w:pos="1692" w:val="left"/>
        </w:tabs>
        <w:numPr>
          <w:ilvl w:val="2"/>
          <w:numId w:val="38"/>
        </w:numPr>
        <w:rPr>
          <w:rFonts w:ascii="Arial" w:cs="Arial" w:eastAsia="Arial" w:hAnsi="Arial"/>
          <w:sz w:val="16"/>
          <w:szCs w:val="16"/>
          <w:color w:val="auto"/>
        </w:rPr>
      </w:pPr>
      <w:r>
        <w:rPr>
          <w:rFonts w:ascii="Arial" w:cs="Arial" w:eastAsia="Arial" w:hAnsi="Arial"/>
          <w:sz w:val="16"/>
          <w:szCs w:val="16"/>
          <w:color w:val="auto"/>
        </w:rPr>
        <w:t xml:space="preserve">Transferability of Options. Subject to clause (vi) below, except as the Board may otherwise determine,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Board may permit or provide in an option for the gratuitous transfer of such option by the applicable Outside Director to or for the benefit of any immediate family member, family trust or other entity established for the benefit of the Outside Director and/or an immediate family member thereof if, with respect to such proposed transferee, the Company would be eligible to use a Form S-8 for the registration of the sale of the Common Stock subject to such option under the Securities Act of 1933,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required to recognize any such transfer until such time as the applicable Outside Director and such permitted transferee shall, as a condition to such transfer, deliver to the Company a written instrument in form and substance satisfactory to the Company confirming that such transferee shall be bound by all of the terms and conditions of the option.</w:t>
      </w:r>
    </w:p>
    <w:p>
      <w:pPr>
        <w:spacing w:after="0" w:line="166" w:lineRule="exact"/>
        <w:rPr>
          <w:rFonts w:ascii="Arial" w:cs="Arial" w:eastAsia="Arial" w:hAnsi="Arial"/>
          <w:sz w:val="16"/>
          <w:szCs w:val="16"/>
          <w:color w:val="auto"/>
        </w:rPr>
      </w:pPr>
    </w:p>
    <w:p>
      <w:pPr>
        <w:ind w:left="1760" w:hanging="456"/>
        <w:spacing w:after="0"/>
        <w:tabs>
          <w:tab w:leader="none" w:pos="17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Vesting Period.</w:t>
      </w:r>
    </w:p>
    <w:p>
      <w:pPr>
        <w:spacing w:after="0" w:line="225" w:lineRule="exact"/>
        <w:rPr>
          <w:rFonts w:ascii="Arial" w:cs="Arial" w:eastAsia="Arial" w:hAnsi="Arial"/>
          <w:sz w:val="18"/>
          <w:szCs w:val="18"/>
          <w:color w:val="auto"/>
        </w:rPr>
      </w:pPr>
    </w:p>
    <w:p>
      <w:pPr>
        <w:ind w:right="100" w:firstLine="1952"/>
        <w:spacing w:after="0" w:line="277" w:lineRule="auto"/>
        <w:tabs>
          <w:tab w:leader="none" w:pos="2374" w:val="left"/>
        </w:tabs>
        <w:numPr>
          <w:ilvl w:val="3"/>
          <w:numId w:val="38"/>
        </w:numPr>
        <w:rPr>
          <w:rFonts w:ascii="Arial" w:cs="Arial" w:eastAsia="Arial" w:hAnsi="Arial"/>
          <w:sz w:val="18"/>
          <w:szCs w:val="18"/>
          <w:color w:val="auto"/>
        </w:rPr>
      </w:pPr>
      <w:r>
        <w:rPr>
          <w:rFonts w:ascii="Arial" w:cs="Arial" w:eastAsia="Arial" w:hAnsi="Arial"/>
          <w:sz w:val="18"/>
          <w:szCs w:val="18"/>
          <w:color w:val="auto"/>
        </w:rPr>
        <w:t>General. Each option granted pursuant to Section 5(a)(i) shall become exercisable in equal annual installments over a two year period following the date of grant.</w:t>
      </w:r>
    </w:p>
    <w:p>
      <w:pPr>
        <w:spacing w:after="0" w:line="170" w:lineRule="exact"/>
        <w:rPr>
          <w:rFonts w:ascii="Arial" w:cs="Arial" w:eastAsia="Arial" w:hAnsi="Arial"/>
          <w:sz w:val="18"/>
          <w:szCs w:val="18"/>
          <w:color w:val="auto"/>
        </w:rPr>
      </w:pPr>
    </w:p>
    <w:p>
      <w:pPr>
        <w:ind w:firstLine="1952"/>
        <w:spacing w:after="0" w:line="285" w:lineRule="auto"/>
        <w:tabs>
          <w:tab w:leader="none" w:pos="2354" w:val="left"/>
        </w:tabs>
        <w:numPr>
          <w:ilvl w:val="3"/>
          <w:numId w:val="38"/>
        </w:numPr>
        <w:rPr>
          <w:rFonts w:ascii="Arial" w:cs="Arial" w:eastAsia="Arial" w:hAnsi="Arial"/>
          <w:sz w:val="16"/>
          <w:szCs w:val="16"/>
          <w:color w:val="auto"/>
        </w:rPr>
      </w:pPr>
      <w:r>
        <w:rPr>
          <w:rFonts w:ascii="Arial" w:cs="Arial" w:eastAsia="Arial" w:hAnsi="Arial"/>
          <w:sz w:val="16"/>
          <w:szCs w:val="16"/>
          <w:color w:val="auto"/>
        </w:rPr>
        <w:t>Acceleration Upon a Change in Control of the Company. Notwithstanding the foregoing, each outstanding option granted pursuant to Section 5(a)(i) shall immediately become exercisable in full in the event a Change in Control of the Company (as defined in this subsection) occurs. For purposes of the Plan, a “Change in Control of the Company” shall occur or be deemed to have occurred only if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any option agreement issued under the Plan, individuals who at the beginning of such period constitute the Board, and any new director (other than a director designated by a person who has entered into an agreement with the Company to effect any transaction described in clause (i), (iii) or (iv) of this subsection (B)) whose election by the Board or nomination for election by the Company’s stockholders was approved by a vote of at least two-thirds of the directors then still in office who were either directors at the beginning of the period or whose election or whose nomination for election was previously so approved, cease for any reason to constitute a majority of the Board;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(iv) the stockholders of the Company approve a plan of complete liquidation of the Company or there occurs the sale or disposition by the Company of all or substantially all of the Company assets.</w:t>
      </w:r>
    </w:p>
    <w:p>
      <w:pPr>
        <w:spacing w:after="0" w:line="173" w:lineRule="exact"/>
        <w:rPr>
          <w:rFonts w:ascii="Arial" w:cs="Arial" w:eastAsia="Arial" w:hAnsi="Arial"/>
          <w:sz w:val="16"/>
          <w:szCs w:val="16"/>
          <w:color w:val="auto"/>
        </w:rPr>
      </w:pPr>
    </w:p>
    <w:p>
      <w:pPr>
        <w:ind w:right="180" w:firstLine="1304"/>
        <w:spacing w:after="0" w:line="263" w:lineRule="auto"/>
        <w:tabs>
          <w:tab w:leader="none" w:pos="173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Termination. Each option shall terminate, and may no longer be exercised, on the earlier of the (i) the date ten years after the date of grant or (ii) the date 60 days after the optionee ceases to serve as a director of the Company for any reason, whether by death, resignation, removal or otherwise.</w:t>
      </w:r>
    </w:p>
    <w:p>
      <w:pPr>
        <w:spacing w:after="0" w:line="183" w:lineRule="exact"/>
        <w:rPr>
          <w:rFonts w:ascii="Arial" w:cs="Arial" w:eastAsia="Arial" w:hAnsi="Arial"/>
          <w:sz w:val="18"/>
          <w:szCs w:val="18"/>
          <w:color w:val="auto"/>
        </w:rPr>
      </w:pPr>
    </w:p>
    <w:p>
      <w:pPr>
        <w:ind w:right="60" w:firstLine="1304"/>
        <w:spacing w:after="0" w:line="257" w:lineRule="auto"/>
        <w:tabs>
          <w:tab w:leader="none" w:pos="1686" w:val="left"/>
        </w:tabs>
        <w:numPr>
          <w:ilvl w:val="2"/>
          <w:numId w:val="38"/>
        </w:numPr>
        <w:rPr>
          <w:rFonts w:ascii="Arial" w:cs="Arial" w:eastAsia="Arial" w:hAnsi="Arial"/>
          <w:sz w:val="18"/>
          <w:szCs w:val="18"/>
          <w:color w:val="auto"/>
        </w:rPr>
      </w:pPr>
      <w:r>
        <w:rPr>
          <w:rFonts w:ascii="Arial" w:cs="Arial" w:eastAsia="Arial" w:hAnsi="Arial"/>
          <w:sz w:val="18"/>
          <w:szCs w:val="18"/>
          <w:color w:val="auto"/>
        </w:rPr>
        <w:t>Exercise Procedure. Options may be exercised only by written notice to the Company at its principal office accompanied by (i) payment in cash or by certified or bank check of the full consideration for the shares as to which they are exercised or (ii) an irrevocable undertaking, in form and substance satisfactory to the Company, by a broker to deliver promptly to the Company sufficient funds to pay the exercise price or (iii) delivery of irrevocable instructions, in form and substance satisfactory to the Company, to a broker to deliver promptly to the Company cash or a check sufficient to pay the exercise price.</w:t>
      </w:r>
    </w:p>
    <w:p>
      <w:pPr>
        <w:spacing w:after="0" w:line="187" w:lineRule="exact"/>
        <w:rPr>
          <w:rFonts w:ascii="Arial" w:cs="Arial" w:eastAsia="Arial" w:hAnsi="Arial"/>
          <w:sz w:val="18"/>
          <w:szCs w:val="18"/>
          <w:color w:val="auto"/>
        </w:rPr>
      </w:pPr>
    </w:p>
    <w:p>
      <w:pPr>
        <w:ind w:right="80" w:firstLine="1304"/>
        <w:spacing w:after="0" w:line="279" w:lineRule="auto"/>
        <w:tabs>
          <w:tab w:leader="none" w:pos="1736" w:val="left"/>
        </w:tabs>
        <w:numPr>
          <w:ilvl w:val="2"/>
          <w:numId w:val="38"/>
        </w:numPr>
        <w:rPr>
          <w:rFonts w:ascii="Arial" w:cs="Arial" w:eastAsia="Arial" w:hAnsi="Arial"/>
          <w:sz w:val="17"/>
          <w:szCs w:val="17"/>
          <w:color w:val="auto"/>
        </w:rPr>
      </w:pPr>
      <w:r>
        <w:rPr>
          <w:rFonts w:ascii="Arial" w:cs="Arial" w:eastAsia="Arial" w:hAnsi="Arial"/>
          <w:sz w:val="17"/>
          <w:szCs w:val="17"/>
          <w:color w:val="auto"/>
        </w:rPr>
        <w:t>Exercise by Representative Following Death of Director. An optionee, by written notice to the Company, may designate one or more persons (and from time to time change such designation), including his or her legal representative, who, by reason of the optionee’s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171" w:lineRule="exact"/>
        <w:rPr>
          <w:rFonts w:ascii="Arial" w:cs="Arial" w:eastAsia="Arial" w:hAnsi="Arial"/>
          <w:sz w:val="17"/>
          <w:szCs w:val="17"/>
          <w:color w:val="auto"/>
        </w:rPr>
      </w:pPr>
    </w:p>
    <w:p>
      <w:pPr>
        <w:jc w:val="both"/>
        <w:ind w:right="320" w:firstLine="656"/>
        <w:spacing w:after="0" w:line="263" w:lineRule="auto"/>
        <w:tabs>
          <w:tab w:leader="none" w:pos="10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Award Limit. Notwithstanding any provision in the Plan to the contrary, no Outside Director shall be granted options or awards under the Plan in any one fiscal year with a grant date fair value, as determined in accordance with Financial Accounting Standards Board Accounting Standards Codification Topic 718, or any successor thereto, in excess of $500,000.</w:t>
      </w:r>
    </w:p>
    <w:p>
      <w:pPr>
        <w:spacing w:after="0" w:line="179"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-9334500</wp:posOffset>
            </wp:positionV>
            <wp:extent cx="2397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239776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-8785860</wp:posOffset>
            </wp:positionV>
            <wp:extent cx="13195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1319530" cy="889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-8237220</wp:posOffset>
            </wp:positionV>
            <wp:extent cx="11169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111696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-7139940</wp:posOffset>
            </wp:positionV>
            <wp:extent cx="1301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130111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-5768340</wp:posOffset>
            </wp:positionV>
            <wp:extent cx="7816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81685" cy="8255"/>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-5494020</wp:posOffset>
            </wp:positionV>
            <wp:extent cx="4756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47561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-5082540</wp:posOffset>
            </wp:positionV>
            <wp:extent cx="26904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2690495" cy="825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-2613660</wp:posOffset>
            </wp:positionV>
            <wp:extent cx="668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-2065020</wp:posOffset>
            </wp:positionV>
            <wp:extent cx="9994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99949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-1242060</wp:posOffset>
            </wp:positionV>
            <wp:extent cx="26904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2690495" cy="88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-556260</wp:posOffset>
            </wp:positionV>
            <wp:extent cx="6908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97" w:name="page98"/>
    <w:bookmarkEnd w:id="97"/>
    <w:p>
      <w:pPr>
        <w:ind w:right="160" w:firstLine="656"/>
        <w:spacing w:after="0" w:line="263" w:lineRule="auto"/>
        <w:tabs>
          <w:tab w:leader="none" w:pos="1027" w:val="left"/>
        </w:tabs>
        <w:numPr>
          <w:ilvl w:val="4"/>
          <w:numId w:val="40"/>
        </w:numPr>
        <w:rPr>
          <w:rFonts w:ascii="Arial" w:cs="Arial" w:eastAsia="Arial" w:hAnsi="Arial"/>
          <w:sz w:val="18"/>
          <w:szCs w:val="18"/>
          <w:color w:val="auto"/>
        </w:rPr>
      </w:pPr>
      <w:r>
        <w:rPr>
          <w:rFonts w:ascii="Arial" w:cs="Arial" w:eastAsia="Arial" w:hAnsi="Arial"/>
          <w:sz w:val="18"/>
          <w:szCs w:val="18"/>
          <w:color w:val="auto"/>
        </w:rPr>
        <w:t>No Right to Continue as a Director. Neither the Plan, nor the granting of an option nor any other action taken pursuant to the Plan, shall constitute or be evidence of any agreement or understanding, express or implied, that the optionee shall be entitled to continue as a director for any period of time.</w:t>
      </w:r>
    </w:p>
    <w:p>
      <w:pPr>
        <w:spacing w:after="0" w:line="183" w:lineRule="exact"/>
        <w:rPr>
          <w:rFonts w:ascii="Arial" w:cs="Arial" w:eastAsia="Arial" w:hAnsi="Arial"/>
          <w:sz w:val="18"/>
          <w:szCs w:val="18"/>
          <w:color w:val="auto"/>
        </w:rPr>
      </w:pPr>
    </w:p>
    <w:p>
      <w:pPr>
        <w:ind w:right="60" w:firstLine="656"/>
        <w:spacing w:after="0" w:line="271" w:lineRule="auto"/>
        <w:tabs>
          <w:tab w:leader="none" w:pos="1038" w:val="left"/>
        </w:tabs>
        <w:numPr>
          <w:ilvl w:val="4"/>
          <w:numId w:val="40"/>
        </w:numPr>
        <w:rPr>
          <w:rFonts w:ascii="Arial" w:cs="Arial" w:eastAsia="Arial" w:hAnsi="Arial"/>
          <w:sz w:val="17"/>
          <w:szCs w:val="17"/>
          <w:color w:val="auto"/>
        </w:rPr>
      </w:pPr>
      <w:r>
        <w:rPr>
          <w:rFonts w:ascii="Arial" w:cs="Arial" w:eastAsia="Arial" w:hAnsi="Arial"/>
          <w:sz w:val="17"/>
          <w:szCs w:val="17"/>
          <w:color w:val="auto"/>
        </w:rPr>
        <w:t>No Stockholder Rights for Options. An optionee shall have no rights as a stockholder with respect to the shares covered by his or her option until the date of the issuance to him or her of a stock certificate therefor, and no adjustment will be made for dividends or other rights (except as provided in Section 7) for which the record date is prior to the date such certificate is issued. 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 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spacing w:after="0" w:line="178" w:lineRule="exact"/>
        <w:rPr>
          <w:rFonts w:ascii="Arial" w:cs="Arial" w:eastAsia="Arial" w:hAnsi="Arial"/>
          <w:sz w:val="17"/>
          <w:szCs w:val="17"/>
          <w:color w:val="auto"/>
        </w:rPr>
      </w:pPr>
    </w:p>
    <w:p>
      <w:pPr>
        <w:ind w:right="120" w:firstLine="656"/>
        <w:spacing w:after="0" w:line="273" w:lineRule="auto"/>
        <w:tabs>
          <w:tab w:leader="none" w:pos="1027" w:val="left"/>
        </w:tabs>
        <w:numPr>
          <w:ilvl w:val="4"/>
          <w:numId w:val="40"/>
        </w:numPr>
        <w:rPr>
          <w:rFonts w:ascii="Arial" w:cs="Arial" w:eastAsia="Arial" w:hAnsi="Arial"/>
          <w:sz w:val="17"/>
          <w:szCs w:val="17"/>
          <w:color w:val="auto"/>
        </w:rPr>
      </w:pPr>
      <w:r>
        <w:rPr>
          <w:rFonts w:ascii="Arial" w:cs="Arial" w:eastAsia="Arial" w:hAnsi="Arial"/>
          <w:sz w:val="17"/>
          <w:szCs w:val="17"/>
          <w:color w:val="auto"/>
        </w:rPr>
        <w:t>Compliance with Securities Laws. Each option and stock award shall be subject to the requirement that if, at any time, counsel to the Company shall determine that the listing, registration or qualification of the shares subject to such option or stock award upon any securities exchange or under any state or federal law, or the consent or approval of any governmental or regulatory body, or the disclosure of non-public information or the satisfaction of any other condition is necessary as a condition to, or in connection with, the issuance or purchase of shares thereunder, such option may not be exercised, in whole or in part, and such stock award shall not be granted, unless such listing, registration, qualification, consent or approval, or satisfaction of such condition shall have been effected or obtained on conditions acceptable to the Board.</w:t>
      </w:r>
    </w:p>
    <w:p>
      <w:pPr>
        <w:spacing w:after="0" w:line="173" w:lineRule="exact"/>
        <w:rPr>
          <w:rFonts w:ascii="Arial" w:cs="Arial" w:eastAsia="Arial" w:hAnsi="Arial"/>
          <w:sz w:val="17"/>
          <w:szCs w:val="17"/>
          <w:color w:val="auto"/>
        </w:rPr>
      </w:pPr>
    </w:p>
    <w:p>
      <w:pPr>
        <w:ind w:left="420" w:hanging="318"/>
        <w:spacing w:after="0"/>
        <w:tabs>
          <w:tab w:leader="none" w:pos="42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Changes in Capitalization and Reorganization Events.</w:t>
      </w:r>
    </w:p>
    <w:p>
      <w:pPr>
        <w:spacing w:after="0" w:line="229" w:lineRule="exact"/>
        <w:rPr>
          <w:rFonts w:ascii="Arial" w:cs="Arial" w:eastAsia="Arial" w:hAnsi="Arial"/>
          <w:sz w:val="18"/>
          <w:szCs w:val="18"/>
          <w:b w:val="1"/>
          <w:bCs w:val="1"/>
          <w:color w:val="auto"/>
        </w:rPr>
      </w:pPr>
    </w:p>
    <w:p>
      <w:pPr>
        <w:ind w:right="20" w:firstLine="656"/>
        <w:spacing w:after="0" w:line="289" w:lineRule="auto"/>
        <w:tabs>
          <w:tab w:leader="none" w:pos="1027" w:val="left"/>
        </w:tabs>
        <w:numPr>
          <w:ilvl w:val="4"/>
          <w:numId w:val="41"/>
        </w:numPr>
        <w:rPr>
          <w:rFonts w:ascii="Arial" w:cs="Arial" w:eastAsia="Arial" w:hAnsi="Arial"/>
          <w:sz w:val="16"/>
          <w:szCs w:val="16"/>
          <w:color w:val="auto"/>
        </w:rPr>
      </w:pPr>
      <w:r>
        <w:rPr>
          <w:rFonts w:ascii="Arial" w:cs="Arial" w:eastAsia="Arial" w:hAnsi="Arial"/>
          <w:sz w:val="16"/>
          <w:szCs w:val="16"/>
          <w:color w:val="auto"/>
        </w:rPr>
        <w:t>Changes in Capitalization.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and (ii) the number and class of securities and exercise price per share of each outstanding option and each option issuable under Section 5(a) shall be equitably adjusted by the Company.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66" w:lineRule="exact"/>
        <w:rPr>
          <w:rFonts w:ascii="Arial" w:cs="Arial" w:eastAsia="Arial" w:hAnsi="Arial"/>
          <w:sz w:val="16"/>
          <w:szCs w:val="16"/>
          <w:color w:val="auto"/>
        </w:rPr>
      </w:pPr>
    </w:p>
    <w:p>
      <w:pPr>
        <w:ind w:left="1040" w:hanging="384"/>
        <w:spacing w:after="0"/>
        <w:tabs>
          <w:tab w:leader="none" w:pos="1040" w:val="left"/>
        </w:tabs>
        <w:numPr>
          <w:ilvl w:val="4"/>
          <w:numId w:val="41"/>
        </w:numPr>
        <w:rPr>
          <w:rFonts w:ascii="Arial" w:cs="Arial" w:eastAsia="Arial" w:hAnsi="Arial"/>
          <w:sz w:val="18"/>
          <w:szCs w:val="18"/>
          <w:color w:val="auto"/>
        </w:rPr>
      </w:pPr>
      <w:r>
        <w:rPr>
          <w:rFonts w:ascii="Arial" w:cs="Arial" w:eastAsia="Arial" w:hAnsi="Arial"/>
          <w:sz w:val="18"/>
          <w:szCs w:val="18"/>
          <w:color w:val="auto"/>
        </w:rPr>
        <w:t>Reorganization Events.</w:t>
      </w:r>
    </w:p>
    <w:p>
      <w:pPr>
        <w:spacing w:after="0" w:line="225" w:lineRule="exact"/>
        <w:rPr>
          <w:rFonts w:ascii="Arial" w:cs="Arial" w:eastAsia="Arial" w:hAnsi="Arial"/>
          <w:sz w:val="18"/>
          <w:szCs w:val="18"/>
          <w:color w:val="auto"/>
        </w:rPr>
      </w:pPr>
    </w:p>
    <w:p>
      <w:pPr>
        <w:ind w:right="160" w:firstLine="1304"/>
        <w:spacing w:after="0" w:line="287" w:lineRule="auto"/>
        <w:tabs>
          <w:tab w:leader="none" w:pos="1646" w:val="left"/>
        </w:tabs>
        <w:numPr>
          <w:ilvl w:val="5"/>
          <w:numId w:val="41"/>
        </w:numPr>
        <w:rPr>
          <w:rFonts w:ascii="Arial" w:cs="Arial" w:eastAsia="Arial" w:hAnsi="Arial"/>
          <w:sz w:val="16"/>
          <w:szCs w:val="16"/>
          <w:color w:val="auto"/>
        </w:rPr>
      </w:pPr>
      <w:r>
        <w:rPr>
          <w:rFonts w:ascii="Arial" w:cs="Arial" w:eastAsia="Arial" w:hAnsi="Arial"/>
          <w:sz w:val="16"/>
          <w:szCs w:val="16"/>
          <w:color w:val="auto"/>
        </w:rPr>
        <w:t>Definition.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210" w:lineRule="exact"/>
        <w:rPr>
          <w:rFonts w:ascii="Arial" w:cs="Arial" w:eastAsia="Arial" w:hAnsi="Arial"/>
          <w:sz w:val="18"/>
          <w:szCs w:val="18"/>
          <w:color w:val="auto"/>
        </w:rPr>
      </w:pPr>
    </w:p>
    <w:p>
      <w:pPr>
        <w:ind w:right="20" w:firstLine="1304"/>
        <w:spacing w:after="0" w:line="287" w:lineRule="auto"/>
        <w:tabs>
          <w:tab w:leader="none" w:pos="1696" w:val="left"/>
        </w:tabs>
        <w:numPr>
          <w:ilvl w:val="5"/>
          <w:numId w:val="42"/>
        </w:numPr>
        <w:rPr>
          <w:rFonts w:ascii="Arial" w:cs="Arial" w:eastAsia="Arial" w:hAnsi="Arial"/>
          <w:sz w:val="16"/>
          <w:szCs w:val="16"/>
          <w:color w:val="auto"/>
        </w:rPr>
      </w:pPr>
      <w:r>
        <w:rPr>
          <w:rFonts w:ascii="Arial" w:cs="Arial" w:eastAsia="Arial" w:hAnsi="Arial"/>
          <w:sz w:val="16"/>
          <w:szCs w:val="16"/>
          <w:color w:val="auto"/>
        </w:rPr>
        <w:t>Consequences of a Reorganization Event on Options. In connection with a Reorganization Event, the Board may take any one or more of the following actions as to all or any (or any portion of) outstanding options on such terms as the Board determines: (i) provide that the options shall be assumed, or substantially equivalent options shall be substituted, by the acquiring or succeeding corporation (or an affiliate thereof), (ii) upon written notice to an optionee, provide that the optionees’ unexercised options will terminate immediately prior to the consummation of such Reorganization Event unless exercised by the optionee within a specified period following the date of such notice, (iii) provide that outstanding options shall become exercisable,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optionees’ options (to the extent the exercise price does not exceed the Acquisition Price) over (B) the aggregate exercise price of such outstanding options and any applicable tax withholdings, in exchange for the termination of such options, (v) provide that, in connection with a liquidation or dissolution of the Company, Awards shall convert into the right to receive liquidation proceeds (if applicable, net of the exercise price thereof and any applicable tax withholdings) and (vi) any combination of the foregoing.</w:t>
      </w:r>
    </w:p>
    <w:p>
      <w:pPr>
        <w:spacing w:after="0" w:line="163" w:lineRule="exact"/>
        <w:rPr>
          <w:rFonts w:ascii="Arial" w:cs="Arial" w:eastAsia="Arial" w:hAnsi="Arial"/>
          <w:sz w:val="16"/>
          <w:szCs w:val="16"/>
          <w:color w:val="auto"/>
        </w:rPr>
      </w:pPr>
    </w:p>
    <w:p>
      <w:pPr>
        <w:ind w:left="460" w:hanging="317"/>
        <w:spacing w:after="0"/>
        <w:tabs>
          <w:tab w:leader="none" w:pos="460" w:val="left"/>
        </w:tabs>
        <w:numPr>
          <w:ilvl w:val="2"/>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or Termination of Options.</w:t>
      </w:r>
    </w:p>
    <w:p>
      <w:pPr>
        <w:spacing w:after="0" w:line="229" w:lineRule="exact"/>
        <w:rPr>
          <w:rFonts w:ascii="Arial" w:cs="Arial" w:eastAsia="Arial" w:hAnsi="Arial"/>
          <w:sz w:val="18"/>
          <w:szCs w:val="18"/>
          <w:b w:val="1"/>
          <w:bCs w:val="1"/>
          <w:color w:val="auto"/>
        </w:rPr>
      </w:pPr>
    </w:p>
    <w:p>
      <w:pPr>
        <w:ind w:right="140" w:firstLine="656"/>
        <w:spacing w:after="0" w:line="279" w:lineRule="auto"/>
        <w:tabs>
          <w:tab w:leader="none" w:pos="1018" w:val="left"/>
        </w:tabs>
        <w:numPr>
          <w:ilvl w:val="4"/>
          <w:numId w:val="42"/>
        </w:numPr>
        <w:rPr>
          <w:rFonts w:ascii="Arial" w:cs="Arial" w:eastAsia="Arial" w:hAnsi="Arial"/>
          <w:sz w:val="17"/>
          <w:szCs w:val="17"/>
          <w:color w:val="auto"/>
        </w:rPr>
      </w:pPr>
      <w:r>
        <w:rPr>
          <w:rFonts w:ascii="Arial" w:cs="Arial" w:eastAsia="Arial" w:hAnsi="Arial"/>
          <w:sz w:val="17"/>
          <w:szCs w:val="17"/>
          <w:color w:val="auto"/>
        </w:rPr>
        <w:t>Amendment, Modification or Termination. Subject to Section 8(b), the Board may amend, modify or terminate any outstanding option, including but not limited to, substituting therefor another option of the same or a different type and changing the date of exercise or realization. A Outside Director’s consent to such action shall be required unless (i) the Board determines that the action, taking into account any related action, would not materially and adversely affect the Outside Director’s rights under the Plan or (ii) the change is permitted under Section 7 hereof.</w:t>
      </w:r>
    </w:p>
    <w:p>
      <w:pPr>
        <w:spacing w:after="0" w:line="171" w:lineRule="exact"/>
        <w:rPr>
          <w:rFonts w:ascii="Arial" w:cs="Arial" w:eastAsia="Arial" w:hAnsi="Arial"/>
          <w:sz w:val="17"/>
          <w:szCs w:val="17"/>
          <w:color w:val="auto"/>
        </w:rPr>
      </w:pPr>
    </w:p>
    <w:p>
      <w:pPr>
        <w:ind w:right="40" w:firstLine="656"/>
        <w:spacing w:after="0" w:line="275" w:lineRule="auto"/>
        <w:tabs>
          <w:tab w:leader="none" w:pos="1038" w:val="left"/>
        </w:tabs>
        <w:numPr>
          <w:ilvl w:val="4"/>
          <w:numId w:val="42"/>
        </w:numPr>
        <w:rPr>
          <w:rFonts w:ascii="Arial" w:cs="Arial" w:eastAsia="Arial" w:hAnsi="Arial"/>
          <w:sz w:val="17"/>
          <w:szCs w:val="17"/>
          <w:color w:val="auto"/>
        </w:rPr>
      </w:pPr>
      <w:r>
        <w:rPr>
          <w:rFonts w:ascii="Arial" w:cs="Arial" w:eastAsia="Arial" w:hAnsi="Arial"/>
          <w:sz w:val="17"/>
          <w:szCs w:val="17"/>
          <w:color w:val="auto"/>
        </w:rPr>
        <w:t>Required Stockholder Approval.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7) and (2) the Board may not cancel any outstanding option (whether or not granted under the Plan) and grant in substitution therefor new options under the Plan covering the same or a different number of shares of Common Stock and having an exercise price per share lower than the then-current exercise price per share of the cancelled option.</w:t>
      </w:r>
    </w:p>
    <w:p>
      <w:pPr>
        <w:spacing w:after="0" w:line="172" w:lineRule="exact"/>
        <w:rPr>
          <w:rFonts w:ascii="Arial" w:cs="Arial" w:eastAsia="Arial" w:hAnsi="Arial"/>
          <w:sz w:val="17"/>
          <w:szCs w:val="17"/>
          <w:color w:val="auto"/>
        </w:rPr>
      </w:pPr>
    </w:p>
    <w:p>
      <w:pPr>
        <w:ind w:left="500" w:hanging="317"/>
        <w:spacing w:after="0"/>
        <w:tabs>
          <w:tab w:leader="none" w:pos="500" w:val="left"/>
        </w:tabs>
        <w:numPr>
          <w:ilvl w:val="3"/>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Amendment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-8923020</wp:posOffset>
            </wp:positionV>
            <wp:extent cx="17132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1713230" cy="825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-8374380</wp:posOffset>
            </wp:positionV>
            <wp:extent cx="1713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1713865"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-7139940</wp:posOffset>
            </wp:positionV>
            <wp:extent cx="16529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1652905"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-5905500</wp:posOffset>
            </wp:positionV>
            <wp:extent cx="1294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-4533900</wp:posOffset>
            </wp:positionV>
            <wp:extent cx="11493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1149350"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-4259580</wp:posOffset>
            </wp:positionV>
            <wp:extent cx="583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58356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-3573780</wp:posOffset>
            </wp:positionV>
            <wp:extent cx="25234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25234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-1516380</wp:posOffset>
            </wp:positionV>
            <wp:extent cx="2035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2035175" cy="8255"/>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-830580</wp:posOffset>
            </wp:positionV>
            <wp:extent cx="1573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1573530" cy="8890"/>
                    </a:xfrm>
                    <a:prstGeom prst="rect">
                      <a:avLst/>
                    </a:prstGeom>
                    <a:noFill/>
                  </pic:spPr>
                </pic:pic>
              </a:graphicData>
            </a:graphic>
          </wp:anchor>
        </w:drawing>
      </w:r>
    </w:p>
    <w:p>
      <w:pPr>
        <w:spacing w:after="0" w:line="209"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 xml:space="preserve">The Board may suspend, terminate or discontinue the Plan or amend it in any respect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approval of the stockholders of the Company, no amendment may (i) increase the number of shares subject to the Plan (except as provided in Section 7), or (ii) effect any action which requires approval of the stockholders pursuant to the rules or requirements of the Nasdaq Stock Market (“Nasdaq”) or any other exchange on which the Common Stock of the Company is listed. No amendment that would require stockholder approval under Nasdaq rules may be made effective unless and until such amendment shall have been approved by the Company’s stockholders. If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(B) expanding the types of options or stock awards that may be granted under the Plan, or (C) materially expanding the class of participants eligible to participate in the Plan shall be effective unless stockholder approval is obtained. Unless otherwise specified in the amendment, any amendment to the Plan adopted in accordance</w:t>
      </w:r>
    </w:p>
    <w:p>
      <w:pPr>
        <w:sectPr>
          <w:pgSz w:w="11900" w:h="16838" w:orient="portrait"/>
          <w:cols w:equalWidth="0" w:num="1">
            <w:col w:w="11240"/>
          </w:cols>
          <w:pgMar w:left="320" w:top="125" w:right="339" w:bottom="0" w:gutter="0" w:footer="0" w:header="0"/>
        </w:sectPr>
      </w:pPr>
    </w:p>
    <w:bookmarkStart w:id="98" w:name="page99"/>
    <w:bookmarkEnd w:id="98"/>
    <w:p>
      <w:pPr>
        <w:jc w:val="both"/>
        <w:spacing w:after="0" w:line="308" w:lineRule="auto"/>
        <w:rPr>
          <w:sz w:val="20"/>
          <w:szCs w:val="20"/>
          <w:color w:val="auto"/>
        </w:rPr>
      </w:pPr>
      <w:r>
        <w:rPr>
          <w:rFonts w:ascii="Arial" w:cs="Arial" w:eastAsia="Arial" w:hAnsi="Arial"/>
          <w:sz w:val="17"/>
          <w:szCs w:val="17"/>
          <w:color w:val="auto"/>
        </w:rPr>
        <w:t>with this Section 9 shall apply to, and be binding on the holders of, all options and awards outstanding under the Plan at the time the amendment is adopted, provided the Board determines that such amendment does not materially and adversely affect the rights of participants under the Plan.</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10. Notice.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written notice to the Company required by any of the provisions of the Plan shall be addressed to the Treasurer of the Company and shall become effective when it is received.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Governing Law.</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Plan and all determinations made and actions taken pursuant hereto shall be governed by the laws of the State of Delaware (without regard to conflicts of law principles of any jurisdiction).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Stockholder Approval; Effective Date.</w:t>
      </w:r>
    </w:p>
    <w:p>
      <w:pPr>
        <w:spacing w:after="0" w:line="22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Plan (as amended and restated hereby) shall become effective on the date the Plan (as amended and restated hereby) is approved by the Company’s stockholders. No options or stock awards shall be granted under the Plan after the expiration of ten years from August 1, 2024, but options previously granted may extend beyond that date.</w:t>
      </w:r>
    </w:p>
    <w:p>
      <w:pPr>
        <w:spacing w:after="0" w:line="400"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First adopted by the Board of Directors on May 15, 2007 and</w:t>
      </w:r>
    </w:p>
    <w:p>
      <w:pPr>
        <w:spacing w:after="0" w:line="46"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approved by the stockholders on August 3, 2007</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October 30, 2008</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May 12, 2009</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March 31, 2014</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May 8, 2014 and approved by the stockholders on August 1,</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2014</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June 14, 2016 and approved by the stockholders on July 29,</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2016</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June 13, 2019 and approved by the stockholders on August 1,</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2019</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Plan, as amended, approved by the Board of Directors on</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May 20, 2021</w:t>
      </w:r>
    </w:p>
    <w:p>
      <w:pPr>
        <w:sectPr>
          <w:pgSz w:w="11900" w:h="16838" w:orient="portrait"/>
          <w:cols w:equalWidth="0" w:num="1">
            <w:col w:w="11240"/>
          </w:cols>
          <w:pgMar w:left="320" w:top="125" w:right="339" w:bottom="1440" w:gutter="0" w:footer="0" w:header="0"/>
        </w:sectPr>
      </w:pPr>
    </w:p>
    <w:bookmarkStart w:id="99" w:name="page100"/>
    <w:bookmarkEnd w:id="99"/>
    <w:p>
      <w:pPr>
        <w:ind w:left="10120"/>
        <w:spacing w:after="0"/>
        <w:rPr>
          <w:sz w:val="20"/>
          <w:szCs w:val="20"/>
          <w:color w:val="auto"/>
        </w:rPr>
      </w:pPr>
      <w:r>
        <w:rPr>
          <w:rFonts w:ascii="Arial" w:cs="Arial" w:eastAsia="Arial" w:hAnsi="Arial"/>
          <w:sz w:val="18"/>
          <w:szCs w:val="18"/>
          <w:b w:val="1"/>
          <w:bCs w:val="1"/>
          <w:color w:val="auto"/>
        </w:rPr>
        <w:t>Exhibit 10.21</w:t>
      </w:r>
    </w:p>
    <w:p>
      <w:pPr>
        <w:spacing w:after="0" w:line="45" w:lineRule="exact"/>
        <w:rPr>
          <w:sz w:val="20"/>
          <w:szCs w:val="20"/>
          <w:color w:val="auto"/>
        </w:rPr>
      </w:pPr>
    </w:p>
    <w:p>
      <w:pPr>
        <w:ind w:left="160" w:right="640"/>
        <w:spacing w:after="0" w:line="244"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Deed of Amendment No. 3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Supply Contract for</w:t>
      </w:r>
    </w:p>
    <w:p>
      <w:pPr>
        <w:jc w:val="center"/>
        <w:spacing w:after="0" w:line="230" w:lineRule="auto"/>
        <w:rPr>
          <w:sz w:val="20"/>
          <w:szCs w:val="20"/>
          <w:color w:val="auto"/>
        </w:rPr>
      </w:pPr>
      <w:r>
        <w:rPr>
          <w:rFonts w:ascii="Arial" w:cs="Arial" w:eastAsia="Arial" w:hAnsi="Arial"/>
          <w:sz w:val="22"/>
          <w:szCs w:val="22"/>
          <w:b w:val="1"/>
          <w:bCs w:val="1"/>
          <w:color w:val="auto"/>
        </w:rPr>
        <w:t>DF2000/50Hz Electric Control Systems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WT2000DF Wind Turbine</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Deed of Amendment No. 3 to Supply Contract for DF2000/50Hz Electric Control Systems for the WT2000DF Wind Turbine (this “</w:t>
      </w:r>
      <w:r>
        <w:rPr>
          <w:rFonts w:ascii="Arial" w:cs="Arial" w:eastAsia="Arial" w:hAnsi="Arial"/>
          <w:sz w:val="17"/>
          <w:szCs w:val="17"/>
          <w:u w:val="single" w:color="auto"/>
          <w:color w:val="auto"/>
        </w:rPr>
        <w:t>Deed</w:t>
      </w:r>
      <w:r>
        <w:rPr>
          <w:rFonts w:ascii="Arial" w:cs="Arial" w:eastAsia="Arial" w:hAnsi="Arial"/>
          <w:sz w:val="17"/>
          <w:szCs w:val="17"/>
          <w:color w:val="auto"/>
        </w:rPr>
        <w:t>”), is made and entered into on May 3, 2021 (the “</w:t>
      </w:r>
      <w:r>
        <w:rPr>
          <w:rFonts w:ascii="Arial" w:cs="Arial" w:eastAsia="Arial" w:hAnsi="Arial"/>
          <w:sz w:val="17"/>
          <w:szCs w:val="17"/>
          <w:u w:val="single" w:color="auto"/>
          <w:color w:val="auto"/>
        </w:rPr>
        <w:t>Deed Effective Date</w:t>
      </w:r>
      <w:r>
        <w:rPr>
          <w:rFonts w:ascii="Arial" w:cs="Arial" w:eastAsia="Arial" w:hAnsi="Arial"/>
          <w:sz w:val="17"/>
          <w:szCs w:val="17"/>
          <w:color w:val="auto"/>
        </w:rPr>
        <w:t>”), by and between Inox Wind Limited, having its head office at Plot No. 17, Sector 16-A, Noida 201301 (U.P) India (the “</w:t>
      </w:r>
      <w:r>
        <w:rPr>
          <w:rFonts w:ascii="Arial" w:cs="Arial" w:eastAsia="Arial" w:hAnsi="Arial"/>
          <w:sz w:val="17"/>
          <w:szCs w:val="17"/>
          <w:u w:val="single" w:color="auto"/>
          <w:color w:val="auto"/>
        </w:rPr>
        <w:t>Buyer</w:t>
      </w:r>
      <w:r>
        <w:rPr>
          <w:rFonts w:ascii="Arial" w:cs="Arial" w:eastAsia="Arial" w:hAnsi="Arial"/>
          <w:sz w:val="17"/>
          <w:szCs w:val="17"/>
          <w:color w:val="auto"/>
        </w:rPr>
        <w:t>”) and American Superconductor Corporation, having its head office at 114 East Main Street, Ayer, MA 01432, USA (the “</w:t>
      </w:r>
      <w:r>
        <w:rPr>
          <w:rFonts w:ascii="Arial" w:cs="Arial" w:eastAsia="Arial" w:hAnsi="Arial"/>
          <w:sz w:val="17"/>
          <w:szCs w:val="17"/>
          <w:u w:val="single" w:color="auto"/>
          <w:color w:val="auto"/>
        </w:rPr>
        <w:t>Seller</w:t>
      </w:r>
      <w:r>
        <w:rPr>
          <w:rFonts w:ascii="Arial" w:cs="Arial" w:eastAsia="Arial" w:hAnsi="Arial"/>
          <w:sz w:val="17"/>
          <w:szCs w:val="17"/>
          <w:color w:val="auto"/>
        </w:rPr>
        <w:t>”). Hereinafter, the Buyer and the Seller may each be referred to as a “Party” or collectively, as the “Parties.”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 and the Buyer entered into that certain Supply Contract for DF2000/50Hz Electric Control Systems for the WT2000DF Wind</w:t>
      </w:r>
      <w:r>
        <w:rPr>
          <w:rFonts w:ascii="Arial" w:cs="Arial" w:eastAsia="Arial" w:hAnsi="Arial"/>
          <w:sz w:val="18"/>
          <w:szCs w:val="18"/>
          <w:b w:val="1"/>
          <w:bCs w:val="1"/>
          <w:color w:val="auto"/>
        </w:rPr>
        <w:t xml:space="preserve"> </w:t>
      </w:r>
      <w:r>
        <w:rPr>
          <w:rFonts w:ascii="Arial" w:cs="Arial" w:eastAsia="Arial" w:hAnsi="Arial"/>
          <w:sz w:val="18"/>
          <w:szCs w:val="18"/>
          <w:color w:val="auto"/>
        </w:rPr>
        <w:t>Turbine dated December 16, 2015, as amended by Amendment No. 1 entered into as of March 14, 2018 and effective as of November 8, 2017, and by Amendment No. 2 entered into on May 21, 2018 (as so amended, the “</w:t>
      </w:r>
      <w:r>
        <w:rPr>
          <w:rFonts w:ascii="Arial" w:cs="Arial" w:eastAsia="Arial" w:hAnsi="Arial"/>
          <w:sz w:val="18"/>
          <w:szCs w:val="18"/>
          <w:u w:val="single" w:color="auto"/>
          <w:color w:val="auto"/>
        </w:rPr>
        <w:t>Supply Agreement</w:t>
      </w:r>
      <w:r>
        <w:rPr>
          <w:rFonts w:ascii="Arial" w:cs="Arial" w:eastAsia="Arial" w:hAnsi="Arial"/>
          <w:sz w:val="18"/>
          <w:szCs w:val="18"/>
          <w:color w:val="auto"/>
        </w:rPr>
        <w:t>”); 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Seller and the Buyer wish to further amend the Supply Agreement as set forth in this Deed.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left="380" w:right="80" w:hanging="318"/>
        <w:spacing w:after="0" w:line="266"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 capitalized terms that are used in this Deed shall have the meanings ascribed thereto in the Supply Agreement, unless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and with effect from the Deed Effective Date, the following terms, when used in this Deed and in the Supply Agreement, shall have the following meaning:</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“Deed of Amendment No. 3</w:t>
      </w:r>
      <w:r>
        <w:rPr>
          <w:rFonts w:ascii="Arial" w:cs="Arial" w:eastAsia="Arial" w:hAnsi="Arial"/>
          <w:sz w:val="18"/>
          <w:szCs w:val="18"/>
          <w:color w:val="auto"/>
        </w:rPr>
        <w:t>” means this Deed.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“Deed Effective Date</w:t>
      </w:r>
      <w:r>
        <w:rPr>
          <w:rFonts w:ascii="Arial" w:cs="Arial" w:eastAsia="Arial" w:hAnsi="Arial"/>
          <w:sz w:val="18"/>
          <w:szCs w:val="18"/>
          <w:color w:val="auto"/>
        </w:rPr>
        <w:t>” means the date written at the top of this Deed.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“Forecast Advance</w:t>
      </w:r>
      <w:r>
        <w:rPr>
          <w:rFonts w:ascii="Arial" w:cs="Arial" w:eastAsia="Arial" w:hAnsi="Arial"/>
          <w:sz w:val="16"/>
          <w:szCs w:val="16"/>
          <w:color w:val="auto"/>
        </w:rPr>
        <w:t>” has the meaning given it in Section 3.2(b) of the Supply Agreement (as amended by the Deed of Amendment No. 3).</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“Initial Forecast</w:t>
      </w:r>
      <w:r>
        <w:rPr>
          <w:rFonts w:ascii="Arial" w:cs="Arial" w:eastAsia="Arial" w:hAnsi="Arial"/>
          <w:sz w:val="16"/>
          <w:szCs w:val="16"/>
          <w:color w:val="auto"/>
        </w:rPr>
        <w:t>” means the forecast of Buyer’s anticipated monthly requirements for ECS (by Version and in total) for each of the twelve</w:t>
      </w:r>
    </w:p>
    <w:p>
      <w:pPr>
        <w:spacing w:after="0" w:line="46" w:lineRule="exact"/>
        <w:rPr>
          <w:sz w:val="20"/>
          <w:szCs w:val="20"/>
          <w:color w:val="auto"/>
        </w:rPr>
      </w:pPr>
    </w:p>
    <w:p>
      <w:pPr>
        <w:ind w:left="1300" w:firstLine="4"/>
        <w:spacing w:after="0" w:line="260" w:lineRule="auto"/>
        <w:tabs>
          <w:tab w:leader="none" w:pos="1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months commencing with the first full calendar month immediately following the Deed Effective Date attached at Annex 1 of this Deed.</w:t>
      </w:r>
    </w:p>
    <w:p>
      <w:pPr>
        <w:spacing w:after="0" w:line="18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“Initial Forecast Advance</w:t>
      </w:r>
      <w:r>
        <w:rPr>
          <w:rFonts w:ascii="Arial" w:cs="Arial" w:eastAsia="Arial" w:hAnsi="Arial"/>
          <w:sz w:val="18"/>
          <w:szCs w:val="18"/>
          <w:color w:val="auto"/>
        </w:rPr>
        <w:t>” has the meaning given it in Section 3.2(b) of the Supply Agreement (as amended by the Deed of Amendment No. 3).</w:t>
      </w:r>
    </w:p>
    <w:p>
      <w:pPr>
        <w:spacing w:after="0" w:line="166" w:lineRule="exact"/>
        <w:rPr>
          <w:sz w:val="20"/>
          <w:szCs w:val="20"/>
          <w:color w:val="auto"/>
        </w:rPr>
      </w:pPr>
    </w:p>
    <w:p>
      <w:pPr>
        <w:ind w:left="420" w:hanging="318"/>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Agreed Amendments to the Supply Agreement and Further Provisions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right="740" w:hanging="323"/>
        <w:spacing w:after="0" w:line="277" w:lineRule="auto"/>
        <w:rPr>
          <w:sz w:val="20"/>
          <w:szCs w:val="20"/>
          <w:color w:val="auto"/>
        </w:rPr>
      </w:pPr>
      <w:r>
        <w:rPr>
          <w:rFonts w:ascii="Arial" w:cs="Arial" w:eastAsia="Arial" w:hAnsi="Arial"/>
          <w:sz w:val="18"/>
          <w:szCs w:val="18"/>
          <w:color w:val="auto"/>
        </w:rPr>
        <w:t xml:space="preserve">2.1. With effect from the Deed Effective Date, Section 1.2 of the Supply Agreement is hereby amended and restated to read in full as follows (additions are indicated in </w:t>
      </w:r>
      <w:r>
        <w:rPr>
          <w:rFonts w:ascii="Arial" w:cs="Arial" w:eastAsia="Arial" w:hAnsi="Arial"/>
          <w:sz w:val="18"/>
          <w:szCs w:val="18"/>
          <w:b w:val="1"/>
          <w:bCs w:val="1"/>
          <w:i w:val="1"/>
          <w:iCs w:val="1"/>
          <w:u w:val="single" w:color="auto"/>
          <w:color w:val="auto"/>
        </w:rPr>
        <w:t>bold, italicized and underscored</w:t>
      </w:r>
      <w:r>
        <w:rPr>
          <w:rFonts w:ascii="Arial" w:cs="Arial" w:eastAsia="Arial" w:hAnsi="Arial"/>
          <w:sz w:val="18"/>
          <w:szCs w:val="18"/>
          <w:color w:val="auto"/>
        </w:rPr>
        <w:t xml:space="preserve"> type):</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6"/>
          <w:szCs w:val="16"/>
          <w:color w:val="auto"/>
        </w:rPr>
        <w:t xml:space="preserve">“Subject to Section 1.4, </w:t>
      </w:r>
      <w:r>
        <w:rPr>
          <w:rFonts w:ascii="Arial" w:cs="Arial" w:eastAsia="Arial" w:hAnsi="Arial"/>
          <w:sz w:val="16"/>
          <w:szCs w:val="16"/>
          <w:b w:val="1"/>
          <w:bCs w:val="1"/>
          <w:i w:val="1"/>
          <w:iCs w:val="1"/>
          <w:u w:val="single" w:color="auto"/>
          <w:color w:val="auto"/>
        </w:rPr>
        <w:t>Section 2.2(d) and Section 3.5,</w:t>
      </w:r>
      <w:r>
        <w:rPr>
          <w:rFonts w:ascii="Arial" w:cs="Arial" w:eastAsia="Arial" w:hAnsi="Arial"/>
          <w:sz w:val="16"/>
          <w:szCs w:val="16"/>
          <w:color w:val="auto"/>
        </w:rPr>
        <w:t xml:space="preserve"> Buyer shall purchase from Seller, and Seller shall sell and supply to Buyer, in each case on the terms and conditions set forth in this Contract, [**] percent ([**]%) of the Buyer Group’s ECS requirements, with each ECS being new and in one of the versions listed in the table set forth below in this Section 1.2 or covered by the 2009 TTLA (each, a “Version”), as more specifically described on Annex 2; provided, however, that (i) notwithstanding the foregoing, Buyer shall not be required to purchase from Seller and shall be entitled to manufacture on its own, subject to and in accordance with the terms of the 2015 TLA, (A) from the first [**] ([**]) ECS required by Buyer Group commencing on the Effective Date, up to [**] ([**]) ECS, (B) from the next [**] ([**]) ECS required by Buyer Group, up to [**] ([**]) ECS, and (C) from the next [**] ([**]) ECS required by Buyer Group, up to [**] ([**]) ECS, and (ii) once Buyer has purchased [**] ([**]) ECS in accordance with the terms of this Contract, including Section 3 hereunder, Buyer shall be required, until the third (3rd) anniversary of the date on which [**] ECS have been delivered, to purchase from Seller not less than [**] percent ([**]%) of Buyer Group’s ECS requirements subject to and in accordance with the terms of this Contract. For the avoidance of doubt the number of ECS which Buyer is not obliged to purchase from Seller under (A)-(C) of this Section 1.2 is cumulative. For example, if Buyer does not exercise its option to manufacture [**] ECS out of the first [**] ECS required by Buyer Group under (A), and the Seller supplies all [**] ECS, Buyer may add such [**] ECS to its option of [**] ECS under (B) such that out of the next [**] ECS required by the Buyer Group, the Buyer may manufacture up to [**] ECS.”</w:t>
      </w:r>
    </w:p>
    <w:p>
      <w:pPr>
        <w:spacing w:after="0" w:line="171" w:lineRule="exact"/>
        <w:rPr>
          <w:sz w:val="20"/>
          <w:szCs w:val="20"/>
          <w:color w:val="auto"/>
        </w:rPr>
      </w:pPr>
    </w:p>
    <w:p>
      <w:pPr>
        <w:ind w:left="660" w:right="20" w:hanging="323"/>
        <w:spacing w:after="0" w:line="277" w:lineRule="auto"/>
        <w:rPr>
          <w:sz w:val="20"/>
          <w:szCs w:val="20"/>
          <w:color w:val="auto"/>
        </w:rPr>
      </w:pPr>
      <w:r>
        <w:rPr>
          <w:rFonts w:ascii="Arial" w:cs="Arial" w:eastAsia="Arial" w:hAnsi="Arial"/>
          <w:sz w:val="18"/>
          <w:szCs w:val="18"/>
          <w:color w:val="auto"/>
        </w:rPr>
        <w:t xml:space="preserve">2.2. With effect from the Deed Effective Date, the last paragraph of Section 1.3 of the Supply Agreement is hereby amended and restated to read in full as follows (additions are indicated in </w:t>
      </w:r>
      <w:r>
        <w:rPr>
          <w:rFonts w:ascii="Arial" w:cs="Arial" w:eastAsia="Arial" w:hAnsi="Arial"/>
          <w:sz w:val="18"/>
          <w:szCs w:val="18"/>
          <w:b w:val="1"/>
          <w:bCs w:val="1"/>
          <w:i w:val="1"/>
          <w:iCs w:val="1"/>
          <w:u w:val="single" w:color="auto"/>
          <w:color w:val="auto"/>
        </w:rPr>
        <w:t>bold, italicized and underscored</w:t>
      </w:r>
      <w:r>
        <w:rPr>
          <w:rFonts w:ascii="Arial" w:cs="Arial" w:eastAsia="Arial" w:hAnsi="Arial"/>
          <w:sz w:val="18"/>
          <w:szCs w:val="18"/>
          <w:color w:val="auto"/>
        </w:rPr>
        <w:t xml:space="preserve"> type):</w:t>
      </w:r>
    </w:p>
    <w:p>
      <w:pPr>
        <w:spacing w:after="0" w:line="170"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color w:val="auto"/>
        </w:rPr>
        <w:t xml:space="preserve">“The above pricing is (i) excluding VAT and any other taxes and duties, and (ii) based on shipment FCA Shanghai, China or, at the election of Seller, any location in Europe </w:t>
      </w:r>
      <w:r>
        <w:rPr>
          <w:rFonts w:ascii="Arial" w:cs="Arial" w:eastAsia="Arial" w:hAnsi="Arial"/>
          <w:sz w:val="16"/>
          <w:szCs w:val="16"/>
          <w:b w:val="1"/>
          <w:bCs w:val="1"/>
          <w:i w:val="1"/>
          <w:iCs w:val="1"/>
          <w:u w:val="single" w:color="auto"/>
          <w:color w:val="auto"/>
        </w:rPr>
        <w:t>or the United States</w:t>
      </w:r>
      <w:r>
        <w:rPr>
          <w:rFonts w:ascii="Arial" w:cs="Arial" w:eastAsia="Arial" w:hAnsi="Arial"/>
          <w:sz w:val="16"/>
          <w:szCs w:val="16"/>
          <w:color w:val="auto"/>
        </w:rPr>
        <w:t>. The above pricing shall remain in effect until the third (3rd) anniversary of the date on which [**] ECS have been delivered. At least six (6) months prior to such third (3rd) anniversary, the Parties shall use their respective commercially reasonable efforts to reach agreement with respect to ECS pricing (by Version, including versions to be developed, if any) applicable after such third (3rd) year anniversary. In the event that the Parties, after using commercially reasonable efforts, are unable to reach agreement with respect to ECS pricing (by Version, including versions to be developed, if any) applicable after the third (3rd) year anniversary of the date on which [**] ECS have been delivered, then all obligations of Buyer to purchase ECS and Seller to supply any such ECS after such third (3rd) year anniversary shall automatically terminate. For the avoidance of doubt, the above prices shall remain in effect for the first [**] ECS to be supplied by Seller to Buyer under this Contract, and all further ECS to be</w:t>
      </w:r>
    </w:p>
    <w:p>
      <w:pPr>
        <w:sectPr>
          <w:pgSz w:w="11900" w:h="16838" w:orient="portrait"/>
          <w:cols w:equalWidth="0" w:num="1">
            <w:col w:w="11240"/>
          </w:cols>
          <w:pgMar w:left="320" w:top="360" w:right="339" w:bottom="0" w:gutter="0" w:footer="0" w:header="0"/>
        </w:sectPr>
      </w:pPr>
    </w:p>
    <w:bookmarkStart w:id="100" w:name="page101"/>
    <w:bookmarkEnd w:id="100"/>
    <w:p>
      <w:pPr>
        <w:ind w:left="960" w:right="20"/>
        <w:spacing w:after="0" w:line="277" w:lineRule="auto"/>
        <w:rPr>
          <w:sz w:val="20"/>
          <w:szCs w:val="20"/>
          <w:color w:val="auto"/>
        </w:rPr>
      </w:pPr>
      <w:r>
        <w:rPr>
          <w:rFonts w:ascii="Arial" w:cs="Arial" w:eastAsia="Arial" w:hAnsi="Arial"/>
          <w:sz w:val="18"/>
          <w:szCs w:val="18"/>
          <w:color w:val="auto"/>
        </w:rPr>
        <w:t>supplied by Seller to Buyer under this Contract for a period of three (3) years from the date on which the first [**] ECS have been delivered.”</w:t>
      </w:r>
    </w:p>
    <w:p>
      <w:pPr>
        <w:spacing w:after="0" w:line="170" w:lineRule="exact"/>
        <w:rPr>
          <w:sz w:val="20"/>
          <w:szCs w:val="20"/>
          <w:color w:val="auto"/>
        </w:rPr>
      </w:pPr>
    </w:p>
    <w:p>
      <w:pPr>
        <w:ind w:left="320" w:right="100" w:hanging="323"/>
        <w:spacing w:after="0" w:line="234" w:lineRule="auto"/>
        <w:rPr>
          <w:sz w:val="20"/>
          <w:szCs w:val="20"/>
          <w:color w:val="auto"/>
        </w:rPr>
      </w:pPr>
      <w:r>
        <w:rPr>
          <w:rFonts w:ascii="Arial" w:cs="Arial" w:eastAsia="Arial" w:hAnsi="Arial"/>
          <w:sz w:val="18"/>
          <w:szCs w:val="18"/>
          <w:color w:val="auto"/>
        </w:rPr>
        <w:t>2.3. The Parties agree that the Initial Forecast attached at Annex 1 of this Deed constitutes Buyer’s anticipated monthly requirements for ECS (by Version and in total) for each of the twelve (12) months commencing with the first full calendar month immediately following the Deed Effective Date. The Parties acknowledge that the Buyer’s anticipated monthly requirements for ECS (by Version and in total) for the first three (3) full calendar months immediately following the Deed Effective Date is [**] (as reflected in the Initial Forecast attached at Annex 1 of this Deed), and the Buyer further agrees that the Updated Forecast to be delivered by Buyer to Seller on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of first and second full calendar months immediately following the Deed Effective Date in accordance with Section 2.2 of the Supply Agreement shall also specify that the Buyer’s anticipated monthly requirements for ECS (by Version and in total) for the first three (3) full calendar months immediately following the Deed Effective Date is [**].</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2.4. With effect from the Deed Effective Date, a new Section 2.2(d) shall be added to Section 2.2 of the Supply Agreement which reads as follows:</w:t>
      </w:r>
    </w:p>
    <w:p>
      <w:pPr>
        <w:spacing w:after="0" w:line="248" w:lineRule="exact"/>
        <w:rPr>
          <w:sz w:val="20"/>
          <w:szCs w:val="20"/>
          <w:color w:val="auto"/>
        </w:rPr>
      </w:pPr>
    </w:p>
    <w:p>
      <w:pPr>
        <w:jc w:val="both"/>
        <w:ind w:left="960"/>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u w:val="single" w:color="auto"/>
          <w:color w:val="auto"/>
        </w:rPr>
        <w:t>A Forecast shall only be valid in respect of such quantity of ECS for which the Seller is in receipt of the Forecast Advance, as set</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out and in accordance with Section 3.2. For the avoidance of doubt, the Seller shall have no obligation to supply quantities of ECS to the Buyer in respect of which the Forecast Advance has not been paid to the Seller by the Buyer.</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2.5. With effect from the Deed Effective Date, Section 3.2 of the Supply Agreement shall be deleted in its entirety and replaced with the following:</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Forecast Advances</w:t>
      </w:r>
      <w:r>
        <w:rPr>
          <w:rFonts w:ascii="Arial" w:cs="Arial" w:eastAsia="Arial" w:hAnsi="Arial"/>
          <w:sz w:val="18"/>
          <w:szCs w:val="18"/>
          <w:color w:val="auto"/>
        </w:rPr>
        <w:t>:</w:t>
      </w:r>
    </w:p>
    <w:p>
      <w:pPr>
        <w:spacing w:after="0" w:line="225" w:lineRule="exact"/>
        <w:rPr>
          <w:sz w:val="20"/>
          <w:szCs w:val="20"/>
          <w:color w:val="auto"/>
        </w:rPr>
      </w:pPr>
    </w:p>
    <w:p>
      <w:pPr>
        <w:jc w:val="both"/>
        <w:ind w:left="960" w:firstLine="4"/>
        <w:spacing w:after="0" w:line="291" w:lineRule="auto"/>
        <w:tabs>
          <w:tab w:leader="none" w:pos="1569" w:val="left"/>
        </w:tabs>
        <w:numPr>
          <w:ilvl w:val="0"/>
          <w:numId w:val="46"/>
        </w:numPr>
        <w:rPr>
          <w:rFonts w:ascii="Arial" w:cs="Arial" w:eastAsia="Arial" w:hAnsi="Arial"/>
          <w:sz w:val="16"/>
          <w:szCs w:val="16"/>
          <w:color w:val="auto"/>
        </w:rPr>
      </w:pPr>
      <w:r>
        <w:rPr>
          <w:rFonts w:ascii="Arial" w:cs="Arial" w:eastAsia="Arial" w:hAnsi="Arial"/>
          <w:sz w:val="16"/>
          <w:szCs w:val="16"/>
          <w:color w:val="auto"/>
        </w:rPr>
        <w:t>Buyer agrees that, on the date of execution and delivery of the Deed of Amendment No. 3, a non-refundable, advance payment in EUR equal to [**] percent ([**]%) of the amount payable by Buyer, at the ECS prices (by Version) set forth in the Supply Agreement, for the quantities of ECS forecasted in the fourth (4th), fifth (5th) and sixth (6th) months of the Initial Forecast attached at Annex 1 of the Deed of Amendment No. 3 (“Initial Forecast Advance”) shall become payable to Seller. Buyer agrees that Seller may allocate the existing balance of the Forecast Deposit (as such term is defined in the Supply Agreement as in effect immediately prior to the Deed Effective Date) in payment of the Initial Forecast Advance, and Seller agrees to refund any remaining amount of such Forecast Deposit after payment of the Initial Forecast Advance to Buyer within fifteen (15) Business Days after the Deed Effective Date.</w:t>
      </w:r>
    </w:p>
    <w:p>
      <w:pPr>
        <w:spacing w:after="0" w:line="166" w:lineRule="exact"/>
        <w:rPr>
          <w:rFonts w:ascii="Arial" w:cs="Arial" w:eastAsia="Arial" w:hAnsi="Arial"/>
          <w:sz w:val="16"/>
          <w:szCs w:val="16"/>
          <w:color w:val="auto"/>
        </w:rPr>
      </w:pPr>
    </w:p>
    <w:p>
      <w:pPr>
        <w:jc w:val="both"/>
        <w:ind w:left="960" w:firstLine="4"/>
        <w:spacing w:after="0" w:line="253" w:lineRule="auto"/>
        <w:tabs>
          <w:tab w:leader="none" w:pos="1571"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 effect from the Updated Forecast due on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of the first (1st) full calendar month immediately following the Deed Effective Date, Buyer agrees that, contemporaneously with the delivery by Buyer to Seller of each monthly Updated Forecast as contemplated by Section 2.2 of the Supply Agreement, it shall make a non-refundable (except as set forth in this Section 3.2 (as amended by the Deed of Amendment No. 3)) advance payment to Seller (paid to an account designated by Seller) in EUR equal to [**] percent ([**]%) of the amount payable by Buyer, at the ECS prices (by Version) set forth in the Supply Agreement, or agreed pursuant to, Section</w:t>
      </w:r>
    </w:p>
    <w:p>
      <w:pPr>
        <w:spacing w:after="0" w:line="3"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1.3, for:</w:t>
      </w:r>
    </w:p>
    <w:p>
      <w:pPr>
        <w:spacing w:after="0" w:line="210" w:lineRule="exact"/>
        <w:rPr>
          <w:rFonts w:ascii="Arial" w:cs="Arial" w:eastAsia="Arial" w:hAnsi="Arial"/>
          <w:sz w:val="16"/>
          <w:szCs w:val="16"/>
          <w:color w:val="auto"/>
        </w:rPr>
      </w:pPr>
    </w:p>
    <w:p>
      <w:pPr>
        <w:ind w:left="2180" w:hanging="568"/>
        <w:spacing w:after="0"/>
        <w:tabs>
          <w:tab w:leader="none" w:pos="2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quantities of ECS forecasted in the sixth (6th) month of the relevant Updated Forecast; and</w:t>
      </w:r>
    </w:p>
    <w:p>
      <w:pPr>
        <w:spacing w:after="0" w:line="225" w:lineRule="exact"/>
        <w:rPr>
          <w:rFonts w:ascii="Arial" w:cs="Arial" w:eastAsia="Arial" w:hAnsi="Arial"/>
          <w:sz w:val="18"/>
          <w:szCs w:val="18"/>
          <w:color w:val="auto"/>
        </w:rPr>
      </w:pPr>
    </w:p>
    <w:p>
      <w:pPr>
        <w:jc w:val="both"/>
        <w:ind w:left="1620" w:hanging="8"/>
        <w:spacing w:after="0" w:line="259" w:lineRule="auto"/>
        <w:tabs>
          <w:tab w:leader="none" w:pos="24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increases to the quantity of ECS specified (by Version and in total) to be shipped during any calendar month covered by the relevant Updated Forecast and for which an Initial Forecast Advance or a Forecast Advance has been previously paid by Buyer to Seller, from the quantity of ECS to be shipped in that calendar month as specified by the Forecast delivered in the immediately preceding calendar month,</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(collectively “Forecast Advance”).</w:t>
      </w:r>
    </w:p>
    <w:p>
      <w:pPr>
        <w:spacing w:after="0" w:line="225" w:lineRule="exact"/>
        <w:rPr>
          <w:sz w:val="20"/>
          <w:szCs w:val="20"/>
          <w:color w:val="auto"/>
        </w:rPr>
      </w:pPr>
    </w:p>
    <w:p>
      <w:pPr>
        <w:jc w:val="both"/>
        <w:ind w:left="960" w:firstLine="4"/>
        <w:spacing w:after="0" w:line="257" w:lineRule="auto"/>
        <w:tabs>
          <w:tab w:leader="none" w:pos="15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as a result of an Updated Forecast delivered by Buyer to Seller, the quantity of ECS specified by the Buyer (by Version and in total) for shipment by Seller during any calendar month within the 12-month period covered by an Updated Forecast decreases from the quantity of ECS (by Version and in total) to be shipped in that calendar month as specified by the Forecast delivered in the immediately preceding calendar month, the excess Forecast Advance balance shall be applied towards any subsequent Forecast Advance payable under Section 3.2(b).</w:t>
      </w:r>
    </w:p>
    <w:p>
      <w:pPr>
        <w:spacing w:after="0" w:line="187" w:lineRule="exact"/>
        <w:rPr>
          <w:rFonts w:ascii="Arial" w:cs="Arial" w:eastAsia="Arial" w:hAnsi="Arial"/>
          <w:sz w:val="18"/>
          <w:szCs w:val="18"/>
          <w:color w:val="auto"/>
        </w:rPr>
      </w:pPr>
    </w:p>
    <w:p>
      <w:pPr>
        <w:jc w:val="both"/>
        <w:ind w:left="960" w:firstLine="4"/>
        <w:spacing w:after="0" w:line="263" w:lineRule="auto"/>
        <w:tabs>
          <w:tab w:leader="none" w:pos="18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Parties agree that any Forecast Advance remaining after the supply of the last quantities of ECS under the Supply Agreement (as amended by the Deed of Amendment No. 3) shall be refunded to Buyer within fifteen (15) Business Days after such supply of last quantities of ECS under this Contract.”</w:t>
      </w:r>
    </w:p>
    <w:p>
      <w:pPr>
        <w:spacing w:after="0" w:line="184" w:lineRule="exact"/>
        <w:rPr>
          <w:sz w:val="20"/>
          <w:szCs w:val="20"/>
          <w:color w:val="auto"/>
        </w:rPr>
      </w:pPr>
    </w:p>
    <w:p>
      <w:pPr>
        <w:ind w:left="320" w:right="760" w:hanging="323"/>
        <w:spacing w:after="0" w:line="308" w:lineRule="auto"/>
        <w:rPr>
          <w:sz w:val="20"/>
          <w:szCs w:val="20"/>
          <w:color w:val="auto"/>
        </w:rPr>
      </w:pPr>
      <w:r>
        <w:rPr>
          <w:rFonts w:ascii="Arial" w:cs="Arial" w:eastAsia="Arial" w:hAnsi="Arial"/>
          <w:sz w:val="17"/>
          <w:szCs w:val="17"/>
          <w:color w:val="auto"/>
        </w:rPr>
        <w:t xml:space="preserve">2.6. With effect from the Deed Effective Date, Section 3.3 of the Supply Agreement is hereby amended and restated to read in full as follows (deletions are indicated with a </w:t>
      </w:r>
      <w:r>
        <w:rPr>
          <w:rFonts w:ascii="Arial" w:cs="Arial" w:eastAsia="Arial" w:hAnsi="Arial"/>
          <w:sz w:val="17"/>
          <w:szCs w:val="17"/>
          <w:color w:val="auto"/>
          <w:strike w:val="1"/>
        </w:rPr>
        <w:t>strikethrough</w:t>
      </w:r>
      <w:r>
        <w:rPr>
          <w:rFonts w:ascii="Arial" w:cs="Arial" w:eastAsia="Arial" w:hAnsi="Arial"/>
          <w:sz w:val="17"/>
          <w:szCs w:val="17"/>
          <w:color w:val="auto"/>
        </w:rPr>
        <w:t xml:space="preserve"> and additions are indicated in </w:t>
      </w:r>
      <w:r>
        <w:rPr>
          <w:rFonts w:ascii="Arial" w:cs="Arial" w:eastAsia="Arial" w:hAnsi="Arial"/>
          <w:sz w:val="17"/>
          <w:szCs w:val="17"/>
          <w:b w:val="1"/>
          <w:bCs w:val="1"/>
          <w:i w:val="1"/>
          <w:iCs w:val="1"/>
          <w:u w:val="single" w:color="auto"/>
          <w:color w:val="auto"/>
        </w:rPr>
        <w:t>bold, italicized and underscored</w:t>
      </w:r>
      <w:r>
        <w:rPr>
          <w:rFonts w:ascii="Arial" w:cs="Arial" w:eastAsia="Arial" w:hAnsi="Arial"/>
          <w:sz w:val="17"/>
          <w:szCs w:val="17"/>
          <w:color w:val="auto"/>
        </w:rPr>
        <w:t xml:space="preserve"> type):</w:t>
      </w:r>
    </w:p>
    <w:p>
      <w:pPr>
        <w:spacing w:after="0" w:line="146" w:lineRule="exact"/>
        <w:rPr>
          <w:sz w:val="20"/>
          <w:szCs w:val="20"/>
          <w:color w:val="auto"/>
        </w:rPr>
      </w:pPr>
    </w:p>
    <w:p>
      <w:pPr>
        <w:jc w:val="both"/>
        <w:ind w:left="960"/>
        <w:spacing w:after="0" w:line="263" w:lineRule="auto"/>
        <w:rPr>
          <w:sz w:val="20"/>
          <w:szCs w:val="20"/>
          <w:color w:val="auto"/>
        </w:rPr>
      </w:pPr>
      <w:r>
        <w:rPr>
          <w:rFonts w:ascii="Arial" w:cs="Arial" w:eastAsia="Arial" w:hAnsi="Arial"/>
          <w:sz w:val="18"/>
          <w:szCs w:val="18"/>
          <w:u w:val="single" w:color="auto"/>
          <w:color w:val="auto"/>
        </w:rPr>
        <w:t>“Treatment of Forecast</w:t>
      </w:r>
      <w:r>
        <w:rPr>
          <w:rFonts w:ascii="Arial" w:cs="Arial" w:eastAsia="Arial" w:hAnsi="Arial"/>
          <w:sz w:val="18"/>
          <w:szCs w:val="18"/>
          <w:color w:val="auto"/>
        </w:rPr>
        <w:t xml:space="preserve"> </w:t>
      </w:r>
      <w:r>
        <w:rPr>
          <w:rFonts w:ascii="Arial" w:cs="Arial" w:eastAsia="Arial" w:hAnsi="Arial"/>
          <w:sz w:val="18"/>
          <w:szCs w:val="18"/>
          <w:u w:val="single" w:color="auto"/>
          <w:color w:val="auto"/>
          <w:strike w:val="1"/>
        </w:rPr>
        <w:t>Deposit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Advance</w:t>
      </w:r>
      <w:r>
        <w:rPr>
          <w:rFonts w:ascii="Arial" w:cs="Arial" w:eastAsia="Arial" w:hAnsi="Arial"/>
          <w:sz w:val="18"/>
          <w:szCs w:val="18"/>
          <w:color w:val="auto"/>
        </w:rPr>
        <w:t xml:space="preserve">. The Forecast </w:t>
      </w:r>
      <w:r>
        <w:rPr>
          <w:rFonts w:ascii="Arial" w:cs="Arial" w:eastAsia="Arial" w:hAnsi="Arial"/>
          <w:sz w:val="18"/>
          <w:szCs w:val="18"/>
          <w:color w:val="auto"/>
          <w:strike w:val="1"/>
        </w:rPr>
        <w:t>Deposit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Advance</w:t>
      </w:r>
      <w:r>
        <w:rPr>
          <w:rFonts w:ascii="Arial" w:cs="Arial" w:eastAsia="Arial" w:hAnsi="Arial"/>
          <w:sz w:val="18"/>
          <w:szCs w:val="18"/>
          <w:color w:val="auto"/>
        </w:rPr>
        <w:t xml:space="preserve"> shall be maintained by Seller with general funds of Seller, with no requirement that the amount of the Forecast </w:t>
      </w:r>
      <w:r>
        <w:rPr>
          <w:rFonts w:ascii="Arial" w:cs="Arial" w:eastAsia="Arial" w:hAnsi="Arial"/>
          <w:sz w:val="18"/>
          <w:szCs w:val="18"/>
          <w:color w:val="auto"/>
          <w:strike w:val="1"/>
        </w:rPr>
        <w:t>Deposit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Advance</w:t>
      </w:r>
      <w:r>
        <w:rPr>
          <w:rFonts w:ascii="Arial" w:cs="Arial" w:eastAsia="Arial" w:hAnsi="Arial"/>
          <w:sz w:val="18"/>
          <w:szCs w:val="18"/>
          <w:color w:val="auto"/>
        </w:rPr>
        <w:t xml:space="preserve"> (or any portion thereof) be maintained by Seller in a segregated account or otherwise separately.”</w:t>
      </w:r>
    </w:p>
    <w:p>
      <w:pPr>
        <w:spacing w:after="0" w:line="400" w:lineRule="exact"/>
        <w:rPr>
          <w:sz w:val="20"/>
          <w:szCs w:val="20"/>
          <w:color w:val="auto"/>
        </w:rPr>
      </w:pPr>
    </w:p>
    <w:p>
      <w:pPr>
        <w:ind w:left="320" w:right="260" w:hanging="323"/>
        <w:spacing w:after="0" w:line="308" w:lineRule="auto"/>
        <w:rPr>
          <w:sz w:val="20"/>
          <w:szCs w:val="20"/>
          <w:color w:val="auto"/>
        </w:rPr>
      </w:pPr>
      <w:r>
        <w:rPr>
          <w:rFonts w:ascii="Arial" w:cs="Arial" w:eastAsia="Arial" w:hAnsi="Arial"/>
          <w:sz w:val="17"/>
          <w:szCs w:val="17"/>
          <w:color w:val="auto"/>
        </w:rPr>
        <w:t xml:space="preserve">2.7. With effect from the Deed Effective Date, the first paragraph of Section 3.4 of the Supply Agreement is hereby amended and restated to read in full as follows (deletions are indicated with a </w:t>
      </w:r>
      <w:r>
        <w:rPr>
          <w:rFonts w:ascii="Arial" w:cs="Arial" w:eastAsia="Arial" w:hAnsi="Arial"/>
          <w:sz w:val="17"/>
          <w:szCs w:val="17"/>
          <w:color w:val="auto"/>
          <w:strike w:val="1"/>
        </w:rPr>
        <w:t>strikethrough</w:t>
      </w:r>
      <w:r>
        <w:rPr>
          <w:rFonts w:ascii="Arial" w:cs="Arial" w:eastAsia="Arial" w:hAnsi="Arial"/>
          <w:sz w:val="17"/>
          <w:szCs w:val="17"/>
          <w:color w:val="auto"/>
        </w:rPr>
        <w:t xml:space="preserve"> and additions are indicated in </w:t>
      </w:r>
      <w:r>
        <w:rPr>
          <w:rFonts w:ascii="Arial" w:cs="Arial" w:eastAsia="Arial" w:hAnsi="Arial"/>
          <w:sz w:val="17"/>
          <w:szCs w:val="17"/>
          <w:b w:val="1"/>
          <w:bCs w:val="1"/>
          <w:i w:val="1"/>
          <w:iCs w:val="1"/>
          <w:u w:val="single" w:color="auto"/>
          <w:color w:val="auto"/>
        </w:rPr>
        <w:t>bold, italicized and underscored</w:t>
      </w:r>
      <w:r>
        <w:rPr>
          <w:rFonts w:ascii="Arial" w:cs="Arial" w:eastAsia="Arial" w:hAnsi="Arial"/>
          <w:sz w:val="17"/>
          <w:szCs w:val="17"/>
          <w:color w:val="auto"/>
        </w:rPr>
        <w:t xml:space="preserve"> type):</w:t>
      </w:r>
    </w:p>
    <w:p>
      <w:pPr>
        <w:spacing w:after="0" w:line="146" w:lineRule="exact"/>
        <w:rPr>
          <w:sz w:val="20"/>
          <w:szCs w:val="20"/>
          <w:color w:val="auto"/>
        </w:rPr>
      </w:pPr>
    </w:p>
    <w:p>
      <w:pPr>
        <w:jc w:val="both"/>
        <w:ind w:left="960"/>
        <w:spacing w:after="0" w:line="257" w:lineRule="auto"/>
        <w:rPr>
          <w:sz w:val="20"/>
          <w:szCs w:val="20"/>
          <w:color w:val="auto"/>
        </w:rPr>
      </w:pPr>
      <w:r>
        <w:rPr>
          <w:rFonts w:ascii="Arial" w:cs="Arial" w:eastAsia="Arial" w:hAnsi="Arial"/>
          <w:sz w:val="18"/>
          <w:szCs w:val="18"/>
          <w:u w:val="single" w:color="auto"/>
          <w:color w:val="auto"/>
        </w:rPr>
        <w:t>“Further Supply Payments</w:t>
      </w:r>
      <w:r>
        <w:rPr>
          <w:rFonts w:ascii="Arial" w:cs="Arial" w:eastAsia="Arial" w:hAnsi="Arial"/>
          <w:sz w:val="18"/>
          <w:szCs w:val="18"/>
          <w:color w:val="auto"/>
        </w:rPr>
        <w:t xml:space="preserve"> –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Except as set forth in Sections 3.1 and 3.2 above with respect to the Forecast </w:t>
      </w:r>
      <w:r>
        <w:rPr>
          <w:rFonts w:ascii="Arial" w:cs="Arial" w:eastAsia="Arial" w:hAnsi="Arial"/>
          <w:sz w:val="18"/>
          <w:szCs w:val="18"/>
          <w:color w:val="auto"/>
          <w:strike w:val="1"/>
        </w:rPr>
        <w:t>Deposit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Advance</w:t>
      </w:r>
      <w:r>
        <w:rPr>
          <w:rFonts w:ascii="Arial" w:cs="Arial" w:eastAsia="Arial" w:hAnsi="Arial"/>
          <w:sz w:val="18"/>
          <w:szCs w:val="18"/>
          <w:color w:val="auto"/>
        </w:rPr>
        <w:t>, all payments of the purchase price of ECS supplied hereunder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(less the Initial Forecast Advance or the Forecast Advance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paid in respect of such ECS under Section 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made via draws against one or more irrevocable documentary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an “Approved L/C”) to be posted and maintained by Buyer in accordance with the requirements of this Contract. Each Approved L/C shall:”</w:t>
      </w:r>
    </w:p>
    <w:p>
      <w:pPr>
        <w:spacing w:after="0" w:line="200" w:lineRule="exact"/>
        <w:rPr>
          <w:sz w:val="20"/>
          <w:szCs w:val="20"/>
          <w:color w:val="auto"/>
        </w:rPr>
      </w:pPr>
    </w:p>
    <w:p>
      <w:pPr>
        <w:spacing w:after="0" w:line="204" w:lineRule="exact"/>
        <w:rPr>
          <w:sz w:val="20"/>
          <w:szCs w:val="20"/>
          <w:color w:val="auto"/>
        </w:rPr>
      </w:pPr>
    </w:p>
    <w:p>
      <w:pPr>
        <w:ind w:left="320" w:right="560" w:hanging="323"/>
        <w:spacing w:after="0" w:line="308" w:lineRule="auto"/>
        <w:rPr>
          <w:sz w:val="20"/>
          <w:szCs w:val="20"/>
          <w:color w:val="auto"/>
        </w:rPr>
      </w:pPr>
      <w:r>
        <w:rPr>
          <w:rFonts w:ascii="Arial" w:cs="Arial" w:eastAsia="Arial" w:hAnsi="Arial"/>
          <w:sz w:val="17"/>
          <w:szCs w:val="17"/>
          <w:color w:val="auto"/>
        </w:rPr>
        <w:t xml:space="preserve">2.8. With effect from the Deed Effective Date, Section 3.4(c) of the Supply Agreement is hereby amended and restated to read in full as follows (deletions are indicated with a </w:t>
      </w:r>
      <w:r>
        <w:rPr>
          <w:rFonts w:ascii="Arial" w:cs="Arial" w:eastAsia="Arial" w:hAnsi="Arial"/>
          <w:sz w:val="17"/>
          <w:szCs w:val="17"/>
          <w:color w:val="auto"/>
          <w:strike w:val="1"/>
        </w:rPr>
        <w:t>strikethrough</w:t>
      </w:r>
      <w:r>
        <w:rPr>
          <w:rFonts w:ascii="Arial" w:cs="Arial" w:eastAsia="Arial" w:hAnsi="Arial"/>
          <w:sz w:val="17"/>
          <w:szCs w:val="17"/>
          <w:color w:val="auto"/>
        </w:rPr>
        <w:t xml:space="preserve"> and additions are indicated in </w:t>
      </w:r>
      <w:r>
        <w:rPr>
          <w:rFonts w:ascii="Arial" w:cs="Arial" w:eastAsia="Arial" w:hAnsi="Arial"/>
          <w:sz w:val="17"/>
          <w:szCs w:val="17"/>
          <w:b w:val="1"/>
          <w:bCs w:val="1"/>
          <w:i w:val="1"/>
          <w:iCs w:val="1"/>
          <w:u w:val="single" w:color="auto"/>
          <w:color w:val="auto"/>
        </w:rPr>
        <w:t>bold, italicized and underscored</w:t>
      </w:r>
      <w:r>
        <w:rPr>
          <w:rFonts w:ascii="Arial" w:cs="Arial" w:eastAsia="Arial" w:hAnsi="Arial"/>
          <w:sz w:val="17"/>
          <w:szCs w:val="17"/>
          <w:color w:val="auto"/>
        </w:rPr>
        <w:t xml:space="preserve"> type):</w:t>
      </w:r>
    </w:p>
    <w:p>
      <w:pPr>
        <w:sectPr>
          <w:pgSz w:w="11900" w:h="16838" w:orient="portrait"/>
          <w:cols w:equalWidth="0" w:num="1">
            <w:col w:w="10900"/>
          </w:cols>
          <w:pgMar w:left="660" w:top="125" w:right="339" w:bottom="0" w:gutter="0" w:footer="0" w:header="0"/>
        </w:sectPr>
      </w:pPr>
    </w:p>
    <w:bookmarkStart w:id="101" w:name="page102"/>
    <w:bookmarkEnd w:id="101"/>
    <w:p>
      <w:pPr>
        <w:ind w:left="1300"/>
        <w:spacing w:after="0"/>
        <w:tabs>
          <w:tab w:leader="none" w:pos="200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 xml:space="preserve">be so issued not later than </w:t>
      </w:r>
      <w:r>
        <w:rPr>
          <w:rFonts w:ascii="Arial" w:cs="Arial" w:eastAsia="Arial" w:hAnsi="Arial"/>
          <w:sz w:val="16"/>
          <w:szCs w:val="16"/>
          <w:color w:val="auto"/>
          <w:strike w:val="1"/>
        </w:rPr>
        <w:t>thirty (30)</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ninety (90)</w:t>
      </w:r>
      <w:r>
        <w:rPr>
          <w:rFonts w:ascii="Arial" w:cs="Arial" w:eastAsia="Arial" w:hAnsi="Arial"/>
          <w:sz w:val="16"/>
          <w:szCs w:val="16"/>
          <w:color w:val="auto"/>
        </w:rPr>
        <w:t xml:space="preserve"> days in advance of delivery and shall be maintained for a term of not less than</w:t>
      </w:r>
    </w:p>
    <w:p>
      <w:pPr>
        <w:spacing w:after="0" w:line="46"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strike w:val="1"/>
        </w:rPr>
        <w:t>ninety (90)</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one hundred and eighty (180)</w:t>
      </w:r>
      <w:r>
        <w:rPr>
          <w:rFonts w:ascii="Arial" w:cs="Arial" w:eastAsia="Arial" w:hAnsi="Arial"/>
          <w:sz w:val="18"/>
          <w:szCs w:val="18"/>
          <w:color w:val="auto"/>
        </w:rPr>
        <w:t xml:space="preserve"> days</w:t>
      </w:r>
      <w:r>
        <w:rPr>
          <w:rFonts w:ascii="Arial" w:cs="Arial" w:eastAsia="Arial" w:hAnsi="Arial"/>
          <w:sz w:val="18"/>
          <w:szCs w:val="18"/>
          <w:color w:val="auto"/>
          <w:strike w:val="1"/>
        </w:rPr>
        <w:t>;</w:t>
      </w:r>
      <w:r>
        <w:rPr>
          <w:rFonts w:ascii="Arial" w:cs="Arial" w:eastAsia="Arial" w:hAnsi="Arial"/>
          <w:sz w:val="18"/>
          <w:szCs w:val="18"/>
          <w:b w:val="1"/>
          <w:bCs w:val="1"/>
          <w:i w:val="1"/>
          <w:iCs w:val="1"/>
          <w:u w:val="single" w:color="auto"/>
          <w:color w:val="auto"/>
        </w:rPr>
        <w:t>. At least thirty (30) days prior to June 30, 2021, the Parties shall engage in discussions</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regarding whether to reduce the number of days an Approved L/C is required in advance of delivery under this Section 3.4(c) to less than ninety (90) days, provided, that unless and until the Parties amend this Section 3.4(c) in writing, this Section 3.4(c) shall continue unchanged and remain in full force and effect;</w:t>
      </w:r>
      <w:r>
        <w:rPr>
          <w:rFonts w:ascii="Arial" w:cs="Arial" w:eastAsia="Arial" w:hAnsi="Arial"/>
          <w:sz w:val="18"/>
          <w:szCs w:val="18"/>
          <w:color w:val="auto"/>
        </w:rPr>
        <w:t>”</w:t>
      </w:r>
    </w:p>
    <w:p>
      <w:pPr>
        <w:spacing w:after="0" w:line="193" w:lineRule="exact"/>
        <w:rPr>
          <w:sz w:val="20"/>
          <w:szCs w:val="20"/>
          <w:color w:val="auto"/>
        </w:rPr>
      </w:pPr>
    </w:p>
    <w:p>
      <w:pPr>
        <w:ind w:left="660" w:right="540" w:hanging="323"/>
        <w:spacing w:after="0" w:line="277" w:lineRule="auto"/>
        <w:rPr>
          <w:sz w:val="20"/>
          <w:szCs w:val="20"/>
          <w:color w:val="auto"/>
        </w:rPr>
      </w:pPr>
      <w:r>
        <w:rPr>
          <w:rFonts w:ascii="Arial" w:cs="Arial" w:eastAsia="Arial" w:hAnsi="Arial"/>
          <w:sz w:val="18"/>
          <w:szCs w:val="18"/>
          <w:color w:val="auto"/>
        </w:rPr>
        <w:t xml:space="preserve">2.9. With effect from the Deed Effective Date, Section 3.4(d) of the Supply Agreement is hereby amended and restated to read in full as follows (additions are indicated in </w:t>
      </w:r>
      <w:r>
        <w:rPr>
          <w:rFonts w:ascii="Arial" w:cs="Arial" w:eastAsia="Arial" w:hAnsi="Arial"/>
          <w:sz w:val="18"/>
          <w:szCs w:val="18"/>
          <w:b w:val="1"/>
          <w:bCs w:val="1"/>
          <w:i w:val="1"/>
          <w:iCs w:val="1"/>
          <w:u w:val="single" w:color="auto"/>
          <w:color w:val="auto"/>
        </w:rPr>
        <w:t>bold, italicized and underscored</w:t>
      </w:r>
      <w:r>
        <w:rPr>
          <w:rFonts w:ascii="Arial" w:cs="Arial" w:eastAsia="Arial" w:hAnsi="Arial"/>
          <w:sz w:val="18"/>
          <w:szCs w:val="18"/>
          <w:color w:val="auto"/>
        </w:rPr>
        <w:t xml:space="preserve"> type):</w:t>
      </w:r>
    </w:p>
    <w:p>
      <w:pPr>
        <w:spacing w:after="0" w:line="17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be maintained at all times in an amount of not less than [**]% of the aggregate purchase price of such ECS (determined in</w:t>
      </w:r>
    </w:p>
    <w:p>
      <w:pPr>
        <w:spacing w:after="0" w:line="46" w:lineRule="exact"/>
        <w:rPr>
          <w:sz w:val="20"/>
          <w:szCs w:val="20"/>
          <w:color w:val="auto"/>
        </w:rPr>
      </w:pPr>
    </w:p>
    <w:p>
      <w:pPr>
        <w:jc w:val="both"/>
        <w:ind w:left="1300" w:right="20"/>
        <w:spacing w:after="0" w:line="255" w:lineRule="auto"/>
        <w:rPr>
          <w:sz w:val="20"/>
          <w:szCs w:val="20"/>
          <w:color w:val="auto"/>
        </w:rPr>
      </w:pPr>
      <w:r>
        <w:rPr>
          <w:rFonts w:ascii="Arial" w:cs="Arial" w:eastAsia="Arial" w:hAnsi="Arial"/>
          <w:sz w:val="18"/>
          <w:szCs w:val="18"/>
          <w:color w:val="auto"/>
        </w:rPr>
        <w:t xml:space="preserve">accordance with Section 1.3) </w:t>
      </w:r>
      <w:r>
        <w:rPr>
          <w:rFonts w:ascii="Arial" w:cs="Arial" w:eastAsia="Arial" w:hAnsi="Arial"/>
          <w:sz w:val="18"/>
          <w:szCs w:val="18"/>
          <w:b w:val="1"/>
          <w:bCs w:val="1"/>
          <w:i w:val="1"/>
          <w:iCs w:val="1"/>
          <w:u w:val="single" w:color="auto"/>
          <w:color w:val="auto"/>
        </w:rPr>
        <w:t>less the Initial Forecast Advance or the Forecast Advance paid in respect of such ECS under Section 3.2</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(which, for ECS in respect of which the Initial Forecast Advance or the Forecast Advance payment has already been paid, would be an amount equal to [**]% of the aggregate purchase price of such ECS)</w:t>
      </w:r>
      <w:r>
        <w:rPr>
          <w:rFonts w:ascii="Arial" w:cs="Arial" w:eastAsia="Arial" w:hAnsi="Arial"/>
          <w:sz w:val="18"/>
          <w:szCs w:val="18"/>
          <w:color w:val="auto"/>
        </w:rPr>
        <w:t>;”</w:t>
      </w:r>
    </w:p>
    <w:p>
      <w:pPr>
        <w:spacing w:after="0" w:line="190" w:lineRule="exact"/>
        <w:rPr>
          <w:sz w:val="20"/>
          <w:szCs w:val="20"/>
          <w:color w:val="auto"/>
        </w:rPr>
      </w:pPr>
    </w:p>
    <w:p>
      <w:pPr>
        <w:ind w:left="700" w:right="700" w:hanging="363"/>
        <w:spacing w:after="0" w:line="308" w:lineRule="auto"/>
        <w:rPr>
          <w:sz w:val="20"/>
          <w:szCs w:val="20"/>
          <w:color w:val="auto"/>
        </w:rPr>
      </w:pPr>
      <w:r>
        <w:rPr>
          <w:rFonts w:ascii="Arial" w:cs="Arial" w:eastAsia="Arial" w:hAnsi="Arial"/>
          <w:sz w:val="17"/>
          <w:szCs w:val="17"/>
          <w:color w:val="auto"/>
        </w:rPr>
        <w:t xml:space="preserve">2.10.With effect from the Deed Effective Date, Section 3.5 of the Supply Agreement is hereby amended and restated to read in full as follows (deletions are indicated with a </w:t>
      </w:r>
      <w:r>
        <w:rPr>
          <w:rFonts w:ascii="Arial" w:cs="Arial" w:eastAsia="Arial" w:hAnsi="Arial"/>
          <w:sz w:val="17"/>
          <w:szCs w:val="17"/>
          <w:color w:val="auto"/>
          <w:strike w:val="1"/>
        </w:rPr>
        <w:t>strikethrough</w:t>
      </w:r>
      <w:r>
        <w:rPr>
          <w:rFonts w:ascii="Arial" w:cs="Arial" w:eastAsia="Arial" w:hAnsi="Arial"/>
          <w:sz w:val="17"/>
          <w:szCs w:val="17"/>
          <w:color w:val="auto"/>
        </w:rPr>
        <w:t xml:space="preserve"> and additions are indicated in </w:t>
      </w:r>
      <w:r>
        <w:rPr>
          <w:rFonts w:ascii="Arial" w:cs="Arial" w:eastAsia="Arial" w:hAnsi="Arial"/>
          <w:sz w:val="17"/>
          <w:szCs w:val="17"/>
          <w:b w:val="1"/>
          <w:bCs w:val="1"/>
          <w:i w:val="1"/>
          <w:iCs w:val="1"/>
          <w:u w:val="single" w:color="auto"/>
          <w:color w:val="auto"/>
        </w:rPr>
        <w:t>bold, italicized and underscored</w:t>
      </w:r>
      <w:r>
        <w:rPr>
          <w:rFonts w:ascii="Arial" w:cs="Arial" w:eastAsia="Arial" w:hAnsi="Arial"/>
          <w:sz w:val="17"/>
          <w:szCs w:val="17"/>
          <w:color w:val="auto"/>
        </w:rPr>
        <w:t xml:space="preserve"> type):</w:t>
      </w:r>
    </w:p>
    <w:p>
      <w:pPr>
        <w:spacing w:after="0" w:line="146"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u w:val="single" w:color="auto"/>
          <w:color w:val="auto"/>
        </w:rPr>
        <w:t>“Failure to Post or Maintain Approved L/C</w:t>
      </w:r>
      <w:r>
        <w:rPr>
          <w:rFonts w:ascii="Arial" w:cs="Arial" w:eastAsia="Arial" w:hAnsi="Arial"/>
          <w:sz w:val="16"/>
          <w:szCs w:val="16"/>
          <w:color w:val="auto"/>
        </w:rPr>
        <w:t xml:space="preserve">. If any Approved L/C required to be posted and maintained hereunder is not so posted in a timely manner, or is not thereafter maintained in accordance </w:t>
      </w:r>
      <w:r>
        <w:rPr>
          <w:rFonts w:ascii="Arial" w:cs="Arial" w:eastAsia="Arial" w:hAnsi="Arial"/>
          <w:sz w:val="16"/>
          <w:szCs w:val="16"/>
          <w:color w:val="auto"/>
          <w:strike w:val="1"/>
        </w:rPr>
        <w:t>herewith, Seller may correspondingly delay shipment of the ECS</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with</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Section 3.4, Seller</w:t>
      </w:r>
      <w:r>
        <w:rPr>
          <w:rFonts w:ascii="Arial" w:cs="Arial" w:eastAsia="Arial" w:hAnsi="Arial"/>
          <w:sz w:val="16"/>
          <w:szCs w:val="16"/>
          <w:color w:val="auto"/>
        </w:rPr>
        <w:t>’</w:t>
      </w:r>
      <w:r>
        <w:rPr>
          <w:rFonts w:ascii="Arial" w:cs="Arial" w:eastAsia="Arial" w:hAnsi="Arial"/>
          <w:sz w:val="16"/>
          <w:szCs w:val="16"/>
          <w:b w:val="1"/>
          <w:bCs w:val="1"/>
          <w:i w:val="1"/>
          <w:iCs w:val="1"/>
          <w:u w:val="single" w:color="auto"/>
          <w:color w:val="auto"/>
        </w:rPr>
        <w:t>s obligation to supply the ECS to be paid for via drawdown of such Approved L/C shall be suspended until the date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u w:val="single" w:color="auto"/>
          <w:color w:val="auto"/>
        </w:rPr>
        <w:t>that is ninety (90) days after such Approved L/C is posted and maintained in accordance with Section 3.4. For the avoidance of doubt, the Seller shall have no obligation to supply ECS to the Buyer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paid for via drawdown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u w:val="single" w:color="auto"/>
          <w:color w:val="auto"/>
        </w:rPr>
        <w:t>an Approved L/C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Approved L/C </w:t>
      </w:r>
      <w:r>
        <w:rPr>
          <w:rFonts w:ascii="Arial" w:cs="Arial" w:eastAsia="Arial" w:hAnsi="Arial"/>
          <w:sz w:val="16"/>
          <w:szCs w:val="16"/>
          <w:b w:val="1"/>
          <w:bCs w:val="1"/>
          <w:i w:val="1"/>
          <w:iCs w:val="1"/>
          <w:u w:val="single" w:color="auto"/>
          <w:color w:val="auto"/>
        </w:rPr>
        <w:t>has been posted and maintained</w:t>
      </w:r>
      <w:r>
        <w:rPr>
          <w:rFonts w:ascii="Arial" w:cs="Arial" w:eastAsia="Arial" w:hAnsi="Arial"/>
          <w:sz w:val="16"/>
          <w:szCs w:val="16"/>
          <w:color w:val="auto"/>
        </w:rPr>
        <w:t xml:space="preserve"> for </w:t>
      </w:r>
      <w:r>
        <w:rPr>
          <w:rFonts w:ascii="Arial" w:cs="Arial" w:eastAsia="Arial" w:hAnsi="Arial"/>
          <w:sz w:val="16"/>
          <w:szCs w:val="16"/>
          <w:color w:val="auto"/>
          <w:strike w:val="1"/>
        </w:rPr>
        <w:t>any period during which such Approved L/C is not so posted and maintained.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period of ninety (90) days in accordance with Section 3.4. </w:t>
      </w:r>
      <w:r>
        <w:rPr>
          <w:rFonts w:ascii="Arial" w:cs="Arial" w:eastAsia="Arial" w:hAnsi="Arial"/>
          <w:sz w:val="16"/>
          <w:szCs w:val="16"/>
          <w:color w:val="auto"/>
        </w:rPr>
        <w:t>Further, if Buyer fails to post and maintain, in full compliance with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any Approved L/C required to be posted and maintained hereunder. Seller may, at any time and without limiting any other remedies available to Seller, terminate this Contract in accordance with Section 19.1.”</w:t>
      </w:r>
    </w:p>
    <w:p>
      <w:pPr>
        <w:spacing w:after="0" w:line="166" w:lineRule="exact"/>
        <w:rPr>
          <w:sz w:val="20"/>
          <w:szCs w:val="20"/>
          <w:color w:val="auto"/>
        </w:rPr>
      </w:pPr>
    </w:p>
    <w:p>
      <w:pPr>
        <w:ind w:left="700" w:right="280" w:hanging="363"/>
        <w:spacing w:after="0" w:line="277" w:lineRule="auto"/>
        <w:rPr>
          <w:sz w:val="20"/>
          <w:szCs w:val="20"/>
          <w:color w:val="auto"/>
        </w:rPr>
      </w:pPr>
      <w:r>
        <w:rPr>
          <w:rFonts w:ascii="Arial" w:cs="Arial" w:eastAsia="Arial" w:hAnsi="Arial"/>
          <w:sz w:val="18"/>
          <w:szCs w:val="18"/>
          <w:color w:val="auto"/>
        </w:rPr>
        <w:t xml:space="preserve">2.11.With effect from the Deed Effective Date, the first paragraph of Section 10 of the Supply Agreement is hereby amended and restated to read in full as follows (additions are indicated in </w:t>
      </w:r>
      <w:r>
        <w:rPr>
          <w:rFonts w:ascii="Arial" w:cs="Arial" w:eastAsia="Arial" w:hAnsi="Arial"/>
          <w:sz w:val="18"/>
          <w:szCs w:val="18"/>
          <w:b w:val="1"/>
          <w:bCs w:val="1"/>
          <w:i w:val="1"/>
          <w:iCs w:val="1"/>
          <w:u w:val="single" w:color="auto"/>
          <w:color w:val="auto"/>
        </w:rPr>
        <w:t>bold, italicized and underscored</w:t>
      </w:r>
      <w:r>
        <w:rPr>
          <w:rFonts w:ascii="Arial" w:cs="Arial" w:eastAsia="Arial" w:hAnsi="Arial"/>
          <w:sz w:val="18"/>
          <w:szCs w:val="18"/>
          <w:color w:val="auto"/>
        </w:rPr>
        <w:t xml:space="preserve"> type):</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“Risk shall pass to the Buyer based on FCA Shanghai, China and/or any place in Europe </w:t>
      </w:r>
      <w:r>
        <w:rPr>
          <w:rFonts w:ascii="Arial" w:cs="Arial" w:eastAsia="Arial" w:hAnsi="Arial"/>
          <w:sz w:val="18"/>
          <w:szCs w:val="18"/>
          <w:b w:val="1"/>
          <w:bCs w:val="1"/>
          <w:i w:val="1"/>
          <w:iCs w:val="1"/>
          <w:u w:val="single" w:color="auto"/>
          <w:color w:val="auto"/>
        </w:rPr>
        <w:t>or the United States</w:t>
      </w:r>
      <w:r>
        <w:rPr>
          <w:rFonts w:ascii="Arial" w:cs="Arial" w:eastAsia="Arial" w:hAnsi="Arial"/>
          <w:sz w:val="18"/>
          <w:szCs w:val="18"/>
          <w:color w:val="auto"/>
        </w:rPr>
        <w:t xml:space="preserve"> (at Seller’s election), in accordance with INCOTERMS 2010.”</w:t>
      </w:r>
    </w:p>
    <w:p>
      <w:pPr>
        <w:spacing w:after="0" w:line="170" w:lineRule="exact"/>
        <w:rPr>
          <w:sz w:val="20"/>
          <w:szCs w:val="20"/>
          <w:color w:val="auto"/>
        </w:rPr>
      </w:pPr>
    </w:p>
    <w:p>
      <w:pPr>
        <w:ind w:left="380" w:right="20" w:hanging="318"/>
        <w:spacing w:after="0" w:line="342"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Deed is supplemental to the Supply Agreement and shall be read and construed as one instrument together with the Supply Agreement. Except as amended by this Deed, all other terms and conditions of the Supply Agreement shall continue unchanged and remain in full force and effect.</w:t>
      </w:r>
    </w:p>
    <w:p>
      <w:pPr>
        <w:spacing w:after="0" w:line="123" w:lineRule="exact"/>
        <w:rPr>
          <w:rFonts w:ascii="Arial" w:cs="Arial" w:eastAsia="Arial" w:hAnsi="Arial"/>
          <w:sz w:val="16"/>
          <w:szCs w:val="16"/>
          <w:color w:val="auto"/>
        </w:rPr>
      </w:pPr>
    </w:p>
    <w:p>
      <w:pPr>
        <w:jc w:val="both"/>
        <w:ind w:left="380" w:right="420" w:hanging="318"/>
        <w:spacing w:after="0" w:line="311"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Deed may be executed in any number of counterparts, each of which when so executed and delivered will be deemed an original, and all of which together shall constitute one and the same agreement. This Deed may be executed and delivered by facsimile or by .pdf file and upon such delivery the facsimile or .pdf signature will be deemed to have the same effect as if the original signature had been delivered to the other Party.</w:t>
      </w:r>
    </w:p>
    <w:p>
      <w:pPr>
        <w:spacing w:after="0" w:line="148" w:lineRule="exact"/>
        <w:rPr>
          <w:rFonts w:ascii="Arial" w:cs="Arial" w:eastAsia="Arial" w:hAnsi="Arial"/>
          <w:sz w:val="16"/>
          <w:szCs w:val="16"/>
          <w:color w:val="auto"/>
        </w:rPr>
      </w:pPr>
    </w:p>
    <w:p>
      <w:pPr>
        <w:ind w:left="380" w:right="160" w:hanging="318"/>
        <w:spacing w:after="0" w:line="277"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Deed and any dispute or claim (including non-contractual disputes or claims) arising out of or in connection with its subject matter or formation shall be governed by and construed in accordance with the laws of England and Wales.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Deed has been executed as a deed and is delivered as a deed and takes effect on the Deed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Annex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Initial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EXECUTED and delivered as a deed when dated by</w:t>
            </w:r>
          </w:p>
        </w:tc>
        <w:tc>
          <w:tcPr>
            <w:tcW w:w="5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w w:val="90"/>
              </w:rPr>
              <w:t>EXECUTED and delivered as a deed when dated by</w:t>
            </w:r>
          </w:p>
        </w:tc>
        <w:tc>
          <w:tcPr>
            <w:tcW w:w="0" w:type="dxa"/>
            <w:vAlign w:val="bottom"/>
          </w:tcPr>
          <w:p>
            <w:pPr>
              <w:spacing w:after="0"/>
              <w:rPr>
                <w:sz w:val="1"/>
                <w:szCs w:val="1"/>
                <w:color w:val="auto"/>
              </w:rPr>
            </w:pPr>
          </w:p>
        </w:tc>
      </w:tr>
      <w:tr>
        <w:trPr>
          <w:trHeight w:val="216"/>
        </w:trPr>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INOX WIND LIMITED acting by the authorized</w:t>
            </w:r>
          </w:p>
        </w:tc>
        <w:tc>
          <w:tcPr>
            <w:tcW w:w="520" w:type="dxa"/>
            <w:vAlign w:val="bottom"/>
          </w:tcPr>
          <w:p>
            <w:pPr>
              <w:spacing w:after="0"/>
              <w:rPr>
                <w:sz w:val="18"/>
                <w:szCs w:val="18"/>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AMERICAN SUPERCONDUCTOR</w:t>
            </w:r>
          </w:p>
        </w:tc>
        <w:tc>
          <w:tcPr>
            <w:tcW w:w="0" w:type="dxa"/>
            <w:vAlign w:val="bottom"/>
          </w:tcPr>
          <w:p>
            <w:pPr>
              <w:spacing w:after="0"/>
              <w:rPr>
                <w:sz w:val="1"/>
                <w:szCs w:val="1"/>
                <w:color w:val="auto"/>
              </w:rPr>
            </w:pPr>
          </w:p>
        </w:tc>
      </w:tr>
      <w:tr>
        <w:trPr>
          <w:trHeight w:val="216"/>
        </w:trPr>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representative below in the presence of:</w:t>
            </w:r>
          </w:p>
        </w:tc>
        <w:tc>
          <w:tcPr>
            <w:tcW w:w="520" w:type="dxa"/>
            <w:vAlign w:val="bottom"/>
          </w:tcPr>
          <w:p>
            <w:pPr>
              <w:spacing w:after="0"/>
              <w:rPr>
                <w:sz w:val="18"/>
                <w:szCs w:val="18"/>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CORPORATION acting by the authorized</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representative below in the presence of:</w:t>
            </w:r>
          </w:p>
        </w:tc>
        <w:tc>
          <w:tcPr>
            <w:tcW w:w="0" w:type="dxa"/>
            <w:vAlign w:val="bottom"/>
          </w:tcPr>
          <w:p>
            <w:pPr>
              <w:spacing w:after="0"/>
              <w:rPr>
                <w:sz w:val="1"/>
                <w:szCs w:val="1"/>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Rajeev Gupta</w:t>
            </w: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By:</w:t>
            </w:r>
          </w:p>
        </w:tc>
        <w:tc>
          <w:tcPr>
            <w:tcW w:w="3060" w:type="dxa"/>
            <w:vAlign w:val="bottom"/>
            <w:gridSpan w:val="2"/>
          </w:tcPr>
          <w:p>
            <w:pPr>
              <w:ind w:left="40"/>
              <w:spacing w:after="0"/>
              <w:rPr>
                <w:sz w:val="20"/>
                <w:szCs w:val="20"/>
                <w:color w:val="auto"/>
              </w:rPr>
            </w:pPr>
            <w:r>
              <w:rPr>
                <w:rFonts w:ascii="Arial" w:cs="Arial" w:eastAsia="Arial" w:hAnsi="Arial"/>
                <w:sz w:val="18"/>
                <w:szCs w:val="18"/>
                <w:color w:val="auto"/>
              </w:rPr>
              <w:t>/s/ John Kosiba</w:t>
            </w:r>
          </w:p>
        </w:tc>
        <w:tc>
          <w:tcPr>
            <w:tcW w:w="0" w:type="dxa"/>
            <w:vAlign w:val="bottom"/>
          </w:tcPr>
          <w:p>
            <w:pPr>
              <w:spacing w:after="0"/>
              <w:rPr>
                <w:sz w:val="1"/>
                <w:szCs w:val="1"/>
                <w:color w:val="auto"/>
              </w:rPr>
            </w:pP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8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Authorized Representative</w:t>
            </w:r>
          </w:p>
        </w:tc>
        <w:tc>
          <w:tcPr>
            <w:tcW w:w="1440" w:type="dxa"/>
            <w:vAlign w:val="bottom"/>
            <w:gridSpan w:val="2"/>
          </w:tcPr>
          <w:p>
            <w:pPr>
              <w:ind w:left="520"/>
              <w:spacing w:after="0" w:line="195"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Authorized Representative</w:t>
            </w: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Rajeev Gupta</w:t>
            </w:r>
          </w:p>
        </w:tc>
        <w:tc>
          <w:tcPr>
            <w:tcW w:w="1440" w:type="dxa"/>
            <w:vAlign w:val="bottom"/>
            <w:gridSpan w:val="2"/>
            <w:vMerge w:val="restart"/>
          </w:tcPr>
          <w:p>
            <w:pPr>
              <w:ind w:left="520"/>
              <w:spacing w:after="0"/>
              <w:rPr>
                <w:sz w:val="20"/>
                <w:szCs w:val="20"/>
                <w:color w:val="auto"/>
              </w:rPr>
            </w:pPr>
            <w:r>
              <w:rPr>
                <w:rFonts w:ascii="Arial" w:cs="Arial" w:eastAsia="Arial" w:hAnsi="Arial"/>
                <w:sz w:val="18"/>
                <w:szCs w:val="18"/>
                <w:color w:val="auto"/>
              </w:rPr>
              <w:t>Title:</w:t>
            </w:r>
          </w:p>
        </w:tc>
        <w:tc>
          <w:tcPr>
            <w:tcW w:w="3060" w:type="dxa"/>
            <w:vAlign w:val="bottom"/>
            <w:gridSpan w:val="2"/>
          </w:tcPr>
          <w:p>
            <w:pPr>
              <w:ind w:left="40"/>
              <w:spacing w:after="0"/>
              <w:rPr>
                <w:sz w:val="20"/>
                <w:szCs w:val="20"/>
                <w:color w:val="auto"/>
              </w:rPr>
            </w:pPr>
            <w:r>
              <w:rPr>
                <w:rFonts w:ascii="Arial" w:cs="Arial" w:eastAsia="Arial" w:hAnsi="Arial"/>
                <w:sz w:val="18"/>
                <w:szCs w:val="18"/>
                <w:color w:val="auto"/>
              </w:rPr>
              <w:t>John Kosiba</w:t>
            </w:r>
          </w:p>
        </w:tc>
        <w:tc>
          <w:tcPr>
            <w:tcW w:w="0" w:type="dxa"/>
            <w:vAlign w:val="bottom"/>
          </w:tcPr>
          <w:p>
            <w:pPr>
              <w:spacing w:after="0"/>
              <w:rPr>
                <w:sz w:val="1"/>
                <w:szCs w:val="1"/>
                <w:color w:val="auto"/>
              </w:rPr>
            </w:pPr>
          </w:p>
        </w:tc>
      </w:tr>
      <w:tr>
        <w:trPr>
          <w:trHeight w:val="195"/>
        </w:trPr>
        <w:tc>
          <w:tcPr>
            <w:tcW w:w="900" w:type="dxa"/>
            <w:vAlign w:val="bottom"/>
            <w:vMerge w:val="continue"/>
          </w:tcPr>
          <w:p>
            <w:pPr>
              <w:spacing w:after="0"/>
              <w:rPr>
                <w:sz w:val="16"/>
                <w:szCs w:val="16"/>
                <w:color w:val="auto"/>
              </w:rPr>
            </w:pPr>
          </w:p>
        </w:tc>
        <w:tc>
          <w:tcPr>
            <w:tcW w:w="3280" w:type="dxa"/>
            <w:vAlign w:val="bottom"/>
            <w:tcBorders>
              <w:top w:val="single" w:sz="8" w:color="auto"/>
            </w:tcBorders>
          </w:tcPr>
          <w:p>
            <w:pPr>
              <w:ind w:left="1460"/>
              <w:spacing w:after="0" w:line="195" w:lineRule="exact"/>
              <w:rPr>
                <w:sz w:val="20"/>
                <w:szCs w:val="20"/>
                <w:color w:val="auto"/>
              </w:rPr>
            </w:pPr>
            <w:r>
              <w:rPr>
                <w:rFonts w:ascii="Arial" w:cs="Arial" w:eastAsia="Arial" w:hAnsi="Arial"/>
                <w:sz w:val="18"/>
                <w:szCs w:val="18"/>
                <w:color w:val="auto"/>
              </w:rPr>
              <w:t>Print</w:t>
            </w:r>
          </w:p>
        </w:tc>
        <w:tc>
          <w:tcPr>
            <w:tcW w:w="1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Print</w:t>
            </w: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440" w:type="dxa"/>
            <w:vAlign w:val="bottom"/>
            <w:gridSpan w:val="2"/>
            <w:vMerge w:val="restart"/>
          </w:tcPr>
          <w:p>
            <w:pPr>
              <w:ind w:left="520"/>
              <w:spacing w:after="0"/>
              <w:rPr>
                <w:sz w:val="20"/>
                <w:szCs w:val="20"/>
                <w:color w:val="auto"/>
              </w:rPr>
            </w:pPr>
            <w:r>
              <w:rPr>
                <w:rFonts w:ascii="Arial" w:cs="Arial" w:eastAsia="Arial" w:hAnsi="Arial"/>
                <w:sz w:val="18"/>
                <w:szCs w:val="18"/>
                <w:color w:val="auto"/>
              </w:rPr>
              <w:t>Date:</w:t>
            </w:r>
          </w:p>
        </w:tc>
        <w:tc>
          <w:tcPr>
            <w:tcW w:w="3060" w:type="dxa"/>
            <w:vAlign w:val="bottom"/>
            <w:gridSpan w:val="2"/>
          </w:tcPr>
          <w:p>
            <w:pPr>
              <w:ind w:left="40"/>
              <w:spacing w:after="0"/>
              <w:rPr>
                <w:sz w:val="20"/>
                <w:szCs w:val="20"/>
                <w:color w:val="auto"/>
              </w:rPr>
            </w:pPr>
            <w:r>
              <w:rPr>
                <w:rFonts w:ascii="Arial" w:cs="Arial" w:eastAsia="Arial" w:hAnsi="Arial"/>
                <w:sz w:val="18"/>
                <w:szCs w:val="18"/>
                <w:color w:val="auto"/>
              </w:rPr>
              <w:t>SVP and CFO</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3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10 May 2021</w:t>
            </w:r>
          </w:p>
        </w:tc>
        <w:tc>
          <w:tcPr>
            <w:tcW w:w="14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May 11, 2021</w:t>
            </w:r>
          </w:p>
        </w:tc>
        <w:tc>
          <w:tcPr>
            <w:tcW w:w="0" w:type="dxa"/>
            <w:vAlign w:val="bottom"/>
          </w:tcPr>
          <w:p>
            <w:pPr>
              <w:spacing w:after="0"/>
              <w:rPr>
                <w:sz w:val="1"/>
                <w:szCs w:val="1"/>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8"/>
                <w:szCs w:val="18"/>
                <w:b w:val="1"/>
                <w:bCs w:val="1"/>
                <w:color w:val="auto"/>
              </w:rPr>
              <w:t>Witness</w:t>
            </w:r>
          </w:p>
        </w:tc>
        <w:tc>
          <w:tcPr>
            <w:tcW w:w="3280" w:type="dxa"/>
            <w:vAlign w:val="bottom"/>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b w:val="1"/>
                <w:bCs w:val="1"/>
                <w:color w:val="auto"/>
              </w:rPr>
              <w:t>Witness</w:t>
            </w:r>
          </w:p>
        </w:tc>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Signature:</w:t>
            </w:r>
          </w:p>
        </w:tc>
        <w:tc>
          <w:tcPr>
            <w:tcW w:w="3280" w:type="dxa"/>
            <w:vAlign w:val="bottom"/>
            <w:tcBorders>
              <w:bottom w:val="single" w:sz="8" w:color="auto"/>
            </w:tcBorders>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Borders>
              <w:bottom w:val="single" w:sz="8" w:color="auto"/>
            </w:tcBorders>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Name:</w:t>
            </w:r>
          </w:p>
        </w:tc>
        <w:tc>
          <w:tcPr>
            <w:tcW w:w="4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0"/>
                <w:szCs w:val="20"/>
                <w:color w:val="auto"/>
              </w:rPr>
            </w:pPr>
            <w:r>
              <w:rPr>
                <w:rFonts w:ascii="Arial" w:cs="Arial" w:eastAsia="Arial" w:hAnsi="Arial"/>
                <w:sz w:val="18"/>
                <w:szCs w:val="18"/>
                <w:color w:val="auto"/>
                <w:w w:val="91"/>
              </w:rPr>
              <w:t>Occupation:</w:t>
            </w:r>
          </w:p>
        </w:tc>
        <w:tc>
          <w:tcPr>
            <w:tcW w:w="3280" w:type="dxa"/>
            <w:vAlign w:val="bottom"/>
            <w:tcBorders>
              <w:bottom w:val="single" w:sz="8" w:color="auto"/>
            </w:tcBorders>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w w:val="93"/>
              </w:rPr>
              <w:t>Occupation:</w:t>
            </w:r>
          </w:p>
        </w:tc>
        <w:tc>
          <w:tcPr>
            <w:tcW w:w="4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3280" w:type="dxa"/>
            <w:vAlign w:val="bottom"/>
            <w:tcBorders>
              <w:bottom w:val="single" w:sz="8" w:color="auto"/>
            </w:tcBorders>
          </w:tcPr>
          <w:p>
            <w:pPr>
              <w:spacing w:after="0"/>
              <w:rPr>
                <w:sz w:val="24"/>
                <w:szCs w:val="24"/>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Address:</w:t>
            </w:r>
          </w:p>
        </w:tc>
        <w:tc>
          <w:tcPr>
            <w:tcW w:w="4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012"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Australia Pty Ltd – incorporated in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Husky LLC - formed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India Private Limited – incorporated in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Austria GmbH – incorporated in 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United Kingdom Limited – incorporated in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Devens LLC – formed in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Securities Corp. – incorporated in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Infinia Technology Corporation - incorporated in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Superconductivity, Inc. – incorporated in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Suzhou AMSC Super Conductor Co., Ltd. – incorporated in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Korea Co., Ltd. – incorporated in 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Romania S.R.L. – incorporated in 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Neeltran, Inc. - incorporated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Neeltran International, Inc. - incorporated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Power Realty, LLC - formed in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Power Systems, Inc. - incorporated in New York</w:t>
      </w:r>
    </w:p>
    <w:p>
      <w:pPr>
        <w:sectPr>
          <w:pgSz w:w="11900" w:h="16838" w:orient="portrait"/>
          <w:cols w:equalWidth="0" w:num="1">
            <w:col w:w="11240"/>
          </w:cols>
          <w:pgMar w:left="320" w:top="33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on Form S-3 (No. 333-253611) and Form S-8 (No. 333-145685, 333-170286, 333-183075, 333-197971, 333-213850, and 333-233531) of American Superconductor Corporation of our report dated June 2, 2021, relating to the consolidated financial statements of American Superconductor Corporation and its subsidiaries, appearing in this Annual Report on Form 10-K of American Superconductor Corporation for the year ended March 31, 2021.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 2021</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660" w:val="left"/>
          <w:tab w:leader="none" w:pos="6740" w:val="left"/>
          <w:tab w:leader="none" w:pos="8400" w:val="left"/>
        </w:tabs>
        <w:rPr>
          <w:sz w:val="20"/>
          <w:szCs w:val="20"/>
          <w:color w:val="auto"/>
        </w:rPr>
      </w:pPr>
      <w:r>
        <w:rPr>
          <w:rFonts w:ascii="Arial" w:cs="Arial" w:eastAsia="Arial" w:hAnsi="Arial"/>
          <w:sz w:val="18"/>
          <w:szCs w:val="18"/>
          <w:color w:val="auto"/>
        </w:rPr>
        <w:t>Date:</w:t>
        <w:tab/>
        <w:t>June 2,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1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660" w:val="left"/>
          <w:tab w:leader="none" w:pos="6740" w:val="left"/>
          <w:tab w:leader="none" w:pos="8340" w:val="left"/>
        </w:tabs>
        <w:rPr>
          <w:sz w:val="20"/>
          <w:szCs w:val="20"/>
          <w:color w:val="auto"/>
        </w:rPr>
      </w:pPr>
      <w:r>
        <w:rPr>
          <w:rFonts w:ascii="Arial" w:cs="Arial" w:eastAsia="Arial" w:hAnsi="Arial"/>
          <w:sz w:val="18"/>
          <w:szCs w:val="18"/>
          <w:color w:val="auto"/>
        </w:rPr>
        <w:t>Date:</w:t>
        <w:tab/>
        <w:t>June 2,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2021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92"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2021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Roman"/>
      <w:start w:val="1"/>
    </w:lvl>
  </w:abstractNum>
  <w:abstractNum w:abstractNumId="3">
    <w:nsid w:val="2CA88611"/>
    <w:multiLevelType w:val="hybridMultilevel"/>
    <w:lvl w:ilvl="0">
      <w:lvlJc w:val="left"/>
      <w:lvlText w:val="(%1)"/>
      <w:numFmt w:val="lowerRoman"/>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Roman"/>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Roman"/>
      <w:start w:val="2"/>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4">
    <w:nsid w:val="1D4ED43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5">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36">
    <w:nsid w:val="2CD89A3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37">
    <w:nsid w:val="57E4CC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8">
    <w:nsid w:val="7A6D8D3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
    <w:nsid w:val="4B588F5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0">
    <w:nsid w:val="542289EC"/>
    <w:multiLevelType w:val="hybridMultilevel"/>
    <w:lvl w:ilvl="0">
      <w:lvlJc w:val="left"/>
      <w:lvlText w:val="%1"/>
      <w:numFmt w:val="lowerLetter"/>
      <w:start w:val="1"/>
    </w:lvl>
    <w:lvl w:ilvl="1">
      <w:lvlJc w:val="left"/>
      <w:lvlText w:val="%2."/>
      <w:numFmt w:val="decimal"/>
      <w:start w:val="7"/>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9"/>
    </w:lvl>
  </w:abstractNum>
  <w:abstractNum w:abstractNumId="41">
    <w:nsid w:val="6DE91B18"/>
    <w:multiLevelType w:val="hybridMultilevel"/>
    <w:lvl w:ilvl="0">
      <w:lvlJc w:val="left"/>
      <w:lvlText w:val="(%1)"/>
      <w:numFmt w:val="lowerLetter"/>
      <w:start w:val="3"/>
    </w:lvl>
    <w:lvl w:ilvl="1">
      <w:lvlJc w:val="left"/>
      <w:lvlText w:val="%2"/>
      <w:numFmt w:val="decimal"/>
      <w:start w:val="1"/>
    </w:lvl>
    <w:lvl w:ilvl="2">
      <w:lvlJc w:val="left"/>
      <w:lvlText w:val="%3."/>
      <w:numFmt w:val="decimal"/>
      <w:start w:val="7"/>
    </w:lvl>
    <w:lvl w:ilvl="3">
      <w:lvlJc w:val="left"/>
      <w:lvlText w:val="%4."/>
      <w:numFmt w:val="decimal"/>
      <w:start w:val="8"/>
    </w:lvl>
    <w:lvl w:ilvl="4">
      <w:lvlJc w:val="left"/>
      <w:lvlText w:val="(%5)"/>
      <w:numFmt w:val="lowerLetter"/>
      <w:start w:val="1"/>
    </w:lvl>
    <w:lvl w:ilvl="5">
      <w:lvlJc w:val="left"/>
      <w:lvlText w:val="(%6)"/>
      <w:numFmt w:val="lowerLetter"/>
      <w:start w:val="35"/>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2"/>
    </w:lvl>
  </w:abstractNum>
  <w:abstractNum w:abstractNumId="44">
    <w:nsid w:val="32FFF902"/>
    <w:multiLevelType w:val="hybridMultilevel"/>
    <w:lvl w:ilvl="0">
      <w:lvlJc w:val="left"/>
      <w:lvlText w:val="%1."/>
      <w:numFmt w:val="decimal"/>
      <w:start w:val="2"/>
    </w:lvl>
  </w:abstractNum>
  <w:abstractNum w:abstractNumId="45">
    <w:nsid w:val="684A481A"/>
    <w:multiLevelType w:val="hybridMultilevel"/>
    <w:lvl w:ilvl="0">
      <w:lvlJc w:val="left"/>
      <w:lvlText w:val="(%1)"/>
      <w:numFmt w:val="lowerLetter"/>
      <w:start w:val="1"/>
    </w:lvl>
    <w:lvl w:ilvl="1">
      <w:lvlJc w:val="left"/>
      <w:lvlText w:val="(%2)"/>
      <w:numFmt w:val="lowerRoman"/>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03" Type="http://schemas.openxmlformats.org/officeDocument/2006/relationships/hyperlink" Target="http://www.sec.gov/Archives/edgar/data/880807/000119312513366603/d596366dex31.htm" TargetMode="External"/><Relationship Id="rId104" Type="http://schemas.openxmlformats.org/officeDocument/2006/relationships/hyperlink" Target="http://www.sec.gov/Archives/edgar/data/880807/000119312515103436/d896586dex31.htm" TargetMode="External"/><Relationship Id="rId105" Type="http://schemas.openxmlformats.org/officeDocument/2006/relationships/hyperlink" Target="http://www.sec.gov/Archives/edgar/data/880807/000143774921001681/ex_223507.htm" TargetMode="External"/><Relationship Id="rId106" Type="http://schemas.openxmlformats.org/officeDocument/2006/relationships/hyperlink" Target="http://www.sec.gov/Archives/edgar/data/880807/000119312518032227/d536779dex41.htm" TargetMode="External"/><Relationship Id="rId107" Type="http://schemas.openxmlformats.org/officeDocument/2006/relationships/hyperlink" Target="http://www.sec.gov/Archives/edgar/data/880807/000119312514410207/d819643dex41.htm" TargetMode="External"/><Relationship Id="rId108" Type="http://schemas.openxmlformats.org/officeDocument/2006/relationships/hyperlink" Target="http://www.sec.gov/Archives/edgar/data/880807/000143774919011477/ex_146280.htm" TargetMode="External"/><Relationship Id="rId109" Type="http://schemas.openxmlformats.org/officeDocument/2006/relationships/hyperlink" Target="http://www.sec.gov/Archives/edgar/data/880807/000119312519214189/d778101dex101.htm" TargetMode="External"/><Relationship Id="rId110" Type="http://schemas.openxmlformats.org/officeDocument/2006/relationships/hyperlink" Target="http://www.sec.gov/Archives/edgar/data/880807/000119312507173829/dex102.htm" TargetMode="External"/><Relationship Id="rId111" Type="http://schemas.openxmlformats.org/officeDocument/2006/relationships/hyperlink" Target="http://www.sec.gov/Archives/edgar/data/880807/000119312507173829/dex103.htm" TargetMode="External"/><Relationship Id="rId112" Type="http://schemas.openxmlformats.org/officeDocument/2006/relationships/hyperlink" Target="http://www.sec.gov/Archives/edgar/data/880807/000119312507173829/dex104.htm" TargetMode="External"/><Relationship Id="rId113" Type="http://schemas.openxmlformats.org/officeDocument/2006/relationships/hyperlink" Target="http://www.sec.gov/Archives/edgar/data/880807/000119312507173829/dex105.htm" TargetMode="External"/><Relationship Id="rId114" Type="http://schemas.openxmlformats.org/officeDocument/2006/relationships/hyperlink" Target="http://www.sec.gov/Archives/edgar/data/880807/000119312508119372/dex101.htm" TargetMode="External"/><Relationship Id="rId115" Type="http://schemas.openxmlformats.org/officeDocument/2006/relationships/hyperlink" Target="http://www.sec.gov/Archives/edgar/data/880807/000162828018013770/a104formofoptionsurrendera.htm" TargetMode="External"/><Relationship Id="rId116" Type="http://schemas.openxmlformats.org/officeDocument/2006/relationships/hyperlink" Target="http://www.sec.gov/Archives/edgar/data/880807/000143774920001789/ex_170064.htm" TargetMode="External"/><Relationship Id="rId117" Type="http://schemas.openxmlformats.org/officeDocument/2006/relationships/hyperlink" Target="http://www.sec.gov/Archives/edgar/data/880807/000143774920001789/ex_170065.htm" TargetMode="External"/><Relationship Id="rId118" Type="http://schemas.openxmlformats.org/officeDocument/2006/relationships/hyperlink" Target="http://www.sec.gov/Archives/edgar/data/880807/000119312507173829/dex107.htm" TargetMode="External"/><Relationship Id="rId119" Type="http://schemas.openxmlformats.org/officeDocument/2006/relationships/hyperlink" Target="http://www.sec.gov/Archives/edgar/data/880807/000162828018007711/exh1011nondisclosure.htm" TargetMode="External"/><Relationship Id="rId120" Type="http://schemas.openxmlformats.org/officeDocument/2006/relationships/hyperlink" Target="http://www.sec.gov/Archives/edgar/data/880807/000095012311053517/b86731exv10w2.htm" TargetMode="External"/><Relationship Id="rId121" Type="http://schemas.openxmlformats.org/officeDocument/2006/relationships/hyperlink" Target="http://www.sec.gov/Archives/edgar/data/880807/000119312517109748/d369870dex101.htm" TargetMode="External"/><Relationship Id="rId122" Type="http://schemas.openxmlformats.org/officeDocument/2006/relationships/hyperlink" Target="http://www.sec.gov/Archives/edgar/data/880807/000162828017011077/firstamendmenttoexecutives.htm" TargetMode="External"/><Relationship Id="rId123" Type="http://schemas.openxmlformats.org/officeDocument/2006/relationships/hyperlink" Target="http://www.sec.gov/Archives/edgar/data/880807/000143774920011837/ex_188140.htm" TargetMode="External"/><Relationship Id="rId124" Type="http://schemas.openxmlformats.org/officeDocument/2006/relationships/hyperlink" Target="http://www.sec.gov/Archives/edgar/data/880807/000143774921013279/ex_252986.htm" TargetMode="External"/><Relationship Id="rId125" Type="http://schemas.openxmlformats.org/officeDocument/2006/relationships/hyperlink" Target="http://www.sec.gov/Archives/edgar/data/880807/000156459016012481/amsc-ex101_499.htm" TargetMode="External"/><Relationship Id="rId126" Type="http://schemas.openxmlformats.org/officeDocument/2006/relationships/hyperlink" Target="http://www.sec.gov/Archives/edgar/data/880807/000162828018007644/exh1029amsc-ctrxinoxamendm.htm" TargetMode="External"/><Relationship Id="rId127" Type="http://schemas.openxmlformats.org/officeDocument/2006/relationships/hyperlink" Target="http://www.sec.gov/Archives/edgar/data/880807/000162828018007644/exh1030amsc-ctrxinoxamendm.htm" TargetMode="External"/><Relationship Id="rId128" Type="http://schemas.openxmlformats.org/officeDocument/2006/relationships/hyperlink" Target="http://www.sec.gov/Archives/edgar/data/880807/000156459016012481/amsc-ex102_500.htm" TargetMode="External"/><Relationship Id="rId129" Type="http://schemas.openxmlformats.org/officeDocument/2006/relationships/hyperlink" Target="http://www.sec.gov/Archives/edgar/data/880807/000162828018000826/purchaseagreement-executio.htm" TargetMode="External"/><Relationship Id="rId130" Type="http://schemas.openxmlformats.org/officeDocument/2006/relationships/hyperlink" Target="http://www.sec.gov/Archives/edgar/data/880807/000162828018003952/exhibit101-finalnotea53920.htm" TargetMode="External"/><Relationship Id="rId131" Type="http://schemas.openxmlformats.org/officeDocument/2006/relationships/hyperlink" Target="http://www.sec.gov/Archives/edgar/data/880807/000162828018003952/exhibit102assignmentofpurc.htm" TargetMode="External"/><Relationship Id="rId132" Type="http://schemas.openxmlformats.org/officeDocument/2006/relationships/hyperlink" Target="http://www.sec.gov/Archives/edgar/data/880807/000162828018003952/exhibit103finalsecondmortg.htm" TargetMode="External"/><Relationship Id="rId133" Type="http://schemas.openxmlformats.org/officeDocument/2006/relationships/hyperlink" Target="http://www.sec.gov/Archives/edgar/data/880807/000162828018003952/exhibit104-finalassignment.htm" TargetMode="External"/><Relationship Id="rId134" Type="http://schemas.openxmlformats.org/officeDocument/2006/relationships/hyperlink" Target="http://www.sec.gov/Archives/edgar/data/880807/000162828018003952/exhibit105-intercreditorsu.htm" TargetMode="External"/><Relationship Id="rId135" Type="http://schemas.openxmlformats.org/officeDocument/2006/relationships/hyperlink" Target="http://www.sec.gov/Archives/edgar/data/880807/000143774919011477/ex_146283.htm" TargetMode="External"/><Relationship Id="rId136" Type="http://schemas.openxmlformats.org/officeDocument/2006/relationships/hyperlink" Target="http://www.sec.gov/Archives/edgar/data/880807/000143774920012276/ex_187341.htm" TargetMode="External"/><Relationship Id="rId137" Type="http://schemas.openxmlformats.org/officeDocument/2006/relationships/hyperlink" Target="http://www.sec.gov/Archives/edgar/data/880807/000143774920020734/ex_205896.htm" TargetMode="External"/><Relationship Id="rId138" Type="http://schemas.openxmlformats.org/officeDocument/2006/relationships/hyperlink" Target="http://www.sec.gov/Archives/edgar/data/880807/000119312521156251/d808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2021-06-02T15:17:15Z</dcterms:created>
  <dcterms:modified xsi:type="dcterms:W3CDTF">2021-06-02T15:17:15Z</dcterms:modified>
</cp:coreProperties>
</file>