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sc20260630_10q.htm"/>
      <w:bookmarkStart w:id="1" w:name="ksamsc20260630_10q"/>
      <w:bookmarkEnd w:id="0"/>
      <w:bookmarkEnd w:id="1"/>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UNITED STATES</w:t>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SECURITIES AND EXCHANGE COMMISSION</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FORM 10-Q</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7645" w:type="dxa"/>
        <w:jc w:val="left"/>
        <w:tblInd w:w="0" w:type="dxa"/>
        <w:tblLayout w:type="fixed"/>
        <w:tblCellMar>
          <w:top w:w="0" w:type="dxa"/>
          <w:left w:w="0" w:type="dxa"/>
          <w:bottom w:w="0" w:type="dxa"/>
          <w:right w:w="0" w:type="dxa"/>
        </w:tblCellMar>
      </w:tblPr>
      <w:tblGrid>
        <w:gridCol w:w="230"/>
        <w:gridCol w:w="7415"/>
      </w:tblGrid>
      <w:tr>
        <w:trPr/>
        <w:tc>
          <w:tcPr>
            <w:tcW w:w="230" w:type="dxa"/>
            <w:tcBorders/>
            <w:vAlign w:val="center"/>
          </w:tcPr>
          <w:p>
            <w:pPr>
              <w:pStyle w:val="TableContents"/>
              <w:bidi w:val="0"/>
              <w:spacing w:before="0" w:after="0"/>
              <w:ind w:left="0" w:right="0" w:hanging="0"/>
              <w:jc w:val="left"/>
              <w:rPr/>
            </w:pPr>
            <w:r>
              <w:rPr/>
              <w:t>☒</w:t>
            </w:r>
          </w:p>
        </w:tc>
        <w:tc>
          <w:tcPr>
            <w:tcW w:w="7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tbl>
      <w:tblPr>
        <w:tblW w:w="7690" w:type="dxa"/>
        <w:jc w:val="left"/>
        <w:tblInd w:w="0" w:type="dxa"/>
        <w:tblLayout w:type="fixed"/>
        <w:tblCellMar>
          <w:top w:w="0" w:type="dxa"/>
          <w:left w:w="0" w:type="dxa"/>
          <w:bottom w:w="0" w:type="dxa"/>
          <w:right w:w="0" w:type="dxa"/>
        </w:tblCellMar>
      </w:tblPr>
      <w:tblGrid>
        <w:gridCol w:w="230"/>
        <w:gridCol w:w="7460"/>
      </w:tblGrid>
      <w:tr>
        <w:trPr/>
        <w:tc>
          <w:tcPr>
            <w:tcW w:w="230" w:type="dxa"/>
            <w:tcBorders/>
            <w:vAlign w:val="center"/>
          </w:tcPr>
          <w:p>
            <w:pPr>
              <w:pStyle w:val="TableContents"/>
              <w:bidi w:val="0"/>
              <w:spacing w:before="0" w:after="0"/>
              <w:ind w:left="0" w:right="0" w:hanging="0"/>
              <w:jc w:val="left"/>
              <w:rPr/>
            </w:pPr>
            <w:r>
              <w:rPr/>
              <w:t>☐</w:t>
            </w:r>
          </w:p>
        </w:tc>
        <w:tc>
          <w:tcPr>
            <w:tcW w:w="7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_____ </w:t>
      </w:r>
      <w:r>
        <w:rPr>
          <w:rFonts w:ascii="Times New Roman;Times;serif" w:hAnsi="Times New Roman;Times;serif"/>
          <w:b/>
          <w:sz w:val="20"/>
        </w:rPr>
        <w:t xml:space="preserve">to </w:t>
      </w:r>
      <w:r>
        <w:rPr>
          <w:rFonts w:ascii="Times New Roman;Times;serif" w:hAnsi="Times New Roman;Times;serif"/>
          <w:sz w:val="20"/>
        </w:rPr>
        <w:t>_____</w:t>
      </w:r>
      <w:r>
        <w:rPr>
          <w:rFonts w:ascii="Times New Roman;Times;serif" w:hAnsi="Times New Roman;Times;serif"/>
          <w:b/>
          <w:sz w:val="20"/>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0-19672</w:t>
      </w:r>
    </w:p>
    <w:p>
      <w:pPr>
        <w:pStyle w:val="TextBody"/>
        <w:bidi w:val="0"/>
        <w:spacing w:before="120" w:after="12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44"/>
        </w:rPr>
      </w:pPr>
      <w:r>
        <w:rPr>
          <w:rFonts w:ascii="Times New Roman" w:hAnsi="Times New Roman"/>
          <w:b/>
          <w:sz w:val="44"/>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tbl>
      <w:tblPr>
        <w:tblW w:w="4645" w:type="dxa"/>
        <w:jc w:val="left"/>
        <w:tblInd w:w="0" w:type="dxa"/>
        <w:tblLayout w:type="fixed"/>
        <w:tblCellMar>
          <w:top w:w="0" w:type="dxa"/>
          <w:left w:w="0" w:type="dxa"/>
          <w:bottom w:w="0" w:type="dxa"/>
          <w:right w:w="0" w:type="dxa"/>
        </w:tblCellMar>
      </w:tblPr>
      <w:tblGrid>
        <w:gridCol w:w="3275"/>
        <w:gridCol w:w="1370"/>
      </w:tblGrid>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04-2959321</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rPr/>
        <w:tc>
          <w:tcPr>
            <w:tcW w:w="3275"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114 East Main St. Ayer, Massachusetts</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01432</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(978) 842-3000</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(Former name, former address and former fiscal year, if changed since last report)</w:t>
      </w:r>
    </w:p>
    <w:p>
      <w:pPr>
        <w:pStyle w:val="TextBody"/>
        <w:bidi w:val="0"/>
        <w:spacing w:before="0" w:after="0"/>
        <w:ind w:left="0" w:right="0" w:hanging="0"/>
        <w:jc w:val="center"/>
        <w:rPr/>
      </w:pPr>
      <w:r>
        <w:rPr/>
        <w:t>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144" w:right="144" w:hanging="0"/>
        <w:jc w:val="center"/>
        <w:rPr/>
      </w:pPr>
      <w:r>
        <w:rPr/>
        <w:t> </w:t>
      </w:r>
    </w:p>
    <w:tbl>
      <w:tblPr>
        <w:tblW w:w="7185" w:type="dxa"/>
        <w:jc w:val="left"/>
        <w:tblInd w:w="0" w:type="dxa"/>
        <w:tblLayout w:type="fixed"/>
        <w:tblCellMar>
          <w:top w:w="0" w:type="dxa"/>
          <w:left w:w="0" w:type="dxa"/>
          <w:bottom w:w="28" w:type="dxa"/>
          <w:right w:w="0" w:type="dxa"/>
        </w:tblCellMar>
      </w:tblPr>
      <w:tblGrid>
        <w:gridCol w:w="2060"/>
        <w:gridCol w:w="1535"/>
        <w:gridCol w:w="3590"/>
      </w:tblGrid>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br/>
              <w:t>$0.01 par value per share</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AMSC</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05" w:type="dxa"/>
        <w:jc w:val="left"/>
        <w:tblInd w:w="0" w:type="dxa"/>
        <w:tblLayout w:type="fixed"/>
        <w:tblCellMar>
          <w:top w:w="45" w:type="dxa"/>
          <w:left w:w="45" w:type="dxa"/>
          <w:bottom w:w="45" w:type="dxa"/>
          <w:right w:w="45" w:type="dxa"/>
        </w:tblCellMar>
      </w:tblPr>
      <w:tblGrid>
        <w:gridCol w:w="2150"/>
        <w:gridCol w:w="2555"/>
      </w:tblGrid>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50" w:type="dxa"/>
            <w:tcBorders/>
            <w:vAlign w:val="center"/>
          </w:tcPr>
          <w:p>
            <w:pPr>
              <w:pStyle w:val="TableContents"/>
              <w:bidi w:val="0"/>
              <w:spacing w:before="0" w:after="0"/>
              <w:ind w:left="0" w:right="0" w:hanging="0"/>
              <w:jc w:val="left"/>
              <w:rPr/>
            </w:pPr>
            <w:r>
              <w:rPr/>
              <w:t>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Shares outstanding of the Registrant’s common stock:</w:t>
      </w:r>
    </w:p>
    <w:p>
      <w:pPr>
        <w:pStyle w:val="TextBody"/>
        <w:bidi w:val="0"/>
        <w:spacing w:before="0" w:after="0"/>
        <w:ind w:left="0" w:right="0" w:hanging="0"/>
        <w:jc w:val="center"/>
        <w:rPr/>
      </w:pPr>
      <w:r>
        <w:rPr/>
        <w:t> </w:t>
      </w:r>
    </w:p>
    <w:tbl>
      <w:tblPr>
        <w:tblW w:w="6325" w:type="dxa"/>
        <w:jc w:val="left"/>
        <w:tblInd w:w="0" w:type="dxa"/>
        <w:tblLayout w:type="fixed"/>
        <w:tblCellMar>
          <w:top w:w="0" w:type="dxa"/>
          <w:left w:w="0" w:type="dxa"/>
          <w:bottom w:w="28" w:type="dxa"/>
          <w:right w:w="0" w:type="dxa"/>
        </w:tblCellMar>
      </w:tblPr>
      <w:tblGrid>
        <w:gridCol w:w="3575"/>
        <w:gridCol w:w="60"/>
        <w:gridCol w:w="2690"/>
      </w:tblGrid>
      <w:tr>
        <w:trPr/>
        <w:tc>
          <w:tcPr>
            <w:tcW w:w="3575"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w:t>
            </w:r>
          </w:p>
        </w:tc>
        <w:tc>
          <w:tcPr>
            <w:tcW w:w="60" w:type="dxa"/>
            <w:tcBorders/>
            <w:tcMar>
              <w:bottom w:w="0" w:type="dxa"/>
            </w:tcMar>
            <w:vAlign w:val="center"/>
          </w:tcPr>
          <w:p>
            <w:pPr>
              <w:pStyle w:val="TableContents"/>
              <w:bidi w:val="0"/>
              <w:spacing w:before="0" w:after="283"/>
              <w:jc w:val="left"/>
              <w:rPr/>
            </w:pPr>
            <w:r>
              <w:rPr/>
              <w:t> </w:t>
            </w:r>
          </w:p>
        </w:tc>
        <w:tc>
          <w:tcPr>
            <w:tcW w:w="269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Outstanding as of July 31, 2026</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Common Stock, par value $0.01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6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48,442,143</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283"/>
        <w:jc w:val="left"/>
        <w:rPr/>
      </w:pPr>
      <w:r>
        <w:rPr/>
        <w:t> </w:t>
      </w:r>
    </w:p>
    <w:tbl>
      <w:tblPr>
        <w:tblW w:w="8880" w:type="dxa"/>
        <w:jc w:val="left"/>
        <w:tblInd w:w="0" w:type="dxa"/>
        <w:tblLayout w:type="fixed"/>
        <w:tblCellMar>
          <w:top w:w="0" w:type="dxa"/>
          <w:left w:w="0" w:type="dxa"/>
          <w:bottom w:w="0" w:type="dxa"/>
          <w:right w:w="0" w:type="dxa"/>
        </w:tblCellMar>
      </w:tblPr>
      <w:tblGrid>
        <w:gridCol w:w="815"/>
        <w:gridCol w:w="7280"/>
        <w:gridCol w:w="785"/>
      </w:tblGrid>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8095" w:type="dxa"/>
            <w:gridSpan w:val="2"/>
            <w:tcBorders/>
            <w:vAlign w:val="center"/>
          </w:tcPr>
          <w:p>
            <w:pPr>
              <w:pStyle w:val="TableContents"/>
              <w:bidi w:val="0"/>
              <w:spacing w:before="0" w:after="0"/>
              <w:ind w:left="0" w:right="0" w:hanging="0"/>
              <w:jc w:val="left"/>
              <w:rPr/>
            </w:pPr>
            <w:hyperlink w:anchor="partone">
              <w:r>
                <w:rPr>
                  <w:rStyle w:val="InternetLink"/>
                  <w:rFonts w:ascii="Times New Roman;Times;serif" w:hAnsi="Times New Roman;Times;serif"/>
                  <w:sz w:val="20"/>
                </w:rPr>
                <w:t>PART I—FINANCIAL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rPr/>
            </w:pPr>
            <w:hyperlink w:anchor="finstate">
              <w:r>
                <w:rPr>
                  <w:rStyle w:val="InternetLink"/>
                  <w:rFonts w:ascii="Times New Roman;Times;serif" w:hAnsi="Times New Roman;Times;serif"/>
                  <w:sz w:val="20"/>
                </w:rPr>
                <w:t>Financial Statements</w:t>
              </w:r>
            </w:hyperlink>
          </w:p>
        </w:tc>
        <w:tc>
          <w:tcPr>
            <w:tcW w:w="785" w:type="dxa"/>
            <w:tcBorders/>
            <w:vAlign w:val="center"/>
          </w:tcPr>
          <w:p>
            <w:pPr>
              <w:pStyle w:val="TableContents"/>
              <w:bidi w:val="0"/>
              <w:spacing w:before="0" w:after="0"/>
              <w:ind w:left="0" w:right="0" w:hanging="0"/>
              <w:jc w:val="right"/>
              <w:rPr/>
            </w:pPr>
            <w:hyperlink w:anchor="finstate">
              <w:r>
                <w:rPr>
                  <w:rStyle w:val="InternetLink"/>
                  <w:rFonts w:ascii="Times New Roman;Times;serif" w:hAnsi="Times New Roman;Times;serif"/>
                  <w:sz w:val="20"/>
                </w:rPr>
                <w:t>3</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rPr/>
            </w:pPr>
            <w:hyperlink w:anchor="mdna">
              <w:r>
                <w:rPr>
                  <w:rStyle w:val="InternetLink"/>
                  <w:rFonts w:ascii="Times New Roman;Times;serif" w:hAnsi="Times New Roman;Times;serif"/>
                  <w:sz w:val="20"/>
                </w:rPr>
                <w:t>Management’s Discussion and Analysis of Financial Condition and Results of Operations</w:t>
              </w:r>
            </w:hyperlink>
          </w:p>
        </w:tc>
        <w:tc>
          <w:tcPr>
            <w:tcW w:w="785" w:type="dxa"/>
            <w:tcBorders/>
            <w:vAlign w:val="center"/>
          </w:tcPr>
          <w:p>
            <w:pPr>
              <w:pStyle w:val="TableContents"/>
              <w:bidi w:val="0"/>
              <w:spacing w:before="0" w:after="0"/>
              <w:ind w:left="0" w:right="0" w:hanging="0"/>
              <w:jc w:val="right"/>
              <w:rPr/>
            </w:pPr>
            <w:hyperlink w:anchor="mdna">
              <w:r>
                <w:rPr>
                  <w:rStyle w:val="InternetLink"/>
                  <w:rFonts w:ascii="Times New Roman;Times;serif" w:hAnsi="Times New Roman;Times;serif"/>
                  <w:sz w:val="20"/>
                </w:rPr>
                <w:t>28</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785"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785"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095" w:type="dxa"/>
            <w:gridSpan w:val="2"/>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sz w:val="20"/>
                </w:rPr>
                <w:t>PART II—OTHER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rPr/>
            </w:pPr>
            <w:hyperlink w:anchor="itemone">
              <w:r>
                <w:rPr>
                  <w:rStyle w:val="InternetLink"/>
                  <w:rFonts w:ascii="Times New Roman;Times;serif" w:hAnsi="Times New Roman;Times;serif"/>
                  <w:sz w:val="20"/>
                </w:rPr>
                <w:t>Legal Proceedings</w:t>
              </w:r>
            </w:hyperlink>
          </w:p>
        </w:tc>
        <w:tc>
          <w:tcPr>
            <w:tcW w:w="785" w:type="dxa"/>
            <w:tcBorders/>
            <w:vAlign w:val="center"/>
          </w:tcPr>
          <w:p>
            <w:pPr>
              <w:pStyle w:val="TableContents"/>
              <w:bidi w:val="0"/>
              <w:spacing w:before="0" w:after="0"/>
              <w:ind w:left="0" w:right="0" w:hanging="0"/>
              <w:jc w:val="right"/>
              <w:rPr/>
            </w:pPr>
            <w:hyperlink w:anchor="itemone">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7280" w:type="dxa"/>
            <w:tcBorders/>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sz w:val="20"/>
                </w:rPr>
                <w:t>Risk Factors</w:t>
              </w:r>
            </w:hyperlink>
          </w:p>
        </w:tc>
        <w:tc>
          <w:tcPr>
            <w:tcW w:w="785" w:type="dxa"/>
            <w:tcBorders/>
            <w:vAlign w:val="center"/>
          </w:tcPr>
          <w:p>
            <w:pPr>
              <w:pStyle w:val="TableContents"/>
              <w:bidi w:val="0"/>
              <w:spacing w:before="0" w:after="0"/>
              <w:ind w:left="0" w:right="0" w:hanging="0"/>
              <w:jc w:val="right"/>
              <w:rPr/>
            </w:pPr>
            <w:hyperlink w:anchor="item1a">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rPr/>
            </w:pPr>
            <w:hyperlink w:anchor="unregsales">
              <w:r>
                <w:rPr>
                  <w:rStyle w:val="InternetLink"/>
                  <w:rFonts w:ascii="Times New Roman;Times;serif" w:hAnsi="Times New Roman;Times;serif"/>
                  <w:sz w:val="20"/>
                  <w:shd w:fill="FFFFFF" w:val="clear"/>
                </w:rPr>
                <w:t>Unregistered Sales of Equity Securities and Use of Proceeds</w:t>
              </w:r>
            </w:hyperlink>
          </w:p>
        </w:tc>
        <w:tc>
          <w:tcPr>
            <w:tcW w:w="785" w:type="dxa"/>
            <w:tcBorders/>
            <w:vAlign w:val="center"/>
          </w:tcPr>
          <w:p>
            <w:pPr>
              <w:pStyle w:val="TableContents"/>
              <w:bidi w:val="0"/>
              <w:spacing w:before="0" w:after="0"/>
              <w:ind w:left="0" w:right="0" w:hanging="0"/>
              <w:jc w:val="right"/>
              <w:rPr/>
            </w:pPr>
            <w:hyperlink w:anchor="unregsales">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rPr/>
            </w:pPr>
            <w:hyperlink w:anchor="itemthree">
              <w:r>
                <w:rPr>
                  <w:rStyle w:val="InternetLink"/>
                  <w:rFonts w:ascii="Times New Roman;Times;serif" w:hAnsi="Times New Roman;Times;serif"/>
                  <w:sz w:val="20"/>
                </w:rPr>
                <w:t>Defaults Upon Senior Securities</w:t>
              </w:r>
            </w:hyperlink>
          </w:p>
        </w:tc>
        <w:tc>
          <w:tcPr>
            <w:tcW w:w="785" w:type="dxa"/>
            <w:tcBorders/>
            <w:vAlign w:val="center"/>
          </w:tcPr>
          <w:p>
            <w:pPr>
              <w:pStyle w:val="TableContents"/>
              <w:bidi w:val="0"/>
              <w:spacing w:before="0" w:after="0"/>
              <w:ind w:left="0" w:right="0" w:hanging="0"/>
              <w:jc w:val="right"/>
              <w:rPr/>
            </w:pPr>
            <w:hyperlink w:anchor="itemthree">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rPr/>
            </w:pPr>
            <w:hyperlink w:anchor="itemfour">
              <w:r>
                <w:rPr>
                  <w:rStyle w:val="InternetLink"/>
                  <w:rFonts w:ascii="Times New Roman;Times;serif" w:hAnsi="Times New Roman;Times;serif"/>
                  <w:sz w:val="20"/>
                </w:rPr>
                <w:t>Mine Safety Disclosure</w:t>
              </w:r>
            </w:hyperlink>
          </w:p>
        </w:tc>
        <w:tc>
          <w:tcPr>
            <w:tcW w:w="785" w:type="dxa"/>
            <w:tcBorders/>
            <w:vAlign w:val="center"/>
          </w:tcPr>
          <w:p>
            <w:pPr>
              <w:pStyle w:val="TableContents"/>
              <w:bidi w:val="0"/>
              <w:spacing w:before="0" w:after="0"/>
              <w:ind w:left="0" w:right="0" w:hanging="0"/>
              <w:jc w:val="right"/>
              <w:rPr/>
            </w:pPr>
            <w:hyperlink w:anchor="itemfour">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5.</w:t>
            </w:r>
          </w:p>
        </w:tc>
        <w:tc>
          <w:tcPr>
            <w:tcW w:w="7280" w:type="dxa"/>
            <w:tcBorders/>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sz w:val="20"/>
                </w:rPr>
                <w:t>Other Information</w:t>
              </w:r>
            </w:hyperlink>
          </w:p>
        </w:tc>
        <w:tc>
          <w:tcPr>
            <w:tcW w:w="785" w:type="dxa"/>
            <w:tcBorders/>
            <w:vAlign w:val="center"/>
          </w:tcPr>
          <w:p>
            <w:pPr>
              <w:pStyle w:val="TableContents"/>
              <w:bidi w:val="0"/>
              <w:spacing w:before="0" w:after="0"/>
              <w:ind w:left="0" w:right="0" w:hanging="0"/>
              <w:jc w:val="right"/>
              <w:rPr/>
            </w:pPr>
            <w:hyperlink w:anchor="item5">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7280"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sz w:val="20"/>
                </w:rPr>
                <w:t>Exhibits</w:t>
              </w:r>
            </w:hyperlink>
          </w:p>
        </w:tc>
        <w:tc>
          <w:tcPr>
            <w:tcW w:w="785" w:type="dxa"/>
            <w:tcBorders/>
            <w:vAlign w:val="center"/>
          </w:tcPr>
          <w:p>
            <w:pPr>
              <w:pStyle w:val="TableContents"/>
              <w:bidi w:val="0"/>
              <w:spacing w:before="0" w:after="0"/>
              <w:ind w:left="0" w:right="0" w:hanging="0"/>
              <w:jc w:val="right"/>
              <w:rPr/>
            </w:pPr>
            <w:hyperlink w:anchor="item6">
              <w:r>
                <w:rPr>
                  <w:rStyle w:val="InternetLink"/>
                  <w:rFonts w:ascii="Times New Roman;Times;serif" w:hAnsi="Times New Roman;Times;serif"/>
                  <w:sz w:val="20"/>
                </w:rPr>
                <w:t>38</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hyperlink w:anchor="signature">
              <w:r>
                <w:rPr>
                  <w:rStyle w:val="InternetLink"/>
                  <w:rFonts w:ascii="Times New Roman;Times;serif" w:hAnsi="Times New Roman;Times;serif"/>
                  <w:sz w:val="20"/>
                </w:rPr>
                <w:t>Signature</w:t>
              </w:r>
            </w:hyperlink>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pPr>
            <w:hyperlink w:anchor="signature">
              <w:r>
                <w:rPr>
                  <w:rStyle w:val="InternetLink"/>
                  <w:rFonts w:ascii="Times New Roman;Times;serif" w:hAnsi="Times New Roman;Times;serif"/>
                  <w:sz w:val="20"/>
                </w:rPr>
                <w:t>39</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lineRule="auto" w:line="480" w:before="0" w:after="0"/>
        <w:ind w:left="0" w:right="0" w:hanging="0"/>
        <w:jc w:val="center"/>
        <w:rPr>
          <w:rFonts w:ascii="Times New Roman" w:hAnsi="Times New Roman"/>
          <w:b/>
          <w:sz w:val="20"/>
        </w:rPr>
      </w:pPr>
      <w:r>
        <w:rPr>
          <w:rFonts w:ascii="Times New Roman" w:hAnsi="Times New Roman"/>
          <w:b/>
          <w:sz w:val="20"/>
        </w:rPr>
        <w:t>AMERICAN SUPERCONDUCTOR CORPORATION</w:t>
      </w:r>
    </w:p>
    <w:p>
      <w:pPr>
        <w:pStyle w:val="TextBody"/>
        <w:bidi w:val="0"/>
        <w:spacing w:lineRule="auto" w:line="480" w:before="0" w:after="0"/>
        <w:ind w:left="0" w:right="0" w:hanging="0"/>
        <w:jc w:val="center"/>
        <w:rPr>
          <w:rFonts w:ascii="Times New Roman;Times;serif" w:hAnsi="Times New Roman;Times;serif"/>
          <w:b/>
          <w:sz w:val="20"/>
        </w:rPr>
      </w:pPr>
      <w:bookmarkStart w:id="3" w:name="partone"/>
      <w:bookmarkEnd w:id="3"/>
      <w:r>
        <w:rPr>
          <w:rFonts w:ascii="Times New Roman;Times;serif" w:hAnsi="Times New Roman;Times;serif"/>
          <w:b/>
          <w:sz w:val="20"/>
        </w:rPr>
        <w:t>PART I — FINANCIAL INFORMATION</w:t>
      </w:r>
    </w:p>
    <w:p>
      <w:pPr>
        <w:pStyle w:val="TextBody"/>
        <w:bidi w:val="0"/>
        <w:spacing w:lineRule="auto" w:line="480" w:before="0" w:after="0"/>
        <w:ind w:left="0" w:right="0" w:hanging="0"/>
        <w:jc w:val="center"/>
        <w:rPr>
          <w:rFonts w:ascii="Times New Roman;Times;serif" w:hAnsi="Times New Roman;Times;serif"/>
          <w:b/>
          <w:sz w:val="20"/>
        </w:rPr>
      </w:pPr>
      <w:bookmarkStart w:id="4" w:name="finstate"/>
      <w:bookmarkEnd w:id="4"/>
      <w:r>
        <w:rPr>
          <w:rFonts w:ascii="Times New Roman;Times;serif" w:hAnsi="Times New Roman;Times;serif"/>
          <w:b/>
          <w:sz w:val="20"/>
        </w:rPr>
        <w:t>ITEM 1.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BALANCE SHEETS</w:t>
      </w:r>
    </w:p>
    <w:p>
      <w:pPr>
        <w:pStyle w:val="TextBody"/>
        <w:bidi w:val="0"/>
        <w:spacing w:lineRule="auto" w:line="480"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10205" w:type="dxa"/>
        <w:jc w:val="left"/>
        <w:tblInd w:w="0" w:type="dxa"/>
        <w:tblLayout w:type="fixed"/>
        <w:tblCellMar>
          <w:top w:w="0" w:type="dxa"/>
          <w:left w:w="0" w:type="dxa"/>
          <w:bottom w:w="0" w:type="dxa"/>
          <w:right w:w="0" w:type="dxa"/>
        </w:tblCellMar>
      </w:tblPr>
      <w:tblGrid>
        <w:gridCol w:w="7937"/>
        <w:gridCol w:w="60"/>
        <w:gridCol w:w="123"/>
        <w:gridCol w:w="830"/>
        <w:gridCol w:w="80"/>
        <w:gridCol w:w="60"/>
        <w:gridCol w:w="131"/>
        <w:gridCol w:w="887"/>
        <w:gridCol w:w="97"/>
      </w:tblGrid>
      <w:tr>
        <w:trPr/>
        <w:tc>
          <w:tcPr>
            <w:tcW w:w="79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March 31, 2026</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center"/>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Current assets:</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18"/>
              </w:rPr>
            </w:pPr>
            <w:r>
              <w:rPr>
                <w:sz w:val="18"/>
              </w:rPr>
              <w:t>$</w:t>
            </w:r>
          </w:p>
        </w:tc>
        <w:tc>
          <w:tcPr>
            <w:tcW w:w="830" w:type="dxa"/>
            <w:tcBorders/>
            <w:shd w:fill="CCEEFF" w:val="clear"/>
            <w:vAlign w:val="center"/>
          </w:tcPr>
          <w:p>
            <w:pPr>
              <w:pStyle w:val="TableContents"/>
              <w:bidi w:val="0"/>
              <w:spacing w:before="0" w:after="283"/>
              <w:jc w:val="right"/>
              <w:rPr>
                <w:sz w:val="18"/>
              </w:rPr>
            </w:pPr>
            <w:r>
              <w:rPr>
                <w:sz w:val="18"/>
              </w:rPr>
              <w:t>143,707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sz w:val="18"/>
              </w:rPr>
            </w:pPr>
            <w:r>
              <w:rPr>
                <w:sz w:val="18"/>
              </w:rPr>
              <w:t>$</w:t>
            </w:r>
          </w:p>
        </w:tc>
        <w:tc>
          <w:tcPr>
            <w:tcW w:w="887" w:type="dxa"/>
            <w:tcBorders/>
            <w:shd w:fill="CCEEFF" w:val="clear"/>
            <w:vAlign w:val="center"/>
          </w:tcPr>
          <w:p>
            <w:pPr>
              <w:pStyle w:val="TableContents"/>
              <w:bidi w:val="0"/>
              <w:spacing w:before="0" w:after="283"/>
              <w:jc w:val="right"/>
              <w:rPr>
                <w:sz w:val="18"/>
              </w:rPr>
            </w:pPr>
            <w:r>
              <w:rPr>
                <w:sz w:val="18"/>
              </w:rPr>
              <w:t>140,693</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80,736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sz w:val="18"/>
              </w:rPr>
            </w:pPr>
            <w:r>
              <w:rPr>
                <w:sz w:val="18"/>
              </w:rPr>
              <w:t>69,381</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Inventory, net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98,017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sz w:val="18"/>
              </w:rPr>
            </w:pPr>
            <w:r>
              <w:rPr>
                <w:sz w:val="18"/>
              </w:rPr>
              <w:t>103,748</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16,267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sz w:val="18"/>
              </w:rPr>
            </w:pPr>
            <w:r>
              <w:rPr>
                <w:sz w:val="18"/>
              </w:rPr>
              <w:t>14,367</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79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60" w:type="dxa"/>
            <w:tcBorders/>
            <w:shd w:fill="CCEEFF" w:val="clear"/>
            <w:vAlign w:val="center"/>
          </w:tcPr>
          <w:p>
            <w:pPr>
              <w:pStyle w:val="TableContents"/>
              <w:bidi w:val="0"/>
              <w:spacing w:before="0" w:after="0"/>
              <w:ind w:left="0" w:right="0" w:hanging="0"/>
              <w:jc w:val="left"/>
              <w:rPr/>
            </w:pPr>
            <w:r>
              <w:rPr/>
              <w:t> </w:t>
            </w:r>
          </w:p>
        </w:tc>
        <w:tc>
          <w:tcPr>
            <w:tcW w:w="1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3,785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3,548</w:t>
            </w:r>
          </w:p>
        </w:tc>
        <w:tc>
          <w:tcPr>
            <w:tcW w:w="97" w:type="dxa"/>
            <w:tcBorders/>
            <w:shd w:fill="CCEEFF" w:val="clear"/>
            <w:vAlign w:val="center"/>
          </w:tcPr>
          <w:p>
            <w:pPr>
              <w:pStyle w:val="TableContents"/>
              <w:bidi w:val="0"/>
              <w:spacing w:before="0" w:after="0"/>
              <w:jc w:val="left"/>
              <w:rPr/>
            </w:pPr>
            <w:r>
              <w:rPr/>
              <w:t> </w:t>
            </w:r>
          </w:p>
        </w:tc>
      </w:tr>
      <w:tr>
        <w:trPr/>
        <w:tc>
          <w:tcPr>
            <w:tcW w:w="7937"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current assets</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sz w:val="18"/>
              </w:rPr>
            </w:pPr>
            <w:r>
              <w:rPr>
                <w:sz w:val="18"/>
              </w:rPr>
              <w:t>342,512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sz w:val="18"/>
              </w:rPr>
            </w:pPr>
            <w:r>
              <w:rPr>
                <w:sz w:val="18"/>
              </w:rPr>
              <w:t>331,737</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98,755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sz w:val="18"/>
              </w:rPr>
            </w:pPr>
            <w:r>
              <w:rPr>
                <w:sz w:val="18"/>
              </w:rPr>
              <w:t>89,775</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Intangibles, net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12,680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sz w:val="18"/>
              </w:rPr>
            </w:pPr>
            <w:r>
              <w:rPr>
                <w:sz w:val="18"/>
              </w:rPr>
              <w:t>13,548</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Right-of-use assets</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3,750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sz w:val="18"/>
              </w:rPr>
            </w:pPr>
            <w:r>
              <w:rPr>
                <w:sz w:val="18"/>
              </w:rPr>
              <w:t>3,897</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Goodwill</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176,678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sz w:val="18"/>
              </w:rPr>
            </w:pPr>
            <w:r>
              <w:rPr>
                <w:sz w:val="18"/>
              </w:rPr>
              <w:t>175,376</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Restricted cash</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5,621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sz w:val="18"/>
              </w:rPr>
            </w:pPr>
            <w:r>
              <w:rPr>
                <w:sz w:val="18"/>
              </w:rPr>
              <w:t>3,312</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Deferred tax assets, long-term portion</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119,754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sz w:val="18"/>
              </w:rPr>
            </w:pPr>
            <w:r>
              <w:rPr>
                <w:sz w:val="18"/>
              </w:rPr>
              <w:t>119,474</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Equity-method investments</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1,378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sz w:val="18"/>
              </w:rPr>
            </w:pPr>
            <w:r>
              <w:rPr>
                <w:sz w:val="18"/>
              </w:rPr>
              <w:t>1,333</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79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1,089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1,029</w:t>
            </w:r>
          </w:p>
        </w:tc>
        <w:tc>
          <w:tcPr>
            <w:tcW w:w="97" w:type="dxa"/>
            <w:tcBorders/>
            <w:shd w:fill="CCEEFF" w:val="clear"/>
            <w:vAlign w:val="center"/>
          </w:tcPr>
          <w:p>
            <w:pPr>
              <w:pStyle w:val="TableContents"/>
              <w:bidi w:val="0"/>
              <w:spacing w:before="0" w:after="0"/>
              <w:jc w:val="left"/>
              <w:rPr/>
            </w:pPr>
            <w:r>
              <w:rPr/>
              <w:t> </w:t>
            </w:r>
          </w:p>
        </w:tc>
      </w:tr>
      <w:tr>
        <w:trPr/>
        <w:tc>
          <w:tcPr>
            <w:tcW w:w="7937"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762,217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739,481</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center"/>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Current liabilities:</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18"/>
              </w:rPr>
            </w:pPr>
            <w:r>
              <w:rPr>
                <w:sz w:val="18"/>
              </w:rPr>
              <w:t>$</w:t>
            </w:r>
          </w:p>
        </w:tc>
        <w:tc>
          <w:tcPr>
            <w:tcW w:w="830" w:type="dxa"/>
            <w:tcBorders/>
            <w:shd w:fill="CCEEFF" w:val="clear"/>
            <w:vAlign w:val="center"/>
          </w:tcPr>
          <w:p>
            <w:pPr>
              <w:pStyle w:val="TableContents"/>
              <w:bidi w:val="0"/>
              <w:spacing w:before="0" w:after="283"/>
              <w:jc w:val="right"/>
              <w:rPr>
                <w:sz w:val="18"/>
              </w:rPr>
            </w:pPr>
            <w:r>
              <w:rPr>
                <w:sz w:val="18"/>
              </w:rPr>
              <w:t>50,698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sz w:val="18"/>
              </w:rPr>
            </w:pPr>
            <w:r>
              <w:rPr>
                <w:sz w:val="18"/>
              </w:rPr>
              <w:t>$</w:t>
            </w:r>
          </w:p>
        </w:tc>
        <w:tc>
          <w:tcPr>
            <w:tcW w:w="887" w:type="dxa"/>
            <w:tcBorders/>
            <w:shd w:fill="CCEEFF" w:val="clear"/>
            <w:vAlign w:val="center"/>
          </w:tcPr>
          <w:p>
            <w:pPr>
              <w:pStyle w:val="TableContents"/>
              <w:bidi w:val="0"/>
              <w:spacing w:before="0" w:after="283"/>
              <w:jc w:val="right"/>
              <w:rPr>
                <w:sz w:val="18"/>
              </w:rPr>
            </w:pPr>
            <w:r>
              <w:rPr>
                <w:sz w:val="18"/>
              </w:rPr>
              <w:t>46,545</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Lease liability, current portion</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1,327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sz w:val="18"/>
              </w:rPr>
            </w:pPr>
            <w:r>
              <w:rPr>
                <w:sz w:val="18"/>
              </w:rPr>
              <w:t>1,238</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Contingent consideration, current portion</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3,959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sz w:val="18"/>
              </w:rPr>
            </w:pPr>
            <w:r>
              <w:rPr>
                <w:sz w:val="18"/>
              </w:rPr>
              <w:t>12,808</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7937"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current portion</w:t>
            </w:r>
          </w:p>
        </w:tc>
        <w:tc>
          <w:tcPr>
            <w:tcW w:w="60" w:type="dxa"/>
            <w:tcBorders/>
            <w:shd w:fill="FFFFFF" w:val="clear"/>
            <w:vAlign w:val="center"/>
          </w:tcPr>
          <w:p>
            <w:pPr>
              <w:pStyle w:val="TableContents"/>
              <w:bidi w:val="0"/>
              <w:spacing w:before="0" w:after="0"/>
              <w:ind w:left="0" w:right="0" w:hanging="0"/>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84,896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77,936</w:t>
            </w:r>
          </w:p>
        </w:tc>
        <w:tc>
          <w:tcPr>
            <w:tcW w:w="97" w:type="dxa"/>
            <w:tcBorders/>
            <w:shd w:fill="FFFFFF" w:val="clear"/>
            <w:vAlign w:val="center"/>
          </w:tcPr>
          <w:p>
            <w:pPr>
              <w:pStyle w:val="TableContents"/>
              <w:bidi w:val="0"/>
              <w:spacing w:before="0" w:after="0"/>
              <w:jc w:val="left"/>
              <w:rPr/>
            </w:pPr>
            <w:r>
              <w:rPr/>
              <w:t> </w:t>
            </w:r>
          </w:p>
        </w:tc>
      </w:tr>
      <w:tr>
        <w:trPr/>
        <w:tc>
          <w:tcPr>
            <w:tcW w:w="7937"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current liabilities</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sz w:val="18"/>
              </w:rPr>
            </w:pPr>
            <w:r>
              <w:rPr>
                <w:sz w:val="18"/>
              </w:rPr>
              <w:t>140,880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887" w:type="dxa"/>
            <w:tcBorders/>
            <w:shd w:fill="CCEEFF" w:val="clear"/>
            <w:vAlign w:val="center"/>
          </w:tcPr>
          <w:p>
            <w:pPr>
              <w:pStyle w:val="TableContents"/>
              <w:bidi w:val="0"/>
              <w:spacing w:before="0" w:after="283"/>
              <w:ind w:left="0" w:right="0" w:hanging="0"/>
              <w:jc w:val="right"/>
              <w:rPr>
                <w:sz w:val="18"/>
              </w:rPr>
            </w:pPr>
            <w:r>
              <w:rPr>
                <w:sz w:val="18"/>
              </w:rPr>
              <w:t>138,527</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Deferred revenue, long-term portion</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17,722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sz w:val="18"/>
              </w:rPr>
            </w:pPr>
            <w:r>
              <w:rPr>
                <w:sz w:val="18"/>
              </w:rPr>
              <w:t>15,395</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Lease liability, long-term portion</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2,570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sz w:val="18"/>
              </w:rPr>
            </w:pPr>
            <w:r>
              <w:rPr>
                <w:sz w:val="18"/>
              </w:rPr>
              <w:t>2,762</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Contingent consideration, long-term portion</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27,930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sz w:val="18"/>
              </w:rPr>
            </w:pPr>
            <w:r>
              <w:rPr>
                <w:sz w:val="18"/>
              </w:rPr>
              <w:t>26,721</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7937"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641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629</w:t>
            </w:r>
          </w:p>
        </w:tc>
        <w:tc>
          <w:tcPr>
            <w:tcW w:w="97" w:type="dxa"/>
            <w:tcBorders/>
            <w:shd w:fill="FFFFFF" w:val="clear"/>
            <w:vAlign w:val="center"/>
          </w:tcPr>
          <w:p>
            <w:pPr>
              <w:pStyle w:val="TableContents"/>
              <w:bidi w:val="0"/>
              <w:spacing w:before="0" w:after="0"/>
              <w:jc w:val="left"/>
              <w:rPr/>
            </w:pPr>
            <w:r>
              <w:rPr/>
              <w:t> </w:t>
            </w:r>
          </w:p>
        </w:tc>
      </w:tr>
      <w:tr>
        <w:trPr/>
        <w:tc>
          <w:tcPr>
            <w:tcW w:w="7937"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liabilities</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189,743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184,034</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Commitments and Contingencies (Note 16)</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Stockholders' equity:</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Common stock, $0.01 par value, 75,000,000 shares authorized; 48,850,479 and 48,035,691 shares issued and 48,447,121 and 47,632,340 shares outstanding at June 30, 2026 and March 31, 2026, respectively</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489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sz w:val="18"/>
              </w:rPr>
            </w:pPr>
            <w:r>
              <w:rPr>
                <w:sz w:val="18"/>
              </w:rPr>
              <w:t>480</w:t>
            </w:r>
          </w:p>
        </w:tc>
        <w:tc>
          <w:tcPr>
            <w:tcW w:w="97"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1,487,303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sz w:val="18"/>
              </w:rPr>
            </w:pPr>
            <w:r>
              <w:rPr>
                <w:sz w:val="18"/>
              </w:rPr>
              <w:t>1,481,476</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Treasury stock, at cost, 403,351 at June 30, 2026 and March 31, 2026</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(3,765</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sz w:val="18"/>
              </w:rPr>
            </w:pPr>
            <w:r>
              <w:rPr>
                <w:sz w:val="18"/>
              </w:rPr>
              <w:t>(3,765</w:t>
            </w:r>
          </w:p>
        </w:tc>
        <w:tc>
          <w:tcPr>
            <w:tcW w:w="97" w:type="dxa"/>
            <w:tcBorders/>
            <w:shd w:fill="FFFFFF" w:val="clear"/>
            <w:vAlign w:val="center"/>
          </w:tcPr>
          <w:p>
            <w:pPr>
              <w:pStyle w:val="TableContents"/>
              <w:bidi w:val="0"/>
              <w:spacing w:before="0" w:after="283"/>
              <w:jc w:val="left"/>
              <w:rPr>
                <w:sz w:val="18"/>
              </w:rPr>
            </w:pPr>
            <w:r>
              <w:rPr>
                <w:sz w:val="18"/>
              </w:rPr>
              <w:t>)</w:t>
            </w:r>
          </w:p>
        </w:tc>
      </w:tr>
      <w:tr>
        <w:trPr/>
        <w:tc>
          <w:tcPr>
            <w:tcW w:w="7937"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5,773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sz w:val="18"/>
              </w:rPr>
            </w:pPr>
            <w:r>
              <w:rPr>
                <w:sz w:val="18"/>
              </w:rPr>
              <w:t>4,072</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7937"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60" w:type="dxa"/>
            <w:tcBorders/>
            <w:shd w:fill="FFFFFF" w:val="clear"/>
            <w:vAlign w:val="center"/>
          </w:tcPr>
          <w:p>
            <w:pPr>
              <w:pStyle w:val="TableContents"/>
              <w:bidi w:val="0"/>
              <w:spacing w:before="0" w:after="0"/>
              <w:ind w:left="0" w:right="0" w:hanging="0"/>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(917,326</w:t>
            </w:r>
          </w:p>
        </w:tc>
        <w:tc>
          <w:tcPr>
            <w:tcW w:w="80" w:type="dxa"/>
            <w:tcBorders/>
            <w:shd w:fill="FFFFFF" w:val="clear"/>
            <w:vAlign w:val="center"/>
          </w:tcPr>
          <w:p>
            <w:pPr>
              <w:pStyle w:val="TableContents"/>
              <w:bidi w:val="0"/>
              <w:spacing w:before="0" w:after="0"/>
              <w:ind w:left="0" w:right="0" w:hanging="0"/>
              <w:jc w:val="left"/>
              <w:rPr>
                <w:sz w:val="18"/>
              </w:rPr>
            </w:pPr>
            <w:r>
              <w:rPr>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(926,816</w:t>
            </w:r>
          </w:p>
        </w:tc>
        <w:tc>
          <w:tcPr>
            <w:tcW w:w="97" w:type="dxa"/>
            <w:tcBorders/>
            <w:shd w:fill="FFFFFF" w:val="clear"/>
            <w:vAlign w:val="center"/>
          </w:tcPr>
          <w:p>
            <w:pPr>
              <w:pStyle w:val="TableContents"/>
              <w:bidi w:val="0"/>
              <w:spacing w:before="0" w:after="0"/>
              <w:jc w:val="left"/>
              <w:rPr>
                <w:sz w:val="18"/>
              </w:rPr>
            </w:pPr>
            <w:r>
              <w:rPr>
                <w:sz w:val="18"/>
              </w:rPr>
              <w:t>)</w:t>
            </w:r>
          </w:p>
        </w:tc>
      </w:tr>
      <w:tr>
        <w:trPr/>
        <w:tc>
          <w:tcPr>
            <w:tcW w:w="7937"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stockholders' equity</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572,474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555,447</w:t>
            </w:r>
          </w:p>
        </w:tc>
        <w:tc>
          <w:tcPr>
            <w:tcW w:w="97"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762,217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739,481</w:t>
            </w:r>
          </w:p>
        </w:tc>
        <w:tc>
          <w:tcPr>
            <w:tcW w:w="9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OPERATIONS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pPr>
      <w:r>
        <w:rPr/>
        <w:t> </w:t>
      </w:r>
    </w:p>
    <w:tbl>
      <w:tblPr>
        <w:tblW w:w="7238" w:type="dxa"/>
        <w:jc w:val="left"/>
        <w:tblInd w:w="0" w:type="dxa"/>
        <w:tblLayout w:type="fixed"/>
        <w:tblCellMar>
          <w:top w:w="0" w:type="dxa"/>
          <w:left w:w="0" w:type="dxa"/>
          <w:bottom w:w="0" w:type="dxa"/>
          <w:right w:w="0" w:type="dxa"/>
        </w:tblCellMar>
      </w:tblPr>
      <w:tblGrid>
        <w:gridCol w:w="5360"/>
        <w:gridCol w:w="60"/>
        <w:gridCol w:w="140"/>
        <w:gridCol w:w="661"/>
        <w:gridCol w:w="89"/>
        <w:gridCol w:w="67"/>
        <w:gridCol w:w="140"/>
        <w:gridCol w:w="661"/>
        <w:gridCol w:w="60"/>
      </w:tblGrid>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94,073</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72,358</w:t>
            </w:r>
          </w:p>
        </w:tc>
        <w:tc>
          <w:tcPr>
            <w:tcW w:w="6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69,347</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47,869</w:t>
            </w:r>
          </w:p>
        </w:tc>
        <w:tc>
          <w:tcPr>
            <w:tcW w:w="6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24,726</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24,489</w:t>
            </w:r>
          </w:p>
        </w:tc>
        <w:tc>
          <w:tcPr>
            <w:tcW w:w="6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3,925</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4,304</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18,618</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14,204</w:t>
            </w:r>
          </w:p>
        </w:tc>
        <w:tc>
          <w:tcPr>
            <w:tcW w:w="6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acquisition-related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(8,115</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14,894</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18,845</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9,832</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5,644</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p>
        </w:tc>
        <w:tc>
          <w:tcPr>
            <w:tcW w:w="6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10,752</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6,923</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9,490</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6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shares of common stock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45,995</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38,875</w:t>
            </w:r>
          </w:p>
        </w:tc>
        <w:tc>
          <w:tcPr>
            <w:tcW w:w="6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47,124</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39,742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COMPREHENSIVE INCOME (LOSS)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5833" w:type="dxa"/>
        <w:jc w:val="left"/>
        <w:tblInd w:w="0" w:type="dxa"/>
        <w:tblLayout w:type="fixed"/>
        <w:tblCellMar>
          <w:top w:w="0" w:type="dxa"/>
          <w:left w:w="0" w:type="dxa"/>
          <w:bottom w:w="0" w:type="dxa"/>
          <w:right w:w="0" w:type="dxa"/>
        </w:tblCellMar>
      </w:tblPr>
      <w:tblGrid>
        <w:gridCol w:w="3935"/>
        <w:gridCol w:w="60"/>
        <w:gridCol w:w="152"/>
        <w:gridCol w:w="718"/>
        <w:gridCol w:w="73"/>
        <w:gridCol w:w="73"/>
        <w:gridCol w:w="152"/>
        <w:gridCol w:w="590"/>
        <w:gridCol w:w="80"/>
      </w:tblGrid>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7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w:t>
            </w:r>
          </w:p>
        </w:tc>
        <w:tc>
          <w:tcPr>
            <w:tcW w:w="8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net of tax:</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gain (loss)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gain (loss), net of tax</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11,191</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 xml:space="preserve">UNAUDITED CONDENSED CONSOLIDATED STATEMENTS OF STOCKHOLDERS’ EQUITY </w:t>
      </w:r>
    </w:p>
    <w:p>
      <w:pPr>
        <w:pStyle w:val="TextBody"/>
        <w:bidi w:val="0"/>
        <w:spacing w:before="0" w:after="0"/>
        <w:ind w:left="144" w:right="144" w:hanging="0"/>
        <w:jc w:val="center"/>
        <w:rPr>
          <w:rFonts w:ascii="Times New Roman;Times;serif" w:hAnsi="Times New Roman;Times;serif"/>
          <w:b/>
          <w:caps/>
          <w:sz w:val="20"/>
        </w:rPr>
      </w:pPr>
      <w:r>
        <w:rPr>
          <w:rFonts w:ascii="Times New Roman;Times;serif" w:hAnsi="Times New Roman;Times;serif"/>
          <w:b/>
          <w:caps/>
          <w:sz w:val="20"/>
        </w:rPr>
        <w:t>FOR THE Three Months Ended June 30, 2026 AND 2025</w:t>
      </w:r>
    </w:p>
    <w:p>
      <w:pPr>
        <w:pStyle w:val="TextBody"/>
        <w:bidi w:val="0"/>
        <w:spacing w:before="0" w:after="0"/>
        <w:ind w:left="144" w:right="144" w:hanging="0"/>
        <w:jc w:val="center"/>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144" w:right="144" w:hanging="0"/>
        <w:jc w:val="center"/>
        <w:rPr/>
      </w:pPr>
      <w:r>
        <w:rPr/>
        <w:t> </w:t>
      </w:r>
    </w:p>
    <w:tbl>
      <w:tblPr>
        <w:tblW w:w="10205" w:type="dxa"/>
        <w:jc w:val="left"/>
        <w:tblInd w:w="0" w:type="dxa"/>
        <w:tblLayout w:type="fixed"/>
        <w:tblCellMar>
          <w:top w:w="0" w:type="dxa"/>
          <w:left w:w="0" w:type="dxa"/>
          <w:bottom w:w="0" w:type="dxa"/>
          <w:right w:w="0" w:type="dxa"/>
        </w:tblCellMar>
      </w:tblPr>
      <w:tblGrid>
        <w:gridCol w:w="1978"/>
        <w:gridCol w:w="60"/>
        <w:gridCol w:w="75"/>
        <w:gridCol w:w="757"/>
        <w:gridCol w:w="60"/>
        <w:gridCol w:w="60"/>
        <w:gridCol w:w="156"/>
        <w:gridCol w:w="423"/>
        <w:gridCol w:w="60"/>
        <w:gridCol w:w="60"/>
        <w:gridCol w:w="133"/>
        <w:gridCol w:w="901"/>
        <w:gridCol w:w="80"/>
        <w:gridCol w:w="60"/>
        <w:gridCol w:w="157"/>
        <w:gridCol w:w="693"/>
        <w:gridCol w:w="80"/>
        <w:gridCol w:w="60"/>
        <w:gridCol w:w="365"/>
        <w:gridCol w:w="1157"/>
        <w:gridCol w:w="60"/>
        <w:gridCol w:w="60"/>
        <w:gridCol w:w="174"/>
        <w:gridCol w:w="1054"/>
        <w:gridCol w:w="80"/>
        <w:gridCol w:w="60"/>
        <w:gridCol w:w="193"/>
        <w:gridCol w:w="1080"/>
        <w:gridCol w:w="69"/>
      </w:tblGrid>
      <w:tr>
        <w:trPr/>
        <w:tc>
          <w:tcPr>
            <w:tcW w:w="19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2"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9" w:type="dxa"/>
            <w:tcBorders/>
            <w:shd w:fill="FFFFFF" w:val="clear"/>
            <w:vAlign w:val="center"/>
          </w:tcPr>
          <w:p>
            <w:pPr>
              <w:pStyle w:val="TableContents"/>
              <w:bidi w:val="0"/>
              <w:spacing w:before="0" w:after="283"/>
              <w:jc w:val="left"/>
              <w:rPr/>
            </w:pPr>
            <w:r>
              <w:rPr/>
              <w:t> </w:t>
            </w:r>
          </w:p>
        </w:tc>
      </w:tr>
      <w:tr>
        <w:trPr/>
        <w:tc>
          <w:tcPr>
            <w:tcW w:w="19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 Equity</w:t>
            </w:r>
          </w:p>
        </w:tc>
        <w:tc>
          <w:tcPr>
            <w:tcW w:w="69" w:type="dxa"/>
            <w:tcBorders/>
            <w:shd w:fill="FFFFFF" w:val="clear"/>
            <w:vAlign w:val="center"/>
          </w:tcPr>
          <w:p>
            <w:pPr>
              <w:pStyle w:val="TableContents"/>
              <w:bidi w:val="0"/>
              <w:spacing w:before="0" w:after="283"/>
              <w:jc w:val="left"/>
              <w:rPr/>
            </w:pPr>
            <w:r>
              <w:rPr/>
              <w:t> </w:t>
            </w:r>
          </w:p>
        </w:tc>
      </w:tr>
      <w:tr>
        <w:trPr/>
        <w:tc>
          <w:tcPr>
            <w:tcW w:w="197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1,481,476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(926,816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555,447</w:t>
            </w:r>
          </w:p>
        </w:tc>
        <w:tc>
          <w:tcPr>
            <w:tcW w:w="69" w:type="dxa"/>
            <w:tcBorders/>
            <w:shd w:fill="CCEEFF" w:val="clear"/>
            <w:vAlign w:val="center"/>
          </w:tcPr>
          <w:p>
            <w:pPr>
              <w:pStyle w:val="TableContents"/>
              <w:bidi w:val="0"/>
              <w:spacing w:before="0" w:after="283"/>
              <w:jc w:val="left"/>
              <w:rPr/>
            </w:pPr>
            <w:r>
              <w:rPr/>
              <w:t> </w:t>
            </w:r>
          </w:p>
        </w:tc>
      </w:tr>
      <w:tr>
        <w:trPr/>
        <w:tc>
          <w:tcPr>
            <w:tcW w:w="1978"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restricted shares, net of forfeited shares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4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ind w:left="0" w:right="0" w:hanging="0"/>
              <w:jc w:val="left"/>
              <w:rPr/>
            </w:pPr>
            <w:r>
              <w:rPr/>
              <w:t> </w:t>
            </w:r>
          </w:p>
        </w:tc>
        <w:tc>
          <w:tcPr>
            <w:tcW w:w="115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pPr>
            <w:r>
              <w:rPr/>
              <w:t>—</w:t>
            </w:r>
          </w:p>
        </w:tc>
        <w:tc>
          <w:tcPr>
            <w:tcW w:w="69" w:type="dxa"/>
            <w:tcBorders/>
            <w:shd w:fill="FFFFFF" w:val="clear"/>
            <w:vAlign w:val="center"/>
          </w:tcPr>
          <w:p>
            <w:pPr>
              <w:pStyle w:val="TableContents"/>
              <w:bidi w:val="0"/>
              <w:spacing w:before="0" w:after="283"/>
              <w:jc w:val="left"/>
              <w:rPr/>
            </w:pPr>
            <w:r>
              <w:rPr/>
              <w:t> </w:t>
            </w:r>
          </w:p>
        </w:tc>
      </w:tr>
      <w:tr>
        <w:trPr/>
        <w:tc>
          <w:tcPr>
            <w:tcW w:w="1978"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2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9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ind w:left="0" w:right="0" w:hanging="0"/>
              <w:jc w:val="left"/>
              <w:rPr/>
            </w:pPr>
            <w:r>
              <w:rPr/>
              <w:t> </w:t>
            </w:r>
          </w:p>
        </w:tc>
        <w:tc>
          <w:tcPr>
            <w:tcW w:w="115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5,264</w:t>
            </w:r>
          </w:p>
        </w:tc>
        <w:tc>
          <w:tcPr>
            <w:tcW w:w="69" w:type="dxa"/>
            <w:tcBorders/>
            <w:shd w:fill="CCEEFF" w:val="clear"/>
            <w:vAlign w:val="center"/>
          </w:tcPr>
          <w:p>
            <w:pPr>
              <w:pStyle w:val="TableContents"/>
              <w:bidi w:val="0"/>
              <w:spacing w:before="0" w:after="283"/>
              <w:jc w:val="left"/>
              <w:rPr/>
            </w:pPr>
            <w:r>
              <w:rPr/>
              <w:t> </w:t>
            </w:r>
          </w:p>
        </w:tc>
      </w:tr>
      <w:tr>
        <w:trPr/>
        <w:tc>
          <w:tcPr>
            <w:tcW w:w="1978"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42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ind w:left="0" w:right="0" w:hanging="0"/>
              <w:jc w:val="left"/>
              <w:rPr/>
            </w:pPr>
            <w:r>
              <w:rPr/>
              <w:t> </w:t>
            </w:r>
          </w:p>
        </w:tc>
        <w:tc>
          <w:tcPr>
            <w:tcW w:w="115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05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w:t>
            </w:r>
          </w:p>
        </w:tc>
        <w:tc>
          <w:tcPr>
            <w:tcW w:w="69" w:type="dxa"/>
            <w:tcBorders/>
            <w:shd w:fill="FFFFFF" w:val="clear"/>
            <w:vAlign w:val="center"/>
          </w:tcPr>
          <w:p>
            <w:pPr>
              <w:pStyle w:val="TableContents"/>
              <w:bidi w:val="0"/>
              <w:spacing w:before="0" w:after="283"/>
              <w:jc w:val="left"/>
              <w:rPr/>
            </w:pPr>
            <w:r>
              <w:rPr/>
              <w:t> </w:t>
            </w:r>
          </w:p>
        </w:tc>
      </w:tr>
      <w:tr>
        <w:trPr/>
        <w:tc>
          <w:tcPr>
            <w:tcW w:w="1978"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2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9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ind w:left="0" w:right="0" w:hanging="0"/>
              <w:jc w:val="left"/>
              <w:rPr/>
            </w:pPr>
            <w:r>
              <w:rPr/>
              <w:t> </w:t>
            </w:r>
          </w:p>
        </w:tc>
        <w:tc>
          <w:tcPr>
            <w:tcW w:w="11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105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1,701</w:t>
            </w:r>
          </w:p>
        </w:tc>
        <w:tc>
          <w:tcPr>
            <w:tcW w:w="69" w:type="dxa"/>
            <w:tcBorders/>
            <w:shd w:fill="CCEEFF" w:val="clear"/>
            <w:vAlign w:val="center"/>
          </w:tcPr>
          <w:p>
            <w:pPr>
              <w:pStyle w:val="TableContents"/>
              <w:bidi w:val="0"/>
              <w:spacing w:before="0" w:after="283"/>
              <w:jc w:val="left"/>
              <w:rPr/>
            </w:pPr>
            <w:r>
              <w:rPr/>
              <w:t> </w:t>
            </w:r>
          </w:p>
        </w:tc>
      </w:tr>
      <w:tr>
        <w:trPr/>
        <w:tc>
          <w:tcPr>
            <w:tcW w:w="1978"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9,490</w:t>
            </w:r>
          </w:p>
        </w:tc>
        <w:tc>
          <w:tcPr>
            <w:tcW w:w="69" w:type="dxa"/>
            <w:tcBorders/>
            <w:shd w:fill="FFFFFF" w:val="clear"/>
            <w:vAlign w:val="center"/>
          </w:tcPr>
          <w:p>
            <w:pPr>
              <w:pStyle w:val="TableContents"/>
              <w:bidi w:val="0"/>
              <w:spacing w:before="0" w:after="283"/>
              <w:jc w:val="left"/>
              <w:rPr/>
            </w:pPr>
            <w:r>
              <w:rPr/>
              <w:t> </w:t>
            </w:r>
          </w:p>
        </w:tc>
      </w:tr>
      <w:tr>
        <w:trPr/>
        <w:tc>
          <w:tcPr>
            <w:tcW w:w="197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1,487,303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(917,326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572,474</w:t>
            </w:r>
          </w:p>
        </w:tc>
        <w:tc>
          <w:tcPr>
            <w:tcW w:w="6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65"/>
        <w:gridCol w:w="60"/>
        <w:gridCol w:w="75"/>
        <w:gridCol w:w="753"/>
        <w:gridCol w:w="60"/>
        <w:gridCol w:w="60"/>
        <w:gridCol w:w="156"/>
        <w:gridCol w:w="422"/>
        <w:gridCol w:w="60"/>
        <w:gridCol w:w="60"/>
        <w:gridCol w:w="132"/>
        <w:gridCol w:w="899"/>
        <w:gridCol w:w="80"/>
        <w:gridCol w:w="60"/>
        <w:gridCol w:w="157"/>
        <w:gridCol w:w="691"/>
        <w:gridCol w:w="80"/>
        <w:gridCol w:w="60"/>
        <w:gridCol w:w="364"/>
        <w:gridCol w:w="1150"/>
        <w:gridCol w:w="80"/>
        <w:gridCol w:w="60"/>
        <w:gridCol w:w="148"/>
        <w:gridCol w:w="1076"/>
        <w:gridCol w:w="80"/>
        <w:gridCol w:w="60"/>
        <w:gridCol w:w="192"/>
        <w:gridCol w:w="1077"/>
        <w:gridCol w:w="88"/>
      </w:tblGrid>
      <w:tr>
        <w:trPr/>
        <w:tc>
          <w:tcPr>
            <w:tcW w:w="1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4"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8" w:type="dxa"/>
            <w:tcBorders/>
            <w:shd w:fill="FFFFFF"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Comprehensive 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Stockholders' Equity</w:t>
            </w:r>
          </w:p>
        </w:tc>
        <w:tc>
          <w:tcPr>
            <w:tcW w:w="88" w:type="dxa"/>
            <w:tcBorders/>
            <w:shd w:fill="FFFFFF" w:val="clear"/>
            <w:vAlign w:val="center"/>
          </w:tcPr>
          <w:p>
            <w:pPr>
              <w:pStyle w:val="TableContents"/>
              <w:bidi w:val="0"/>
              <w:spacing w:before="0" w:after="283"/>
              <w:jc w:val="left"/>
              <w:rPr/>
            </w:pPr>
            <w:r>
              <w:rPr/>
              <w:t> </w:t>
            </w:r>
          </w:p>
        </w:tc>
      </w:tr>
      <w:tr>
        <w:trPr/>
        <w:tc>
          <w:tcPr>
            <w:tcW w:w="1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1,259,540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(1,060,625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197,114</w:t>
            </w:r>
          </w:p>
        </w:tc>
        <w:tc>
          <w:tcPr>
            <w:tcW w:w="88" w:type="dxa"/>
            <w:tcBorders/>
            <w:shd w:fill="CCEEFF"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restricted shares, net of forfeited shares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shd w:fill="FFFFFF" w:val="clear"/>
            <w:vAlign w:val="center"/>
          </w:tcPr>
          <w:p>
            <w:pPr>
              <w:pStyle w:val="TableContents"/>
              <w:bidi w:val="0"/>
              <w:spacing w:before="0" w:after="0"/>
              <w:ind w:left="0" w:right="0" w:hanging="0"/>
              <w:jc w:val="left"/>
              <w:rPr/>
            </w:pPr>
            <w:r>
              <w:rPr/>
              <w:t> </w:t>
            </w:r>
          </w:p>
        </w:tc>
        <w:tc>
          <w:tcPr>
            <w:tcW w:w="1077" w:type="dxa"/>
            <w:tcBorders/>
            <w:shd w:fill="FFFFFF" w:val="clear"/>
            <w:vAlign w:val="center"/>
          </w:tcPr>
          <w:p>
            <w:pPr>
              <w:pStyle w:val="TableContents"/>
              <w:bidi w:val="0"/>
              <w:spacing w:before="0" w:after="0"/>
              <w:jc w:val="right"/>
              <w:rPr/>
            </w:pPr>
            <w:r>
              <w:rPr/>
              <w:t>—</w:t>
            </w:r>
          </w:p>
        </w:tc>
        <w:tc>
          <w:tcPr>
            <w:tcW w:w="88" w:type="dxa"/>
            <w:tcBorders/>
            <w:shd w:fill="FFFFFF" w:val="clear"/>
            <w:vAlign w:val="center"/>
          </w:tcPr>
          <w:p>
            <w:pPr>
              <w:pStyle w:val="TableContents"/>
              <w:bidi w:val="0"/>
              <w:spacing w:before="0" w:after="283"/>
              <w:jc w:val="left"/>
              <w:rPr/>
            </w:pPr>
            <w:r>
              <w:rPr/>
              <w:t> </w:t>
            </w:r>
          </w:p>
        </w:tc>
      </w:tr>
      <w:tr>
        <w:trPr/>
        <w:tc>
          <w:tcPr>
            <w:tcW w:w="196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2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9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ind w:left="0" w:right="0" w:hanging="0"/>
              <w:jc w:val="left"/>
              <w:rPr/>
            </w:pPr>
            <w:r>
              <w:rPr/>
              <w:t> </w:t>
            </w:r>
          </w:p>
        </w:tc>
        <w:tc>
          <w:tcPr>
            <w:tcW w:w="11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p>
        </w:tc>
        <w:tc>
          <w:tcPr>
            <w:tcW w:w="88" w:type="dxa"/>
            <w:tcBorders/>
            <w:shd w:fill="CCEEFF"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4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9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ind w:left="0" w:right="0" w:hanging="0"/>
              <w:jc w:val="left"/>
              <w:rPr/>
            </w:pPr>
            <w:r>
              <w:rPr/>
              <w:t> </w:t>
            </w:r>
          </w:p>
        </w:tc>
        <w:tc>
          <w:tcPr>
            <w:tcW w:w="11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88" w:type="dxa"/>
            <w:tcBorders/>
            <w:shd w:fill="FFFFFF" w:val="clear"/>
            <w:vAlign w:val="center"/>
          </w:tcPr>
          <w:p>
            <w:pPr>
              <w:pStyle w:val="TableContents"/>
              <w:bidi w:val="0"/>
              <w:spacing w:before="0" w:after="283"/>
              <w:jc w:val="left"/>
              <w:rPr/>
            </w:pPr>
            <w:r>
              <w:rPr/>
              <w:t> </w:t>
            </w:r>
          </w:p>
        </w:tc>
      </w:tr>
      <w:tr>
        <w:trPr/>
        <w:tc>
          <w:tcPr>
            <w:tcW w:w="196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equity offering, net of offering expenses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124,577</w:t>
            </w:r>
          </w:p>
        </w:tc>
        <w:tc>
          <w:tcPr>
            <w:tcW w:w="88" w:type="dxa"/>
            <w:tcBorders/>
            <w:shd w:fill="CCEEFF"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4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9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ind w:left="0" w:right="0" w:hanging="0"/>
              <w:jc w:val="left"/>
              <w:rPr/>
            </w:pPr>
            <w:r>
              <w:rPr/>
              <w:t> </w:t>
            </w:r>
          </w:p>
        </w:tc>
        <w:tc>
          <w:tcPr>
            <w:tcW w:w="11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6,724</w:t>
            </w:r>
          </w:p>
        </w:tc>
        <w:tc>
          <w:tcPr>
            <w:tcW w:w="88" w:type="dxa"/>
            <w:tcBorders/>
            <w:shd w:fill="CCEEFF" w:val="clear"/>
            <w:vAlign w:val="center"/>
          </w:tcPr>
          <w:p>
            <w:pPr>
              <w:pStyle w:val="TableContents"/>
              <w:bidi w:val="0"/>
              <w:spacing w:before="0" w:after="0"/>
              <w:jc w:val="left"/>
              <w:rPr/>
            </w:pPr>
            <w:r>
              <w:rPr/>
              <w:t> </w:t>
            </w:r>
          </w:p>
        </w:tc>
      </w:tr>
      <w:tr>
        <w:trPr/>
        <w:tc>
          <w:tcPr>
            <w:tcW w:w="1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1,388,948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(1,053,901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333,116</w:t>
            </w:r>
          </w:p>
        </w:tc>
        <w:tc>
          <w:tcPr>
            <w:tcW w:w="8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CASH FLOWS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8548" w:type="dxa"/>
        <w:jc w:val="left"/>
        <w:tblInd w:w="0" w:type="dxa"/>
        <w:tblLayout w:type="fixed"/>
        <w:tblCellMar>
          <w:top w:w="0" w:type="dxa"/>
          <w:left w:w="0" w:type="dxa"/>
          <w:bottom w:w="0" w:type="dxa"/>
          <w:right w:w="0" w:type="dxa"/>
        </w:tblCellMar>
      </w:tblPr>
      <w:tblGrid>
        <w:gridCol w:w="5900"/>
        <w:gridCol w:w="60"/>
        <w:gridCol w:w="176"/>
        <w:gridCol w:w="980"/>
        <w:gridCol w:w="112"/>
        <w:gridCol w:w="84"/>
        <w:gridCol w:w="176"/>
        <w:gridCol w:w="980"/>
        <w:gridCol w:w="80"/>
      </w:tblGrid>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9,490</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operations: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2,647</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5,264</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excess and obsolete inventory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1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from equity method investments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(8,115</w:t>
            </w:r>
          </w:p>
        </w:tc>
        <w:tc>
          <w:tcPr>
            <w:tcW w:w="1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non-cash items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 and liability accounts: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(11,119</w:t>
            </w:r>
          </w:p>
        </w:tc>
        <w:tc>
          <w:tcPr>
            <w:tcW w:w="1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4,947</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(1,884</w:t>
            </w:r>
          </w:p>
        </w:tc>
        <w:tc>
          <w:tcPr>
            <w:tcW w:w="1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1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4,717</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6,321</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9,255</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16,013</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4,125</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(10,438</w:t>
            </w:r>
          </w:p>
        </w:tc>
        <w:tc>
          <w:tcPr>
            <w:tcW w:w="1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other assets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(10,489</w:t>
            </w:r>
          </w:p>
        </w:tc>
        <w:tc>
          <w:tcPr>
            <w:tcW w:w="1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public equity offering, net of offering expenses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124,577</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124,577</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5,560</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128,038</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147,553</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85,381</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153,113</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213,419</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schedule of cash flow information: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 net of refunds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new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to settle 401k match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w:t>
      </w:r>
      <w:r>
        <w:rPr>
          <w:rFonts w:ascii="Times New Roman;Times;serif" w:hAnsi="Times New Roman;Times;serif"/>
          <w:b/>
          <w:sz w:val="20"/>
        </w:rPr>
        <w:t xml:space="preserve"> Nature of the Business and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Nature of the Business and Operations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American Superconductor Corporation (together with its subsidiaries, “AMSC®” or the “Company”) was founded on </w:t>
      </w:r>
      <w:r>
        <w:rPr>
          <w:rStyle w:val="Emphasis"/>
          <w:rFonts w:ascii="Times New Roman" w:hAnsi="Times New Roman"/>
          <w:caps w:val="false"/>
          <w:smallCaps w:val="false"/>
          <w:sz w:val="20"/>
        </w:rPr>
        <w:t xml:space="preserve"> April 9,</w:t>
      </w:r>
      <w:r>
        <w:rPr>
          <w:rFonts w:ascii="Times New Roman" w:hAnsi="Times New Roman"/>
          <w:caps w:val="false"/>
          <w:smallCaps w:val="false"/>
          <w:sz w:val="20"/>
        </w:rPr>
        <w:t> </w:t>
      </w:r>
      <w:r>
        <w:rPr>
          <w:rStyle w:val="Emphasis"/>
          <w:rFonts w:ascii="Times New Roman" w:hAnsi="Times New Roman"/>
          <w:caps w:val="false"/>
          <w:smallCaps w:val="false"/>
          <w:sz w:val="20"/>
        </w:rPr>
        <w:t>1987.</w:t>
      </w:r>
      <w:r>
        <w:rPr>
          <w:rFonts w:ascii="Times New Roman" w:hAnsi="Times New Roman"/>
          <w:caps w:val="false"/>
          <w:smallCaps w:val="false"/>
          <w:sz w:val="20"/>
        </w:rPr>
        <w:t> The Company is a leading provider of power control solutions that harmonize an increasingly complex energy system and enable customers to scale their operations without added complexity or size. The Company’s system level products leverage its proprietary “smart materials” and “smart software and controls” to provide enhanced resiliency and improved performance of megawatt-scale power flow.</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These unaudited condensed consolidated financial statements of the Company have been prepared on a going concern basis in accordance with United States generally accepted accounting principles (“GAAP”) and the Securities and Exchange Commission’s (“SEC”) instructions to Form </w:t>
      </w:r>
      <w:r>
        <w:rPr>
          <w:rStyle w:val="Emphasis"/>
          <w:rFonts w:ascii="Times New Roman;Times;serif" w:hAnsi="Times New Roman;Times;serif"/>
          <w:sz w:val="20"/>
        </w:rPr>
        <w:t>10</w:t>
      </w:r>
      <w:r>
        <w:rPr>
          <w:rFonts w:ascii="Times New Roman;Times;serif" w:hAnsi="Times New Roman;Times;serif"/>
          <w:sz w:val="20"/>
        </w:rPr>
        <w:t xml:space="preserve">-Q. All significant intercompany accounts and transactions are eliminated in consolidation. Investments in entities in which we do </w:t>
      </w:r>
      <w:r>
        <w:rPr>
          <w:rStyle w:val="Emphasis"/>
          <w:rFonts w:ascii="Times New Roman;Times;serif" w:hAnsi="Times New Roman;Times;serif"/>
          <w:sz w:val="20"/>
        </w:rPr>
        <w:t>not</w:t>
      </w:r>
      <w:r>
        <w:rPr>
          <w:rFonts w:ascii="Times New Roman;Times;serif" w:hAnsi="Times New Roman;Times;serif"/>
          <w:sz w:val="20"/>
        </w:rPr>
        <w:t xml:space="preserve"> have a controlling interest are accounted for under the equity method of accounting. The going concern basis of presentation assumes that the Company will continue operations and will be able to realize its assets and discharge its liabilities and commitments in the normal course of business. Certain information and footnote disclosures normally included in the condensed consolidated financial statements prepared in accordance with GAAP have been omitted pursuant to those instructions. The year-end balance sheet data was derived from audited financial statements but does </w:t>
      </w:r>
      <w:r>
        <w:rPr>
          <w:rStyle w:val="Emphasis"/>
          <w:rFonts w:ascii="Times New Roman;Times;serif" w:hAnsi="Times New Roman;Times;serif"/>
          <w:sz w:val="20"/>
        </w:rPr>
        <w:t>not</w:t>
      </w:r>
      <w:r>
        <w:rPr>
          <w:rFonts w:ascii="Times New Roman;Times;serif" w:hAnsi="Times New Roman;Times;serif"/>
          <w:sz w:val="20"/>
        </w:rPr>
        <w:t xml:space="preserve"> include all disclosures required by GAAP. The unaudited condensed consolidated financial statements, in the opinion of management, reflect all adjustments (consisting of normal recurring adjustments) necessary for a fair statement of the results for the interim periods ended </w:t>
      </w:r>
      <w:r>
        <w:rPr>
          <w:rStyle w:val="Emphasis"/>
          <w:rFonts w:ascii="Times New Roman;Times;serif" w:hAnsi="Times New Roman;Times;serif"/>
          <w:sz w:val="20"/>
        </w:rPr>
        <w:t xml:space="preserve"> June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xml:space="preserve"> and the financial position at </w:t>
      </w:r>
      <w:r>
        <w:rPr>
          <w:rStyle w:val="Emphasis"/>
          <w:rFonts w:ascii="Times New Roman;Times;serif" w:hAnsi="Times New Roman;Times;serif"/>
          <w:sz w:val="20"/>
        </w:rPr>
        <w:t>June 30, 2026</w:t>
      </w:r>
      <w:r>
        <w:rPr>
          <w:rFonts w:ascii="Times New Roman;Times;serif" w:hAnsi="Times New Roman;Times;serif"/>
          <w:sz w:val="20"/>
        </w:rPr>
        <w:t xml:space="preserve">; however, these results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results which </w:t>
      </w:r>
      <w:r>
        <w:rPr>
          <w:rStyle w:val="Emphasis"/>
          <w:rFonts w:ascii="Times New Roman;Times;serif" w:hAnsi="Times New Roman;Times;serif"/>
          <w:sz w:val="20"/>
        </w:rPr>
        <w:t xml:space="preserve">may </w:t>
      </w:r>
      <w:r>
        <w:rPr>
          <w:rFonts w:ascii="Times New Roman;Times;serif" w:hAnsi="Times New Roman;Times;serif"/>
          <w:sz w:val="20"/>
        </w:rPr>
        <w:t>be expected for the full year. The interim condensed consolidated financial statements, and notes thereto, should be read in conjunction with the audited consolidated financial statements for the year ended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-K for the year ended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filed with the SEC on </w:t>
      </w:r>
      <w:r>
        <w:rPr>
          <w:rStyle w:val="Emphasis"/>
          <w:rFonts w:ascii="Times New Roman;Times;serif" w:hAnsi="Times New Roman;Times;serif"/>
          <w:sz w:val="20"/>
        </w:rPr>
        <w:t>May 27, 2026</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2.</w:t>
      </w:r>
      <w:r>
        <w:rPr>
          <w:rFonts w:ascii="Times New Roman;Times;serif" w:hAnsi="Times New Roman;Times;serif"/>
          <w:b/>
          <w:sz w:val="20"/>
        </w:rPr>
        <w:t xml:space="preserve"> Acquisition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Acquisition of Comtrafo</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December 5, 2025 (</w:t>
      </w:r>
      <w:r>
        <w:rPr>
          <w:rFonts w:ascii="Times New Roman;Times;serif" w:hAnsi="Times New Roman;Times;serif"/>
          <w:sz w:val="20"/>
        </w:rPr>
        <w:t xml:space="preserve">the "Comtrafo Acquisition Date"), the Company entered into a Stock Exchange Agreement (the “Stock Exchange Agreement”) with the selling stockholders named therein. Pursuant to the terms of the Stock Exchange Agreement and concurrently with entering into such agreement, the Company acquired all of the issued and outstanding shares of capital stock of Comtrafo Indústria de Transformadores Elétricos S.A. ("Comtrafo") (the "Comtrafo Acquisition"). Additionally, the Company has agreed to pay the selling stockholders of  Comtrafo  an additional amount up to 382.5 million Brazilian Real of cash upon the achievement of specified earnings before interest, taxes, depreciation, and amortization ("EBITDA") objectives during the </w:t>
      </w:r>
      <w:r>
        <w:rPr>
          <w:rStyle w:val="Emphasis"/>
          <w:rFonts w:ascii="Times New Roman;Times;serif" w:hAnsi="Times New Roman;Times;serif"/>
          <w:sz w:val="20"/>
        </w:rPr>
        <w:t>three</w:t>
      </w:r>
      <w:r>
        <w:rPr>
          <w:rFonts w:ascii="Times New Roman;Times;serif" w:hAnsi="Times New Roman;Times;serif"/>
          <w:sz w:val="20"/>
        </w:rPr>
        <w:t xml:space="preserve"> years following the Comtrafo Acquisition Date. This contingent consideration is recorded as a liability based on a Monte Carlo simulation to determine fair value at the time of issuance and on a recurring basis at each reporting period. Comtrafo is a Brazil-based manufacturer of large power and distribution transformers primarily for utility customers and also for industrial customers.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Comtrafo Acquisition has been accounted for under the purchase method of accounting in accordance with ASC </w:t>
      </w:r>
      <w:r>
        <w:rPr>
          <w:rStyle w:val="Emphasis"/>
          <w:rFonts w:ascii="Times New Roman;Times;serif" w:hAnsi="Times New Roman;Times;serif"/>
          <w:sz w:val="20"/>
        </w:rPr>
        <w:t>805,</w:t>
      </w:r>
      <w:r>
        <w:rPr>
          <w:rFonts w:ascii="Times New Roman;Times;serif" w:hAnsi="Times New Roman;Times;serif"/>
          <w:sz w:val="20"/>
        </w:rPr>
        <w:t xml:space="preserve"> </w:t>
      </w:r>
      <w:r>
        <w:rPr>
          <w:rFonts w:ascii="Times New Roman;Times;serif" w:hAnsi="Times New Roman;Times;serif"/>
          <w:i/>
          <w:sz w:val="20"/>
        </w:rPr>
        <w:t>Business Combinations</w:t>
      </w:r>
      <w:r>
        <w:rPr>
          <w:rFonts w:ascii="Times New Roman;Times;serif" w:hAnsi="Times New Roman;Times;serif"/>
          <w:sz w:val="20"/>
        </w:rPr>
        <w:t xml:space="preserve">. The Company allocated the purchase price on a preliminary basis using the information available as of </w:t>
      </w:r>
      <w:r>
        <w:rPr>
          <w:rStyle w:val="Emphasis"/>
          <w:rFonts w:ascii="Times New Roman;Times;serif" w:hAnsi="Times New Roman;Times;serif"/>
          <w:sz w:val="20"/>
        </w:rPr>
        <w:t>December 5,</w:t>
      </w:r>
      <w:r>
        <w:rPr>
          <w:rFonts w:ascii="Times New Roman;Times;serif" w:hAnsi="Times New Roman;Times;serif"/>
          <w:sz w:val="20"/>
        </w:rPr>
        <w:t xml:space="preserve"> </w:t>
      </w:r>
      <w:r>
        <w:rPr>
          <w:rStyle w:val="Emphasis"/>
          <w:rFonts w:ascii="Times New Roman;Times;serif" w:hAnsi="Times New Roman;Times;serif"/>
          <w:sz w:val="20"/>
        </w:rPr>
        <w:t>2025</w:t>
      </w:r>
      <w:r>
        <w:rPr>
          <w:rFonts w:ascii="Times New Roman;Times;serif" w:hAnsi="Times New Roman;Times;serif"/>
          <w:sz w:val="20"/>
        </w:rPr>
        <w:t xml:space="preserve"> to the assets acquired and liabilities assumed at their estimated fair values as of the date of acquisition. Due to the timing of the completion of the acquisition, the purchase price and related allocation are preliminary and could be revised as a result of adjustments made to the purchase price, and revisions of provisional estimates of fair values of deferred taxes, contingent consideration and intangible asset balances. Changes to the purchase price allocation could be significant. The purchase price allocation will be finalized within the measurement period of up to </w:t>
      </w:r>
      <w:r>
        <w:rPr>
          <w:rStyle w:val="Emphasis"/>
          <w:rFonts w:ascii="Times New Roman;Times;serif" w:hAnsi="Times New Roman;Times;serif"/>
          <w:sz w:val="20"/>
        </w:rPr>
        <w:t>one</w:t>
      </w:r>
      <w:r>
        <w:rPr>
          <w:rFonts w:ascii="Times New Roman;Times;serif" w:hAnsi="Times New Roman;Times;serif"/>
          <w:sz w:val="20"/>
        </w:rPr>
        <w:t xml:space="preserve"> year from the acquisition. The excess of the purchase price paid by the Company over the estimated fair value of net assets acquired has been recorded as goodwill.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total purchase price of approximately $202.9 million includes the fair value of the Company’s common stock issued at closing, contingent consideration and cash paid, as follows (in millions):</w:t>
      </w:r>
    </w:p>
    <w:p>
      <w:pPr>
        <w:pStyle w:val="TextBody"/>
        <w:bidi w:val="0"/>
        <w:spacing w:before="0" w:after="0"/>
        <w:ind w:left="0" w:right="0" w:firstLine="720"/>
        <w:jc w:val="both"/>
        <w:rPr/>
      </w:pPr>
      <w:r>
        <w:rPr/>
        <w:t> </w:t>
      </w:r>
    </w:p>
    <w:tbl>
      <w:tblPr>
        <w:tblW w:w="5475" w:type="dxa"/>
        <w:jc w:val="left"/>
        <w:tblInd w:w="0" w:type="dxa"/>
        <w:tblLayout w:type="fixed"/>
        <w:tblCellMar>
          <w:top w:w="0" w:type="dxa"/>
          <w:left w:w="0" w:type="dxa"/>
          <w:bottom w:w="0" w:type="dxa"/>
          <w:right w:w="0" w:type="dxa"/>
        </w:tblCellMar>
      </w:tblPr>
      <w:tblGrid>
        <w:gridCol w:w="4745"/>
        <w:gridCol w:w="60"/>
        <w:gridCol w:w="125"/>
        <w:gridCol w:w="485"/>
        <w:gridCol w:w="60"/>
      </w:tblGrid>
      <w:tr>
        <w:trPr/>
        <w:tc>
          <w:tcPr>
            <w:tcW w:w="4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6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2,417,142 shares of Company’s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w:t>
            </w:r>
          </w:p>
        </w:tc>
        <w:tc>
          <w:tcPr>
            <w:tcW w:w="6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6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At the Comtrafo Acquisition Date, in addition to the $88.3 million cash, the Company valued the Company’s common stock at $33.01 per share, which was the opening price on that date. Comtrafo Acquisition costs of $1.2 million were included in selling, general, and administrative (“SG&amp;A”) for the fiscal year ended </w:t>
      </w:r>
      <w:r>
        <w:rPr>
          <w:rStyle w:val="Emphasis"/>
          <w:rFonts w:ascii="Times New Roman;Times;serif" w:hAnsi="Times New Roman;Times;serif"/>
          <w:sz w:val="20"/>
        </w:rPr>
        <w:t xml:space="preserve"> March 31, 2026. </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allocation of the purchase price based on the estimated fair values of the assets acquired and liabilities assumed and related deferred income taxes in connection with the Comtrafo Acquisition as of the Comtrafo Acquisition Date: (in millions)</w:t>
      </w:r>
    </w:p>
    <w:p>
      <w:pPr>
        <w:pStyle w:val="TextBody"/>
        <w:bidi w:val="0"/>
        <w:spacing w:before="0" w:after="0"/>
        <w:ind w:left="0" w:right="0" w:firstLine="720"/>
        <w:jc w:val="left"/>
        <w:rPr/>
      </w:pPr>
      <w:r>
        <w:rPr/>
        <w:t> </w:t>
      </w:r>
    </w:p>
    <w:tbl>
      <w:tblPr>
        <w:tblW w:w="4580" w:type="dxa"/>
        <w:jc w:val="left"/>
        <w:tblInd w:w="0" w:type="dxa"/>
        <w:tblLayout w:type="fixed"/>
        <w:tblCellMar>
          <w:top w:w="0" w:type="dxa"/>
          <w:left w:w="0" w:type="dxa"/>
          <w:bottom w:w="0" w:type="dxa"/>
          <w:right w:w="0" w:type="dxa"/>
        </w:tblCellMar>
      </w:tblPr>
      <w:tblGrid>
        <w:gridCol w:w="3830"/>
        <w:gridCol w:w="60"/>
        <w:gridCol w:w="125"/>
        <w:gridCol w:w="485"/>
        <w:gridCol w:w="80"/>
      </w:tblGrid>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current and long-term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tangible assets/(liabilities)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identifiable intangible assets/(liabilities)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purchase consideration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fair value of the financial assets acquired includes receivables with a fair value of $6.9 million. The gross amount due is $10.5 million, of which $3.6 million is expected to be uncollectible. The Company adjusted the fair value for receivables that exceeded a year.</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Inventory includes a $1.5 million adjustment to step-up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inventory step-up adjustment increased cost of revenue $</w:t>
      </w:r>
      <w:r>
        <w:rPr>
          <w:rFonts w:ascii="Times New Roman;Times;serif" w:hAnsi="Times New Roman;Times;serif"/>
          <w:sz w:val="20"/>
          <w:shd w:fill="FFFFFF" w:val="clear"/>
        </w:rPr>
        <w:t>0.8 </w:t>
      </w:r>
      <w:r>
        <w:rPr>
          <w:rFonts w:ascii="Times New Roman;Times;serif" w:hAnsi="Times New Roman;Times;serif"/>
          <w:sz w:val="20"/>
        </w:rPr>
        <w:t xml:space="preserve">million in the fiscal year ended </w:t>
      </w:r>
      <w:r>
        <w:rPr>
          <w:rStyle w:val="Emphasis"/>
          <w:rFonts w:ascii="Times New Roman;Times;serif" w:hAnsi="Times New Roman;Times;serif"/>
          <w:sz w:val="20"/>
        </w:rPr>
        <w:t xml:space="preserve">March 31, 2026, </w:t>
      </w:r>
      <w:r>
        <w:rPr>
          <w:rFonts w:ascii="Times New Roman;Times;serif" w:hAnsi="Times New Roman;Times;serif"/>
          <w:sz w:val="20"/>
        </w:rPr>
        <w:t xml:space="preserve">as the inventory was sold. The inventory step-up adjustment increased cost of revenue $0.7 million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The inventory step-up has been fully recognized to cost of revenue as of </w:t>
      </w:r>
      <w:r>
        <w:rPr>
          <w:rStyle w:val="Emphasis"/>
          <w:rFonts w:ascii="Times New Roman;Times;serif" w:hAnsi="Times New Roman;Times;serif"/>
          <w:sz w:val="20"/>
        </w:rPr>
        <w:t>June 30, 2026</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part of the Comtrafo Acquisition, the Company identified </w:t>
      </w:r>
      <w:r>
        <w:rPr>
          <w:rStyle w:val="Emphasis"/>
          <w:rFonts w:ascii="Times New Roman;Times;serif" w:hAnsi="Times New Roman;Times;serif"/>
          <w:sz w:val="20"/>
        </w:rPr>
        <w:t>three</w:t>
      </w:r>
      <w:r>
        <w:rPr>
          <w:rFonts w:ascii="Times New Roman;Times;serif" w:hAnsi="Times New Roman;Times;serif"/>
          <w:sz w:val="20"/>
        </w:rPr>
        <w:t xml:space="preserve"> debt agreements that Comtrafo had entered into prior to the Comtrafo Acquisition Date. The debt agreements totaling $8.8 million were subsequently paid off during the fiscal year ended </w:t>
      </w:r>
      <w:r>
        <w:rPr>
          <w:rStyle w:val="Emphasis"/>
          <w:rFonts w:ascii="Times New Roman;Times;serif" w:hAnsi="Times New Roman;Times;serif"/>
          <w:sz w:val="20"/>
        </w:rPr>
        <w:t>March 31, 2026.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Backlog of $2.6 million was evaluated using the multi period excess earnings method under the income approach. The contracts do </w:t>
      </w:r>
      <w:r>
        <w:rPr>
          <w:rStyle w:val="Emphasis"/>
          <w:rFonts w:ascii="Times New Roman;Times;serif" w:hAnsi="Times New Roman;Times;serif"/>
          <w:sz w:val="20"/>
        </w:rPr>
        <w:t>not</w:t>
      </w:r>
      <w:r>
        <w:rPr>
          <w:rFonts w:ascii="Times New Roman;Times;serif" w:hAnsi="Times New Roman;Times;serif"/>
          <w:sz w:val="20"/>
        </w:rPr>
        <w:t xml:space="preserve"> provide for any guarantees to source all future requirements from the Company. The amortization method being utilized is economic consumption estimated over a sixteen-month period with the expense being allocated to cost of revenues.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Customer relationships of $7.9 million relate to customers currently under contract and was based on a multi period excess earnings method under the income approach. The method of amortization being utilized is the economic consumption over 5 years with the expense being allocated to SG&amp;A.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Goodwill represents the value associated with the acquired workforce and expected synergies related to the business combination of the </w:t>
      </w:r>
      <w:r>
        <w:rPr>
          <w:rStyle w:val="Emphasis"/>
          <w:rFonts w:ascii="Times New Roman;Times;serif" w:hAnsi="Times New Roman;Times;serif"/>
          <w:sz w:val="20"/>
        </w:rPr>
        <w:t>two</w:t>
      </w:r>
      <w:r>
        <w:rPr>
          <w:rFonts w:ascii="Times New Roman;Times;serif" w:hAnsi="Times New Roman;Times;serif"/>
          <w:sz w:val="20"/>
        </w:rPr>
        <w:t xml:space="preserve"> companies. Goodwill resulting from the Comtrafo Acquisition was assigned to the Company's Grid segment. Goodwill recognized in the Comtrafo Acquisition is </w:t>
      </w:r>
      <w:r>
        <w:rPr>
          <w:rStyle w:val="Emphasis"/>
          <w:rFonts w:ascii="Times New Roman;Times;serif" w:hAnsi="Times New Roman;Times;serif"/>
          <w:sz w:val="20"/>
        </w:rPr>
        <w:t>not</w:t>
      </w:r>
      <w:r>
        <w:rPr>
          <w:rFonts w:ascii="Times New Roman;Times;serif" w:hAnsi="Times New Roman;Times;serif"/>
          <w:sz w:val="20"/>
        </w:rPr>
        <w:t xml:space="preserve"> deductible for tax purposes. The $1.1 million of deferred tax asset is primarily related to basis difference of intangibles, inventory and property, plant, and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60" w:right="0" w:hanging="180"/>
        <w:jc w:val="left"/>
        <w:rPr>
          <w:rFonts w:ascii="Times New Roman" w:hAnsi="Times New Roman"/>
          <w:i/>
          <w:caps w:val="false"/>
          <w:smallCaps w:val="false"/>
          <w:sz w:val="20"/>
        </w:rPr>
      </w:pPr>
      <w:r>
        <w:rPr>
          <w:rFonts w:ascii="Times New Roman" w:hAnsi="Times New Roman"/>
          <w:i/>
          <w:caps w:val="false"/>
          <w:smallCaps w:val="false"/>
          <w:sz w:val="20"/>
        </w:rPr>
        <w:t>Unaudited Pro Forma Operating Results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unaudited pro forma condensed consolidated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presented as if the Comtrafo Acquisition had occurred on </w:t>
      </w:r>
      <w:r>
        <w:rPr>
          <w:rStyle w:val="Emphasis"/>
          <w:rFonts w:ascii="Times New Roman" w:hAnsi="Times New Roman"/>
          <w:caps w:val="false"/>
          <w:smallCaps w:val="false"/>
          <w:sz w:val="20"/>
        </w:rPr>
        <w:t xml:space="preserve">April 1, 2025, </w:t>
      </w:r>
      <w:r>
        <w:rPr>
          <w:rFonts w:ascii="Times New Roman" w:hAnsi="Times New Roman"/>
          <w:caps w:val="false"/>
          <w:smallCaps w:val="false"/>
          <w:sz w:val="20"/>
        </w:rPr>
        <w:t>is as follows:</w:t>
      </w:r>
    </w:p>
    <w:p>
      <w:pPr>
        <w:pStyle w:val="TextBody"/>
        <w:bidi w:val="0"/>
        <w:spacing w:before="0" w:after="0"/>
        <w:ind w:left="0" w:right="0" w:firstLine="720"/>
        <w:jc w:val="both"/>
        <w:rPr>
          <w:caps w:val="false"/>
          <w:smallCaps w:val="false"/>
        </w:rPr>
      </w:pPr>
      <w:r>
        <w:rPr>
          <w:caps w:val="false"/>
          <w:smallCaps w:val="false"/>
        </w:rPr>
        <w:t> </w:t>
      </w:r>
    </w:p>
    <w:tbl>
      <w:tblPr>
        <w:tblW w:w="5094" w:type="dxa"/>
        <w:jc w:val="left"/>
        <w:tblInd w:w="0" w:type="dxa"/>
        <w:tblLayout w:type="fixed"/>
        <w:tblCellMar>
          <w:top w:w="0" w:type="dxa"/>
          <w:left w:w="0" w:type="dxa"/>
          <w:bottom w:w="0" w:type="dxa"/>
          <w:right w:w="0" w:type="dxa"/>
        </w:tblCellMar>
      </w:tblPr>
      <w:tblGrid>
        <w:gridCol w:w="2465"/>
        <w:gridCol w:w="60"/>
        <w:gridCol w:w="438"/>
        <w:gridCol w:w="2071"/>
        <w:gridCol w:w="60"/>
      </w:tblGrid>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83,129</w:t>
            </w:r>
          </w:p>
        </w:tc>
        <w:tc>
          <w:tcPr>
            <w:tcW w:w="6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10,021</w:t>
            </w:r>
          </w:p>
        </w:tc>
        <w:tc>
          <w:tcPr>
            <w:tcW w:w="6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9,291</w:t>
            </w:r>
          </w:p>
        </w:tc>
        <w:tc>
          <w:tcPr>
            <w:tcW w:w="6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20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common share</w:t>
            </w:r>
          </w:p>
        </w:tc>
        <w:tc>
          <w:tcPr>
            <w:tcW w:w="6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20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0.23</w:t>
            </w:r>
          </w:p>
        </w:tc>
        <w:tc>
          <w:tcPr>
            <w:tcW w:w="6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p>
        </w:tc>
        <w:tc>
          <w:tcPr>
            <w:tcW w:w="6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 basic</w:t>
            </w:r>
          </w:p>
        </w:tc>
        <w:tc>
          <w:tcPr>
            <w:tcW w:w="60" w:type="dxa"/>
            <w:tcBorders/>
            <w:shd w:fill="FFFFFF" w:val="cle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41,292</w:t>
            </w:r>
          </w:p>
        </w:tc>
        <w:tc>
          <w:tcPr>
            <w:tcW w:w="6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 diluted</w:t>
            </w:r>
          </w:p>
        </w:tc>
        <w:tc>
          <w:tcPr>
            <w:tcW w:w="60" w:type="dxa"/>
            <w:tcBorders/>
            <w:shd w:fill="CCEEFF" w:val="clear"/>
            <w:vAlign w:val="center"/>
          </w:tcPr>
          <w:p>
            <w:pPr>
              <w:pStyle w:val="TableContents"/>
              <w:bidi w:val="0"/>
              <w:spacing w:before="0" w:after="283"/>
              <w:jc w:val="left"/>
              <w:rPr/>
            </w:pPr>
            <w:r>
              <w:rPr/>
              <w:t> </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42,159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pro forma amounts include the historical operating results of the Company and Comtrafo with appropriate adjustments that give effect to acquisition related costs, income taxes, intangible amortization resulting from the Comtrafo Acquisition and certain conforming accounting policies of the Company. The pro forma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operating results that would have occurred if the Comtrafo Acquisition and related transactions had been completed at the beginning of the applicable period presented. In addition, the pro forma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operating results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Comtrafo contributed $19.4 million of revenue and $9.0 million in net income for the Company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Amortization expense of $</w:t>
      </w:r>
      <w:r>
        <w:rPr>
          <w:rFonts w:ascii="Times New Roman" w:hAnsi="Times New Roman"/>
          <w:caps w:val="false"/>
          <w:smallCaps w:val="false"/>
          <w:sz w:val="20"/>
          <w:shd w:fill="FFFFFF" w:val="clear"/>
        </w:rPr>
        <w:t>0.7</w:t>
      </w:r>
      <w:r>
        <w:rPr>
          <w:rFonts w:ascii="Times New Roman" w:hAnsi="Times New Roman"/>
          <w:caps w:val="false"/>
          <w:smallCaps w:val="false"/>
          <w:sz w:val="20"/>
        </w:rPr>
        <w:t xml:space="preserve"> million is included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as a result of the acquired intangible assets from the Comtrafo Acquisition.</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3.</w:t>
      </w:r>
      <w:r>
        <w:rPr>
          <w:rFonts w:ascii="Times New Roman;Times;serif" w:hAnsi="Times New Roman;Times;serif"/>
          <w:b/>
          <w:sz w:val="20"/>
        </w:rPr>
        <w:t xml:space="preserve"> Revenue Recognition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revenues in its Grid segment are derived primarily through enabling the transmission and distribution of power, providing planning services that allow it to identify power grid needs and risks, and developing ship protection systems for the U.S. Navy. The Company’s revenues in its Wind segment are derived primarily through supplying advanced power electronics and control systems, licensing its highly engineered wind turbine designs, and providing extensive customer support services to wind turbine manufacturers. The Company records revenue based on a </w:t>
      </w:r>
      <w:r>
        <w:rPr>
          <w:rStyle w:val="Emphasis"/>
          <w:rFonts w:ascii="Times New Roman;Times;serif" w:hAnsi="Times New Roman;Times;serif"/>
          <w:sz w:val="20"/>
        </w:rPr>
        <w:t>five</w:t>
      </w:r>
      <w:r>
        <w:rPr>
          <w:rFonts w:ascii="Times New Roman;Times;serif" w:hAnsi="Times New Roman;Times;serif"/>
          <w:sz w:val="20"/>
        </w:rPr>
        <w:t xml:space="preserve">-step model in accordance with Accounting Standards Codification (“ASC”) </w:t>
      </w:r>
      <w:r>
        <w:rPr>
          <w:rStyle w:val="Emphasis"/>
          <w:rFonts w:ascii="Times New Roman;Times;serif" w:hAnsi="Times New Roman;Times;serif"/>
          <w:sz w:val="20"/>
        </w:rPr>
        <w:t>606.</w:t>
      </w:r>
      <w:r>
        <w:rPr>
          <w:rFonts w:ascii="Times New Roman;Times;serif" w:hAnsi="Times New Roman;Times;serif"/>
          <w:sz w:val="20"/>
        </w:rPr>
        <w:t xml:space="preserve">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93% of revenue was recognized at the point in time when control transferred to the customer, with the remainder being recognized over time.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91% of revenue was recognized at the point in time when control transferred to the customer, with the remainder being recognized over time.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 the Company's product sales,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 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94% of revenue was recognized related to the sales of product, with the remainder being recognized based on the performance of service.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93% of revenue was recognized related to the sales of product, with the remainder being recognized based on the performance of service.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Included in the Company's performance of services, there are several different types of transactions and each begins with a contract with a customer that summarizes each product sold to a customer, which typically represents distinct performance obligations. Included in the business segment line there are technology development transactions that are primarily for activities that have </w:t>
      </w:r>
      <w:r>
        <w:rPr>
          <w:rStyle w:val="Emphasis"/>
          <w:rFonts w:ascii="Times New Roman" w:hAnsi="Times New Roman"/>
          <w:caps w:val="false"/>
          <w:smallCaps w:val="false"/>
          <w:sz w:val="20"/>
        </w:rPr>
        <w:t>no</w:t>
      </w:r>
      <w:r>
        <w:rPr>
          <w:rFonts w:ascii="Times New Roman" w:hAnsi="Times New Roman"/>
          <w:caps w:val="false"/>
          <w:smallCaps w:val="false"/>
          <w:sz w:val="20"/>
        </w:rPr>
        <w:t>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 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w:t>
      </w:r>
      <w:r>
        <w:rPr>
          <w:rStyle w:val="Emphasis"/>
          <w:rFonts w:ascii="Times New Roman" w:hAnsi="Times New Roman"/>
          <w:caps w:val="false"/>
          <w:smallCaps w:val="false"/>
          <w:sz w:val="20"/>
        </w:rPr>
        <w:t>not</w:t>
      </w:r>
      <w:r>
        <w:rPr>
          <w:rFonts w:ascii="Times New Roman" w:hAnsi="Times New Roman"/>
          <w:caps w:val="false"/>
          <w:smallCaps w:val="false"/>
          <w:sz w:val="20"/>
        </w:rPr>
        <w: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w:t>
      </w:r>
      <w:r>
        <w:rPr>
          <w:rStyle w:val="Emphasis"/>
          <w:rFonts w:ascii="Times New Roman" w:hAnsi="Times New Roman"/>
          <w:caps w:val="false"/>
          <w:smallCaps w:val="false"/>
          <w:sz w:val="20"/>
        </w:rPr>
        <w:t>not</w:t>
      </w:r>
      <w:r>
        <w:rPr>
          <w:rFonts w:ascii="Times New Roman" w:hAnsi="Times New Roman"/>
          <w:caps w:val="false"/>
          <w:smallCaps w:val="false"/>
          <w:sz w:val="20"/>
        </w:rPr>
        <w:t> assured and a contract does </w:t>
      </w:r>
      <w:r>
        <w:rPr>
          <w:rStyle w:val="Emphasis"/>
          <w:rFonts w:ascii="Times New Roman" w:hAnsi="Times New Roman"/>
          <w:caps w:val="false"/>
          <w:smallCaps w:val="false"/>
          <w:sz w:val="20"/>
        </w:rPr>
        <w:t>not</w:t>
      </w:r>
      <w:r>
        <w:rPr>
          <w:rFonts w:ascii="Times New Roman" w:hAnsi="Times New Roman"/>
          <w:caps w:val="false"/>
          <w:smallCaps w:val="false"/>
          <w:sz w:val="20"/>
        </w:rPr>
        <w:t> exist under ASC </w:t>
      </w:r>
      <w:r>
        <w:rPr>
          <w:rStyle w:val="Emphasis"/>
          <w:rFonts w:ascii="Times New Roman" w:hAnsi="Times New Roman"/>
          <w:caps w:val="false"/>
          <w:smallCaps w:val="false"/>
          <w:sz w:val="20"/>
        </w:rPr>
        <w:t>606,</w:t>
      </w:r>
      <w:r>
        <w:rPr>
          <w:rFonts w:ascii="Times New Roman" w:hAnsi="Times New Roman"/>
          <w:caps w:val="false"/>
          <w:smallCaps w:val="false"/>
          <w:sz w:val="20"/>
        </w:rPr>
        <w:t> revenue is deferred until a non-refundable payment has been received for substantially all the amount that is due and there are </w:t>
      </w:r>
      <w:r>
        <w:rPr>
          <w:rStyle w:val="Emphasis"/>
          <w:rFonts w:ascii="Times New Roman" w:hAnsi="Times New Roman"/>
          <w:caps w:val="false"/>
          <w:smallCaps w:val="false"/>
          <w:sz w:val="20"/>
        </w:rPr>
        <w:t>no</w:t>
      </w:r>
      <w:r>
        <w:rPr>
          <w:rFonts w:ascii="Times New Roman" w:hAnsi="Times New Roman"/>
          <w:caps w:val="false"/>
          <w:smallCaps w:val="false"/>
          <w:sz w:val="20"/>
        </w:rPr>
        <w:t> further remaining performance obligations.</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policy is </w:t>
      </w:r>
      <w:r>
        <w:rPr>
          <w:rStyle w:val="Emphasis"/>
          <w:rFonts w:ascii="Times New Roman;Times;serif" w:hAnsi="Times New Roman;Times;serif"/>
          <w:sz w:val="20"/>
        </w:rPr>
        <w:t>not</w:t>
      </w:r>
      <w:r>
        <w:rPr>
          <w:rFonts w:ascii="Times New Roman;Times;serif" w:hAnsi="Times New Roman;Times;serif"/>
          <w:sz w:val="20"/>
        </w:rPr>
        <w:t xml:space="preserve">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provides assurance-type warranties on all product sales for a term of typically one to three years, and extended service-type warranties are available for purchase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w:t>
      </w:r>
      <w:r>
        <w:rPr>
          <w:rStyle w:val="Emphasis"/>
          <w:rFonts w:ascii="Times New Roman;Times;serif" w:hAnsi="Times New Roman;Times;serif"/>
          <w:sz w:val="20"/>
        </w:rPr>
        <w:t>twelve</w:t>
      </w:r>
      <w:r>
        <w:rPr>
          <w:rFonts w:ascii="Times New Roman;Times;serif" w:hAnsi="Times New Roman;Times;serif"/>
          <w:sz w:val="20"/>
        </w:rPr>
        <w:t xml:space="preserve"> months. As of </w:t>
      </w:r>
      <w:r>
        <w:rPr>
          <w:rStyle w:val="Emphasis"/>
          <w:rFonts w:ascii="Times New Roman;Times;serif" w:hAnsi="Times New Roman;Times;serif"/>
          <w:sz w:val="20"/>
        </w:rPr>
        <w:t xml:space="preserve"> June 30, 2026</w:t>
      </w:r>
      <w:r>
        <w:rPr>
          <w:rFonts w:ascii="Times New Roman;Times;serif" w:hAnsi="Times New Roman;Times;serif"/>
          <w:sz w:val="20"/>
        </w:rPr>
        <w:t xml:space="preserve"> and </w:t>
      </w:r>
      <w:r>
        <w:rPr>
          <w:rStyle w:val="Emphasis"/>
          <w:rFonts w:ascii="Times New Roman;Times;serif" w:hAnsi="Times New Roman;Times;serif"/>
          <w:sz w:val="20"/>
        </w:rPr>
        <w:t>March 31, 2026</w:t>
      </w:r>
      <w:r>
        <w:rPr>
          <w:rFonts w:ascii="Times New Roman;Times;serif" w:hAnsi="Times New Roman;Times;serif"/>
          <w:sz w:val="20"/>
        </w:rPr>
        <w:t xml:space="preserve">, the Company's capitalized incremental contract costs were </w:t>
      </w:r>
      <w:r>
        <w:rPr>
          <w:rStyle w:val="Emphasis"/>
          <w:rFonts w:ascii="Times New Roman;Times;serif" w:hAnsi="Times New Roman;Times;serif"/>
          <w:sz w:val="20"/>
        </w:rPr>
        <w:t>not</w:t>
      </w:r>
      <w:r>
        <w:rPr>
          <w:rFonts w:ascii="Times New Roman;Times;serif" w:hAnsi="Times New Roman;Times;serif"/>
          <w:sz w:val="20"/>
        </w:rPr>
        <w:t xml:space="preserve"> material. The Company has elected </w:t>
      </w:r>
      <w:r>
        <w:rPr>
          <w:rStyle w:val="Emphasis"/>
          <w:rFonts w:ascii="Times New Roman;Times;serif" w:hAnsi="Times New Roman;Times;serif"/>
          <w:sz w:val="20"/>
        </w:rPr>
        <w:t>not</w:t>
      </w:r>
      <w:r>
        <w:rPr>
          <w:rFonts w:ascii="Times New Roman;Times;serif" w:hAnsi="Times New Roman;Times;serif"/>
          <w:sz w:val="20"/>
        </w:rPr>
        <w:t xml:space="preserve"> to adjust the promised amount of consideration for the effects of a significant financing component if the period of financing is </w:t>
      </w:r>
      <w:r>
        <w:rPr>
          <w:rStyle w:val="Emphasis"/>
          <w:rFonts w:ascii="Times New Roman;Times;serif" w:hAnsi="Times New Roman;Times;serif"/>
          <w:sz w:val="20"/>
        </w:rPr>
        <w:t>twelve</w:t>
      </w:r>
      <w:r>
        <w:rPr>
          <w:rFonts w:ascii="Times New Roman;Times;serif" w:hAnsi="Times New Roman;Times;serif"/>
          <w:sz w:val="20"/>
        </w:rPr>
        <w:t xml:space="preserve"> months or less. The Company has elected to recognize revenue based on the as invoiced practical expedient if there is a right to consideration from a customer in an amount that corresponds directly with the value of the Company's performance.</w:t>
      </w:r>
    </w:p>
    <w:p>
      <w:pPr>
        <w:pStyle w:val="TextBody"/>
        <w:bidi w:val="0"/>
        <w:spacing w:before="0" w:after="0"/>
        <w:ind w:left="0" w:right="0" w:firstLine="54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contracts with customers do </w:t>
      </w:r>
      <w:r>
        <w:rPr>
          <w:rStyle w:val="Emphasis"/>
          <w:rFonts w:ascii="Times New Roman;Times;serif" w:hAnsi="Times New Roman;Times;serif"/>
          <w:sz w:val="20"/>
        </w:rPr>
        <w:t>not</w:t>
      </w:r>
      <w:r>
        <w:rPr>
          <w:rFonts w:ascii="Times New Roman;Times;serif" w:hAnsi="Times New Roman;Times;serif"/>
          <w:sz w:val="20"/>
        </w:rPr>
        <w:t xml:space="preserve"> typically include extended payment terms and </w:t>
      </w:r>
      <w:r>
        <w:rPr>
          <w:rStyle w:val="Emphasis"/>
          <w:rFonts w:ascii="Times New Roman;Times;serif" w:hAnsi="Times New Roman;Times;serif"/>
          <w:sz w:val="20"/>
        </w:rPr>
        <w:t xml:space="preserve">may </w:t>
      </w:r>
      <w:r>
        <w:rPr>
          <w:rFonts w:ascii="Times New Roman;Times;serif" w:hAnsi="Times New Roman;Times;serif"/>
          <w:sz w:val="20"/>
        </w:rPr>
        <w:t>include milestone billing over the life of the contract. Payment terms vary by contract type and type of customer and generally range from 30 to 60 days from delivery.  </w:t>
      </w:r>
    </w:p>
    <w:p>
      <w:pPr>
        <w:pStyle w:val="TextBody"/>
        <w:bidi w:val="0"/>
        <w:spacing w:before="0" w:after="0"/>
        <w:ind w:left="0" w:right="0" w:firstLine="54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shipment destination (in thousands):</w:t>
      </w:r>
    </w:p>
    <w:p>
      <w:pPr>
        <w:pStyle w:val="TextBody"/>
        <w:bidi w:val="0"/>
        <w:spacing w:before="0" w:after="0"/>
        <w:ind w:left="0" w:right="0" w:firstLine="720"/>
        <w:jc w:val="both"/>
        <w:rPr/>
      </w:pPr>
      <w:r>
        <w:rPr/>
        <w:t> </w:t>
      </w:r>
    </w:p>
    <w:tbl>
      <w:tblPr>
        <w:tblW w:w="4046" w:type="dxa"/>
        <w:jc w:val="left"/>
        <w:tblInd w:w="0" w:type="dxa"/>
        <w:tblLayout w:type="fixed"/>
        <w:tblCellMar>
          <w:top w:w="0" w:type="dxa"/>
          <w:left w:w="0" w:type="dxa"/>
          <w:bottom w:w="0" w:type="dxa"/>
          <w:right w:w="0" w:type="dxa"/>
        </w:tblCellMar>
      </w:tblPr>
      <w:tblGrid>
        <w:gridCol w:w="1220"/>
        <w:gridCol w:w="950"/>
        <w:gridCol w:w="60"/>
        <w:gridCol w:w="141"/>
        <w:gridCol w:w="669"/>
        <w:gridCol w:w="68"/>
        <w:gridCol w:w="68"/>
        <w:gridCol w:w="141"/>
        <w:gridCol w:w="669"/>
        <w:gridCol w:w="60"/>
      </w:tblGrid>
      <w:tr>
        <w:trPr/>
        <w:tc>
          <w:tcPr>
            <w:tcW w:w="122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Reportable</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Region:</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43,162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37,772</w:t>
            </w:r>
          </w:p>
        </w:tc>
        <w:tc>
          <w:tcPr>
            <w:tcW w:w="6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America</w:t>
            </w:r>
          </w:p>
        </w:tc>
        <w:tc>
          <w:tcPr>
            <w:tcW w:w="95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Grid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21,980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6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18,304</w:t>
            </w:r>
          </w:p>
        </w:tc>
        <w:tc>
          <w:tcPr>
            <w:tcW w:w="6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95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Grid</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3,763</w:t>
            </w:r>
          </w:p>
        </w:tc>
        <w:tc>
          <w:tcPr>
            <w:tcW w:w="6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76,323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60,087</w:t>
            </w:r>
          </w:p>
        </w:tc>
        <w:tc>
          <w:tcPr>
            <w:tcW w:w="6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Region:</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95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12,271</w:t>
            </w:r>
          </w:p>
        </w:tc>
        <w:tc>
          <w:tcPr>
            <w:tcW w:w="6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170" w:type="dxa"/>
            <w:gridSpan w:val="2"/>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2025</w:t>
      </w:r>
      <w:r>
        <w:rPr>
          <w:rFonts w:ascii="Times New Roman;Times;serif" w:hAnsi="Times New Roman;Times;serif"/>
          <w:sz w:val="20"/>
        </w:rPr>
        <w:t xml:space="preserve">,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w:t>
      </w:r>
      <w:r>
        <w:rPr>
          <w:rStyle w:val="Emphasis"/>
          <w:rFonts w:ascii="Times New Roman;Times;serif" w:hAnsi="Times New Roman;Times;serif"/>
          <w:sz w:val="20"/>
        </w:rPr>
        <w:t>8,</w:t>
      </w:r>
      <w:r>
        <w:rPr>
          <w:rFonts w:ascii="Times New Roman;Times;serif" w:hAnsi="Times New Roman;Times;serif"/>
          <w:sz w:val="20"/>
        </w:rPr>
        <w:t xml:space="preserve"> “Accounts Receivable” and Note </w:t>
      </w:r>
      <w:r>
        <w:rPr>
          <w:rStyle w:val="Emphasis"/>
          <w:rFonts w:ascii="Times New Roman;Times;serif" w:hAnsi="Times New Roman;Times;serif"/>
          <w:sz w:val="20"/>
        </w:rPr>
        <w:t>9,</w:t>
      </w:r>
      <w:r>
        <w:rPr>
          <w:rFonts w:ascii="Times New Roman;Times;serif" w:hAnsi="Times New Roman;Times;serif"/>
          <w:sz w:val="20"/>
        </w:rPr>
        <w:t xml:space="preserve">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190"/>
        <w:gridCol w:w="60"/>
        <w:gridCol w:w="290"/>
        <w:gridCol w:w="1522"/>
        <w:gridCol w:w="80"/>
        <w:gridCol w:w="60"/>
        <w:gridCol w:w="269"/>
        <w:gridCol w:w="1187"/>
        <w:gridCol w:w="80"/>
        <w:gridCol w:w="60"/>
        <w:gridCol w:w="198"/>
        <w:gridCol w:w="1110"/>
        <w:gridCol w:w="99"/>
      </w:tblGrid>
      <w:tr>
        <w:trPr/>
        <w:tc>
          <w:tcPr>
            <w:tcW w:w="5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Unbilled Accounts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 Liabilities</w:t>
            </w:r>
          </w:p>
        </w:tc>
        <w:tc>
          <w:tcPr>
            <w:tcW w:w="99"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 as of March 31, 2026</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93,331</w:t>
            </w:r>
          </w:p>
        </w:tc>
        <w:tc>
          <w:tcPr>
            <w:tcW w:w="99" w:type="dxa"/>
            <w:tcBorders/>
            <w:shd w:fill="CCEEFF" w:val="clear"/>
            <w:vAlign w:val="center"/>
          </w:tcPr>
          <w:p>
            <w:pPr>
              <w:pStyle w:val="TableContents"/>
              <w:bidi w:val="0"/>
              <w:spacing w:before="0" w:after="283"/>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for costs incurred to fulfill performance obligations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rStyle w:val="Emphasis"/>
              </w:rPr>
              <w:t>—</w:t>
            </w:r>
          </w:p>
        </w:tc>
        <w:tc>
          <w:tcPr>
            <w:tcW w:w="99"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customer billings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59,566</w:t>
            </w:r>
          </w:p>
        </w:tc>
        <w:tc>
          <w:tcPr>
            <w:tcW w:w="99" w:type="dxa"/>
            <w:tcBorders/>
            <w:shd w:fill="CCEEFF" w:val="clear"/>
            <w:vAlign w:val="center"/>
          </w:tcPr>
          <w:p>
            <w:pPr>
              <w:pStyle w:val="TableContents"/>
              <w:bidi w:val="0"/>
              <w:spacing w:before="0" w:after="283"/>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due to cost recognition on completed performance obligations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rStyle w:val="Emphasis"/>
              </w:rPr>
              <w:t>—</w:t>
            </w:r>
          </w:p>
        </w:tc>
        <w:tc>
          <w:tcPr>
            <w:tcW w:w="99"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(50,423</w:t>
            </w:r>
          </w:p>
        </w:tc>
        <w:tc>
          <w:tcPr>
            <w:tcW w:w="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and FX impact</w:t>
            </w:r>
          </w:p>
        </w:tc>
        <w:tc>
          <w:tcPr>
            <w:tcW w:w="60" w:type="dxa"/>
            <w:tcBorders/>
            <w:shd w:fill="FFFF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99" w:type="dxa"/>
            <w:tcBorders/>
            <w:shd w:fill="FFFFFF" w:val="clear"/>
            <w:vAlign w:val="center"/>
          </w:tcPr>
          <w:p>
            <w:pPr>
              <w:pStyle w:val="TableContents"/>
              <w:bidi w:val="0"/>
              <w:spacing w:before="0" w:after="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102,618</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190"/>
        <w:gridCol w:w="60"/>
        <w:gridCol w:w="315"/>
        <w:gridCol w:w="1497"/>
        <w:gridCol w:w="80"/>
        <w:gridCol w:w="60"/>
        <w:gridCol w:w="269"/>
        <w:gridCol w:w="1187"/>
        <w:gridCol w:w="80"/>
        <w:gridCol w:w="60"/>
        <w:gridCol w:w="210"/>
        <w:gridCol w:w="1098"/>
        <w:gridCol w:w="99"/>
      </w:tblGrid>
      <w:tr>
        <w:trPr/>
        <w:tc>
          <w:tcPr>
            <w:tcW w:w="5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Unbilled Accounts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 Liabilities</w:t>
            </w:r>
          </w:p>
        </w:tc>
        <w:tc>
          <w:tcPr>
            <w:tcW w:w="99"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as of March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3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76,133</w:t>
            </w:r>
          </w:p>
        </w:tc>
        <w:tc>
          <w:tcPr>
            <w:tcW w:w="99" w:type="dxa"/>
            <w:tcBorders/>
            <w:shd w:fill="CCEEFF" w:val="clear"/>
            <w:vAlign w:val="center"/>
          </w:tcPr>
          <w:p>
            <w:pPr>
              <w:pStyle w:val="TableContents"/>
              <w:bidi w:val="0"/>
              <w:spacing w:before="0" w:after="283"/>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for costs incurred to fulfill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315" w:type="dxa"/>
            <w:tcBorders/>
            <w:shd w:fill="FFFFFF" w:val="clear"/>
            <w:vAlign w:val="center"/>
          </w:tcPr>
          <w:p>
            <w:pPr>
              <w:pStyle w:val="TableContents"/>
              <w:bidi w:val="0"/>
              <w:spacing w:before="0" w:after="0"/>
              <w:ind w:left="0" w:right="0" w:hanging="0"/>
              <w:jc w:val="left"/>
              <w:rPr/>
            </w:pPr>
            <w:r>
              <w:rPr/>
              <w:t> </w:t>
            </w:r>
          </w:p>
        </w:tc>
        <w:tc>
          <w:tcPr>
            <w:tcW w:w="1497"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shd w:fill="FFFFFF" w:val="clear"/>
            <w:vAlign w:val="center"/>
          </w:tcPr>
          <w:p>
            <w:pPr>
              <w:pStyle w:val="TableContents"/>
              <w:bidi w:val="0"/>
              <w:spacing w:before="0" w:after="0"/>
              <w:ind w:left="0" w:right="0" w:hanging="0"/>
              <w:jc w:val="left"/>
              <w:rPr/>
            </w:pPr>
            <w:r>
              <w:rPr/>
              <w:t> </w:t>
            </w:r>
          </w:p>
        </w:tc>
        <w:tc>
          <w:tcPr>
            <w:tcW w:w="1187"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098" w:type="dxa"/>
            <w:tcBorders/>
            <w:shd w:fill="FFFFFF" w:val="clear"/>
            <w:vAlign w:val="center"/>
          </w:tcPr>
          <w:p>
            <w:pPr>
              <w:pStyle w:val="TableContents"/>
              <w:bidi w:val="0"/>
              <w:spacing w:before="0" w:after="0"/>
              <w:ind w:left="0" w:right="0" w:hanging="0"/>
              <w:jc w:val="right"/>
              <w:rPr/>
            </w:pPr>
            <w:r>
              <w:rPr>
                <w:rStyle w:val="Emphasis"/>
              </w:rPr>
              <w:t>—</w:t>
            </w:r>
          </w:p>
        </w:tc>
        <w:tc>
          <w:tcPr>
            <w:tcW w:w="99" w:type="dxa"/>
            <w:tcBorders/>
            <w:shd w:fill="FFFFFF" w:val="clear"/>
            <w:vAlign w:val="center"/>
          </w:tcPr>
          <w:p>
            <w:pPr>
              <w:pStyle w:val="TableContents"/>
              <w:bidi w:val="0"/>
              <w:spacing w:before="0" w:after="0"/>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customer billings</w:t>
            </w:r>
          </w:p>
        </w:tc>
        <w:tc>
          <w:tcPr>
            <w:tcW w:w="60"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pPr>
            <w:r>
              <w:rPr/>
              <w:t> </w:t>
            </w:r>
          </w:p>
        </w:tc>
        <w:tc>
          <w:tcPr>
            <w:tcW w:w="1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pPr>
            <w:r>
              <w:rPr/>
              <w:t> </w:t>
            </w:r>
          </w:p>
        </w:tc>
        <w:tc>
          <w:tcPr>
            <w:tcW w:w="1187"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30,863</w:t>
            </w:r>
          </w:p>
        </w:tc>
        <w:tc>
          <w:tcPr>
            <w:tcW w:w="99" w:type="dxa"/>
            <w:tcBorders/>
            <w:shd w:fill="CCEEFF" w:val="clear"/>
            <w:vAlign w:val="center"/>
          </w:tcPr>
          <w:p>
            <w:pPr>
              <w:pStyle w:val="TableContents"/>
              <w:bidi w:val="0"/>
              <w:spacing w:before="0" w:after="0"/>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due to cost recognition on completed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315" w:type="dxa"/>
            <w:tcBorders/>
            <w:shd w:fill="FFFFFF" w:val="clear"/>
            <w:vAlign w:val="center"/>
          </w:tcPr>
          <w:p>
            <w:pPr>
              <w:pStyle w:val="TableContents"/>
              <w:bidi w:val="0"/>
              <w:spacing w:before="0" w:after="0"/>
              <w:ind w:left="0" w:right="0" w:hanging="0"/>
              <w:jc w:val="left"/>
              <w:rPr/>
            </w:pPr>
            <w:r>
              <w:rPr/>
              <w:t> </w:t>
            </w:r>
          </w:p>
        </w:tc>
        <w:tc>
          <w:tcPr>
            <w:tcW w:w="1497"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shd w:fill="FFFFFF" w:val="clear"/>
            <w:vAlign w:val="center"/>
          </w:tcPr>
          <w:p>
            <w:pPr>
              <w:pStyle w:val="TableContents"/>
              <w:bidi w:val="0"/>
              <w:spacing w:before="0" w:after="0"/>
              <w:ind w:left="0" w:right="0" w:hanging="0"/>
              <w:jc w:val="left"/>
              <w:rPr/>
            </w:pPr>
            <w:r>
              <w:rPr/>
              <w:t> </w:t>
            </w:r>
          </w:p>
        </w:tc>
        <w:tc>
          <w:tcPr>
            <w:tcW w:w="1187"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098" w:type="dxa"/>
            <w:tcBorders/>
            <w:shd w:fill="FFFFFF" w:val="clear"/>
            <w:vAlign w:val="center"/>
          </w:tcPr>
          <w:p>
            <w:pPr>
              <w:pStyle w:val="TableContents"/>
              <w:bidi w:val="0"/>
              <w:spacing w:before="0" w:after="0"/>
              <w:ind w:left="0" w:right="0" w:hanging="0"/>
              <w:jc w:val="right"/>
              <w:rPr/>
            </w:pPr>
            <w:r>
              <w:rPr>
                <w:rStyle w:val="Emphasis"/>
              </w:rPr>
              <w:t>—</w:t>
            </w:r>
          </w:p>
        </w:tc>
        <w:tc>
          <w:tcPr>
            <w:tcW w:w="99" w:type="dxa"/>
            <w:tcBorders/>
            <w:shd w:fill="FFFFFF" w:val="clear"/>
            <w:vAlign w:val="center"/>
          </w:tcPr>
          <w:p>
            <w:pPr>
              <w:pStyle w:val="TableContents"/>
              <w:bidi w:val="0"/>
              <w:spacing w:before="0" w:after="0"/>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pPr>
            <w:r>
              <w:rPr/>
              <w:t> </w:t>
            </w:r>
          </w:p>
        </w:tc>
        <w:tc>
          <w:tcPr>
            <w:tcW w:w="14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pPr>
            <w:r>
              <w:rPr/>
              <w:t> </w:t>
            </w:r>
          </w:p>
        </w:tc>
        <w:tc>
          <w:tcPr>
            <w:tcW w:w="1187"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(32,108</w:t>
            </w:r>
          </w:p>
        </w:tc>
        <w:tc>
          <w:tcPr>
            <w:tcW w:w="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and FX impact</w:t>
            </w:r>
          </w:p>
        </w:tc>
        <w:tc>
          <w:tcPr>
            <w:tcW w:w="60" w:type="dxa"/>
            <w:tcBorders/>
            <w:shd w:fill="FFFFFF" w:val="clear"/>
            <w:vAlign w:val="center"/>
          </w:tcPr>
          <w:p>
            <w:pPr>
              <w:pStyle w:val="TableContents"/>
              <w:bidi w:val="0"/>
              <w:spacing w:before="0" w:after="0"/>
              <w:ind w:left="0" w:right="0" w:hanging="0"/>
              <w:jc w:val="left"/>
              <w:rPr/>
            </w:pPr>
            <w:r>
              <w:rPr/>
              <w:t> </w:t>
            </w:r>
          </w:p>
        </w:tc>
        <w:tc>
          <w:tcPr>
            <w:tcW w:w="3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99" w:type="dxa"/>
            <w:tcBorders/>
            <w:shd w:fill="FFFFFF" w:val="clear"/>
            <w:vAlign w:val="center"/>
          </w:tcPr>
          <w:p>
            <w:pPr>
              <w:pStyle w:val="TableContents"/>
              <w:bidi w:val="0"/>
              <w:spacing w:before="0" w:after="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75,891</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The Company’s remaining performance obligations represent the unrecognized revenue value of the Company’s contractual commitments. The Company’s performance obligations </w:t>
      </w:r>
      <w:r>
        <w:rPr>
          <w:rStyle w:val="Emphasis"/>
          <w:rFonts w:ascii="Times New Roman;Times;serif" w:hAnsi="Times New Roman;Times;serif"/>
          <w:sz w:val="20"/>
        </w:rPr>
        <w:t xml:space="preserve">may </w:t>
      </w:r>
      <w:r>
        <w:rPr>
          <w:rFonts w:ascii="Times New Roman;Times;serif" w:hAnsi="Times New Roman;Times;serif"/>
          <w:sz w:val="20"/>
        </w:rPr>
        <w:t xml:space="preserve">vary significantly each reporting period based on the timing of major new contractual commitments. As of </w:t>
      </w:r>
      <w:r>
        <w:rPr>
          <w:rStyle w:val="Emphasis"/>
          <w:rFonts w:ascii="Times New Roman;Times;serif" w:hAnsi="Times New Roman;Times;serif"/>
          <w:sz w:val="20"/>
        </w:rPr>
        <w:t>June 30, 2026</w:t>
      </w:r>
      <w:r>
        <w:rPr>
          <w:rFonts w:ascii="Times New Roman;Times;serif" w:hAnsi="Times New Roman;Times;serif"/>
          <w:sz w:val="20"/>
        </w:rPr>
        <w:t xml:space="preserve">, the Company had outstanding performance obligations on existing contracts under ASC </w:t>
      </w:r>
      <w:r>
        <w:rPr>
          <w:rStyle w:val="Emphasis"/>
          <w:rFonts w:ascii="Times New Roman;Times;serif" w:hAnsi="Times New Roman;Times;serif"/>
          <w:sz w:val="20"/>
        </w:rPr>
        <w:t>606</w:t>
      </w:r>
      <w:r>
        <w:rPr>
          <w:rFonts w:ascii="Times New Roman;Times;serif" w:hAnsi="Times New Roman;Times;serif"/>
          <w:sz w:val="20"/>
        </w:rPr>
        <w:t xml:space="preserve"> to be recognized in the next twelve months of approximately $301.8 </w:t>
      </w:r>
      <w:r>
        <w:rPr>
          <w:rFonts w:ascii="Times New Roman;Times;serif" w:hAnsi="Times New Roman;Times;serif"/>
          <w:sz w:val="20"/>
          <w:shd w:fill="FFFFFF" w:val="clear"/>
        </w:rPr>
        <w:t>million</w:t>
      </w:r>
      <w:r>
        <w:rPr>
          <w:rFonts w:ascii="Times New Roman;Times;serif" w:hAnsi="Times New Roman;Times;serif"/>
          <w:sz w:val="20"/>
        </w:rPr>
        <w:t>. There are also approximately $118.8 m</w:t>
      </w:r>
      <w:r>
        <w:rPr>
          <w:rFonts w:ascii="Times New Roman;Times;serif" w:hAnsi="Times New Roman;Times;serif"/>
          <w:sz w:val="20"/>
          <w:shd w:fill="FFFFFF" w:val="clear"/>
        </w:rPr>
        <w:t>illion o</w:t>
      </w:r>
      <w:r>
        <w:rPr>
          <w:rFonts w:ascii="Times New Roman;Times;serif" w:hAnsi="Times New Roman;Times;serif"/>
          <w:sz w:val="20"/>
        </w:rPr>
        <w:t>f outstanding performance obligations to be recognized over a period of thirteen to sixty months. The remaining performance obligations are subject to customer actions and therefore the timing of revenue recognition cannot be reasonably estimated. </w:t>
      </w:r>
    </w:p>
    <w:p>
      <w:pPr>
        <w:pStyle w:val="TextBody"/>
        <w:bidi w:val="0"/>
        <w:spacing w:before="0" w:after="0"/>
        <w:ind w:left="0" w:right="0" w:firstLine="555"/>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following table sets forth customers who represented </w:t>
      </w:r>
      <w:r>
        <w:rPr>
          <w:rStyle w:val="Emphasis"/>
          <w:rFonts w:ascii="Times New Roman;Times;serif" w:hAnsi="Times New Roman;Times;serif"/>
          <w:sz w:val="20"/>
        </w:rPr>
        <w:t>10%</w:t>
      </w:r>
      <w:r>
        <w:rPr>
          <w:rFonts w:ascii="Times New Roman;Times;serif" w:hAnsi="Times New Roman;Times;serif"/>
          <w:sz w:val="20"/>
        </w:rPr>
        <w:t xml:space="preserve"> or more of the Company’s total revenues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w:t>
      </w:r>
    </w:p>
    <w:p>
      <w:pPr>
        <w:pStyle w:val="TextBody"/>
        <w:bidi w:val="0"/>
        <w:spacing w:before="0" w:after="0"/>
        <w:ind w:left="0" w:right="0" w:hanging="0"/>
        <w:jc w:val="left"/>
        <w:rPr/>
      </w:pPr>
      <w:r>
        <w:rPr/>
        <w:t> </w:t>
      </w:r>
    </w:p>
    <w:tbl>
      <w:tblPr>
        <w:tblW w:w="4579" w:type="dxa"/>
        <w:jc w:val="left"/>
        <w:tblInd w:w="0" w:type="dxa"/>
        <w:tblLayout w:type="fixed"/>
        <w:tblCellMar>
          <w:top w:w="0" w:type="dxa"/>
          <w:left w:w="0" w:type="dxa"/>
          <w:bottom w:w="0" w:type="dxa"/>
          <w:right w:w="0" w:type="dxa"/>
        </w:tblCellMar>
      </w:tblPr>
      <w:tblGrid>
        <w:gridCol w:w="1580"/>
        <w:gridCol w:w="965"/>
        <w:gridCol w:w="60"/>
        <w:gridCol w:w="130"/>
        <w:gridCol w:w="499"/>
        <w:gridCol w:w="401"/>
        <w:gridCol w:w="130"/>
        <w:gridCol w:w="130"/>
        <w:gridCol w:w="499"/>
        <w:gridCol w:w="185"/>
      </w:tblGrid>
      <w:tr>
        <w:trPr/>
        <w:tc>
          <w:tcPr>
            <w:tcW w:w="15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ind w:left="0" w:right="0" w:hanging="0"/>
              <w:jc w:val="left"/>
              <w:rPr/>
            </w:pPr>
            <w:r>
              <w:rPr/>
              <w:t> </w:t>
            </w:r>
          </w:p>
        </w:tc>
        <w:tc>
          <w:tcPr>
            <w:tcW w:w="9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Reportable</w:t>
            </w:r>
          </w:p>
        </w:tc>
        <w:tc>
          <w:tcPr>
            <w:tcW w:w="60" w:type="dxa"/>
            <w:tcBorders/>
            <w:vAlign w:val="center"/>
          </w:tcPr>
          <w:p>
            <w:pPr>
              <w:pStyle w:val="TableContents"/>
              <w:bidi w:val="0"/>
              <w:spacing w:before="0" w:after="283"/>
              <w:ind w:left="0" w:right="0" w:hanging="0"/>
              <w:jc w:val="left"/>
              <w:rPr/>
            </w:pPr>
            <w:r>
              <w:rPr/>
              <w:t> </w:t>
            </w:r>
          </w:p>
        </w:tc>
        <w:tc>
          <w:tcPr>
            <w:tcW w:w="178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ind w:left="0" w:right="0" w:hanging="0"/>
              <w:jc w:val="left"/>
              <w:rPr/>
            </w:pPr>
            <w:r>
              <w:rP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w:t>
            </w:r>
          </w:p>
        </w:tc>
        <w:tc>
          <w:tcPr>
            <w:tcW w:w="60" w:type="dxa"/>
            <w:tcBorders/>
            <w:vAlign w:val="center"/>
          </w:tcPr>
          <w:p>
            <w:pPr>
              <w:pStyle w:val="TableContents"/>
              <w:bidi w:val="0"/>
              <w:spacing w:before="0" w:after="283"/>
              <w:ind w:left="0" w:right="0" w:hanging="0"/>
              <w:jc w:val="left"/>
              <w:rPr/>
            </w:pPr>
            <w:r>
              <w:rPr/>
              <w:t> </w:t>
            </w:r>
          </w:p>
        </w:tc>
        <w:tc>
          <w:tcPr>
            <w:tcW w:w="6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401"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6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Inox Wind Limited</w:t>
            </w:r>
          </w:p>
        </w:tc>
        <w:tc>
          <w:tcPr>
            <w:tcW w:w="96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4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Fuji Bridex Pte Ltd</w:t>
            </w:r>
          </w:p>
        </w:tc>
        <w:tc>
          <w:tcPr>
            <w:tcW w:w="96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629"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&lt;10%</w:t>
            </w:r>
          </w:p>
        </w:tc>
        <w:tc>
          <w:tcPr>
            <w:tcW w:w="401"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4.</w:t>
      </w:r>
      <w:r>
        <w:rPr>
          <w:rFonts w:ascii="Times New Roman;Times;serif" w:hAnsi="Times New Roman;Times;serif"/>
          <w:b/>
          <w:sz w:val="20"/>
        </w:rPr>
        <w:t xml:space="preserve"> Stock-Based Compensation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accounts for its stock-based compensation at fair value. The following table summarizes stock-based compensation expense by financial statement line item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(in thousands):</w:t>
      </w:r>
    </w:p>
    <w:p>
      <w:pPr>
        <w:pStyle w:val="TextBody"/>
        <w:bidi w:val="0"/>
        <w:spacing w:before="0" w:after="0"/>
        <w:ind w:left="0" w:right="0" w:hanging="0"/>
        <w:jc w:val="both"/>
        <w:rPr/>
      </w:pPr>
      <w:r>
        <w:rPr/>
        <w:t> </w:t>
      </w:r>
    </w:p>
    <w:tbl>
      <w:tblPr>
        <w:tblW w:w="5511" w:type="dxa"/>
        <w:jc w:val="left"/>
        <w:tblInd w:w="0" w:type="dxa"/>
        <w:tblLayout w:type="fixed"/>
        <w:tblCellMar>
          <w:top w:w="0" w:type="dxa"/>
          <w:left w:w="0" w:type="dxa"/>
          <w:bottom w:w="0" w:type="dxa"/>
          <w:right w:w="0" w:type="dxa"/>
        </w:tblCellMar>
      </w:tblPr>
      <w:tblGrid>
        <w:gridCol w:w="2855"/>
        <w:gridCol w:w="60"/>
        <w:gridCol w:w="236"/>
        <w:gridCol w:w="919"/>
        <w:gridCol w:w="113"/>
        <w:gridCol w:w="113"/>
        <w:gridCol w:w="236"/>
        <w:gridCol w:w="919"/>
        <w:gridCol w:w="6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4,316</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3,499</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5,264</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issued 805,400 and 880,000 shares of restricted stock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respectively. The Company issued 18,245 and 39,445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respectively.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granted no stock options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The Company granted 2,112 stock options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The stock options granted during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June 30, 2025</w:t>
      </w:r>
      <w:r>
        <w:rPr>
          <w:rFonts w:ascii="Times New Roman;Times;serif" w:hAnsi="Times New Roman;Times;serif"/>
          <w:sz w:val="20"/>
        </w:rPr>
        <w:t xml:space="preserve"> will vest over 2 years. The estimated fair value of the Company’s stock-based awards, less expected annual forfeitures, is amortized over the </w:t>
      </w:r>
      <w:r>
        <w:rPr>
          <w:rFonts w:ascii="Times New Roman;Times;serif" w:hAnsi="Times New Roman;Times;serif"/>
          <w:sz w:val="20"/>
          <w:shd w:fill="FFFFFF" w:val="clear"/>
        </w:rPr>
        <w:t xml:space="preserve">awards’ service period. There were less than $0.1 million of unrecognized compensation costs for unvested stock options </w:t>
      </w:r>
      <w:r>
        <w:rPr>
          <w:rFonts w:ascii="Times New Roman;Times;serif" w:hAnsi="Times New Roman;Times;serif"/>
          <w:sz w:val="20"/>
        </w:rPr>
        <w:t>as</w:t>
      </w:r>
      <w:r>
        <w:rPr>
          <w:rFonts w:ascii="Times New Roman;Times;serif" w:hAnsi="Times New Roman;Times;serif"/>
          <w:sz w:val="20"/>
          <w:shd w:fill="FFFFFF" w:val="clear"/>
        </w:rPr>
        <w:t xml:space="preserve"> of </w:t>
      </w:r>
      <w:r>
        <w:rPr>
          <w:rStyle w:val="Emphasis"/>
          <w:rFonts w:ascii="Times New Roman;Times;serif" w:hAnsi="Times New Roman;Times;serif"/>
          <w:sz w:val="20"/>
          <w:shd w:fill="FFFFFF" w:val="clear"/>
        </w:rPr>
        <w:t>June 30, 2026</w:t>
      </w:r>
      <w:r>
        <w:rPr>
          <w:rFonts w:ascii="Times New Roman;Times;serif" w:hAnsi="Times New Roman;Times;serif"/>
          <w:sz w:val="20"/>
          <w:shd w:fill="FFFFFF" w:val="clear"/>
        </w:rPr>
        <w:t xml:space="preserve">. </w:t>
      </w:r>
      <w:r>
        <w:rPr>
          <w:rFonts w:ascii="Times New Roman;Times;serif" w:hAnsi="Times New Roman;Times;serif"/>
          <w:sz w:val="20"/>
        </w:rPr>
        <w:t xml:space="preserve">This expense will be recognized over a weighted average period of approximately 0.9 years. </w:t>
      </w:r>
      <w:r>
        <w:rPr>
          <w:rFonts w:ascii="Times New Roman;Times;serif" w:hAnsi="Times New Roman;Times;serif"/>
          <w:sz w:val="20"/>
          <w:shd w:fill="FFFFFF" w:val="clear"/>
        </w:rPr>
        <w:t xml:space="preserve">The total unrecognized compensation cost for unvested outstanding restricted stock was </w:t>
      </w:r>
      <w:r>
        <w:rPr>
          <w:rFonts w:ascii="Times New Roman;Times;serif" w:hAnsi="Times New Roman;Times;serif"/>
          <w:sz w:val="20"/>
        </w:rPr>
        <w:t>$54.4 mi</w:t>
      </w:r>
      <w:r>
        <w:rPr>
          <w:rFonts w:ascii="Times New Roman;Times;serif" w:hAnsi="Times New Roman;Times;serif"/>
          <w:sz w:val="20"/>
          <w:shd w:fill="FFFFFF" w:val="clear"/>
        </w:rPr>
        <w:t>llion as of </w:t>
      </w:r>
      <w:r>
        <w:rPr>
          <w:rStyle w:val="Emphasis"/>
          <w:rFonts w:ascii="Times New Roman;Times;serif" w:hAnsi="Times New Roman;Times;serif"/>
          <w:sz w:val="20"/>
          <w:shd w:fill="FFFFFF" w:val="clear"/>
        </w:rPr>
        <w:t xml:space="preserve"> June 30, 2026</w:t>
      </w:r>
      <w:r>
        <w:rPr>
          <w:rFonts w:ascii="Times New Roman;Times;serif" w:hAnsi="Times New Roman;Times;serif"/>
          <w:sz w:val="20"/>
          <w:shd w:fill="FFFFFF" w:val="clear"/>
        </w:rPr>
        <w:t>. This expense will be recognized over a weighted-average expense period of approximately 2.1 years.</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weighted average assumptions used in the Black Scholes valuation model for stock options granted during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June 30, 2025</w:t>
      </w:r>
      <w:r>
        <w:rPr>
          <w:rFonts w:ascii="Times New Roman;Times;serif" w:hAnsi="Times New Roman;Times;serif"/>
          <w:sz w:val="20"/>
        </w:rPr>
        <w:t> are as follows:</w:t>
      </w:r>
    </w:p>
    <w:p>
      <w:pPr>
        <w:pStyle w:val="TextBody"/>
        <w:bidi w:val="0"/>
        <w:spacing w:before="0" w:after="0"/>
        <w:ind w:left="0" w:right="0" w:hanging="0"/>
        <w:jc w:val="both"/>
        <w:rPr/>
      </w:pPr>
      <w:r>
        <w:rPr/>
        <w:t> </w:t>
      </w:r>
    </w:p>
    <w:tbl>
      <w:tblPr>
        <w:tblW w:w="4499" w:type="dxa"/>
        <w:jc w:val="left"/>
        <w:tblInd w:w="0" w:type="dxa"/>
        <w:tblLayout w:type="fixed"/>
        <w:tblCellMar>
          <w:top w:w="0" w:type="dxa"/>
          <w:left w:w="0" w:type="dxa"/>
          <w:bottom w:w="0" w:type="dxa"/>
          <w:right w:w="0" w:type="dxa"/>
        </w:tblCellMar>
      </w:tblPr>
      <w:tblGrid>
        <w:gridCol w:w="1745"/>
        <w:gridCol w:w="60"/>
        <w:gridCol w:w="274"/>
        <w:gridCol w:w="2235"/>
        <w:gridCol w:w="185"/>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2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2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(years)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2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None</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18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5.</w:t>
      </w:r>
      <w:r>
        <w:rPr>
          <w:rFonts w:ascii="Times New Roman;Times;serif" w:hAnsi="Times New Roman;Times;serif"/>
          <w:b/>
          <w:sz w:val="20"/>
        </w:rPr>
        <w:t xml:space="preserve"> Computation of Net Income per Share of Common Stock</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Basic net income per share (“EPS”) is computed by dividing net income by the weighted-average number of common shares outstanding for the period. Where applicable, diluted EPS is computed by dividing the net income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are excluded from the computation of diluted EPS as the effect of their inclusion would be anti-dilutive.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432,416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 273,822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and 158,593 were shares of restricted stock that were considered anti-dilutive.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xml:space="preserve">, 475,329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 474,517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and 812 shares relate to outstanding stock options that were considered anti-dilutive. </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The following table reconciles the numerators and denominators of the earnings per share calculation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(in thousands, except per share data):</w:t>
      </w:r>
    </w:p>
    <w:p>
      <w:pPr>
        <w:pStyle w:val="TextBody"/>
        <w:bidi w:val="0"/>
        <w:spacing w:before="0" w:after="0"/>
        <w:ind w:left="0" w:right="0" w:hanging="0"/>
        <w:jc w:val="left"/>
        <w:rPr/>
      </w:pPr>
      <w:r>
        <w:rPr/>
        <w:t> </w:t>
      </w:r>
    </w:p>
    <w:tbl>
      <w:tblPr>
        <w:tblW w:w="7151" w:type="dxa"/>
        <w:jc w:val="left"/>
        <w:tblInd w:w="0" w:type="dxa"/>
        <w:tblLayout w:type="fixed"/>
        <w:tblCellMar>
          <w:top w:w="0" w:type="dxa"/>
          <w:left w:w="0" w:type="dxa"/>
          <w:bottom w:w="0" w:type="dxa"/>
          <w:right w:w="0" w:type="dxa"/>
        </w:tblCellMar>
      </w:tblPr>
      <w:tblGrid>
        <w:gridCol w:w="4505"/>
        <w:gridCol w:w="60"/>
        <w:gridCol w:w="199"/>
        <w:gridCol w:w="943"/>
        <w:gridCol w:w="127"/>
        <w:gridCol w:w="95"/>
        <w:gridCol w:w="199"/>
        <w:gridCol w:w="943"/>
        <w:gridCol w:w="80"/>
      </w:tblGrid>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9,490</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47,926</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40,863</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subject to repurchase</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(1,931</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used in per-share calculation ― basic</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45,995</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38,875</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used in per-share calculation ― diluted</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47,124</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39,742</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6.</w:t>
      </w:r>
      <w:r>
        <w:rPr>
          <w:rFonts w:ascii="Times New Roman;Times;serif" w:hAnsi="Times New Roman;Times;serif"/>
          <w:b/>
          <w:sz w:val="20"/>
        </w:rPr>
        <w:t xml:space="preserve"> Goodwill and Other Intangibles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both"/>
        <w:rPr/>
      </w:pPr>
      <w:r>
        <w:rPr/>
        <w:t> </w:t>
      </w:r>
    </w:p>
    <w:p>
      <w:pPr>
        <w:pStyle w:val="TextBody"/>
        <w:bidi w:val="0"/>
        <w:spacing w:before="0" w:after="0"/>
        <w:ind w:left="0" w:right="0" w:firstLine="720"/>
        <w:jc w:val="left"/>
        <w:rPr/>
      </w:pPr>
      <w:r>
        <w:rPr>
          <w:rFonts w:ascii="Times New Roman" w:hAnsi="Times New Roman"/>
          <w:caps w:val="false"/>
          <w:smallCaps w:val="false"/>
          <w:sz w:val="20"/>
        </w:rPr>
        <w:t>The guidance under ASC </w:t>
      </w:r>
      <w:r>
        <w:rPr>
          <w:rStyle w:val="Emphasis"/>
          <w:rFonts w:ascii="Times New Roman" w:hAnsi="Times New Roman"/>
          <w:i/>
          <w:caps w:val="false"/>
          <w:smallCaps w:val="false"/>
          <w:sz w:val="20"/>
        </w:rPr>
        <w:t>805</w:t>
      </w:r>
      <w:r>
        <w:rPr>
          <w:rFonts w:ascii="Times New Roman" w:hAnsi="Times New Roman"/>
          <w:caps w:val="false"/>
          <w:smallCaps w:val="false"/>
          <w:sz w:val="20"/>
        </w:rPr>
        <w:t>-</w:t>
      </w:r>
      <w:r>
        <w:rPr>
          <w:rStyle w:val="Emphasis"/>
          <w:rFonts w:ascii="Times New Roman" w:hAnsi="Times New Roman"/>
          <w:i/>
          <w:caps w:val="false"/>
          <w:smallCaps w:val="false"/>
          <w:sz w:val="20"/>
        </w:rPr>
        <w:t>30,</w:t>
      </w:r>
      <w:r>
        <w:rPr>
          <w:rFonts w:ascii="Times New Roman" w:hAnsi="Times New Roman"/>
          <w:caps w:val="false"/>
          <w:smallCaps w:val="false"/>
          <w:sz w:val="20"/>
        </w:rPr>
        <w:t> </w:t>
      </w:r>
      <w:r>
        <w:rPr>
          <w:rFonts w:ascii="Times New Roman" w:hAnsi="Times New Roman"/>
          <w:i/>
          <w:caps w:val="false"/>
          <w:smallCaps w:val="false"/>
          <w:sz w:val="20"/>
        </w:rPr>
        <w:t>Business Combinations</w:t>
      </w:r>
      <w:r>
        <w:rPr>
          <w:rFonts w:ascii="Times New Roman" w:hAnsi="Times New Roman"/>
          <w:caps w:val="false"/>
          <w:smallCaps w:val="false"/>
          <w:sz w:val="20"/>
        </w:rPr>
        <w:t>, provides for the recognition of goodwill on the acquisition date measured as the excess of the aggregate consideration transferred over the net of the acquisition date amounts of net assets acquired and liabilities assumed. The Company's goodwill balance relates to the Comtrafo Acquisition in fiscal </w:t>
      </w:r>
      <w:r>
        <w:rPr>
          <w:rStyle w:val="Emphasis"/>
          <w:rFonts w:ascii="Times New Roman" w:hAnsi="Times New Roman"/>
          <w:caps w:val="false"/>
          <w:smallCaps w:val="false"/>
          <w:sz w:val="20"/>
        </w:rPr>
        <w:t>2025,</w:t>
      </w:r>
      <w:r>
        <w:rPr>
          <w:rFonts w:ascii="Times New Roman" w:hAnsi="Times New Roman"/>
          <w:caps w:val="false"/>
          <w:smallCaps w:val="false"/>
          <w:sz w:val="20"/>
        </w:rPr>
        <w:t> the NWL acquisition in fiscal </w:t>
      </w:r>
      <w:r>
        <w:rPr>
          <w:rStyle w:val="Emphasis"/>
          <w:rFonts w:ascii="Times New Roman" w:hAnsi="Times New Roman"/>
          <w:caps w:val="false"/>
          <w:smallCaps w:val="false"/>
          <w:sz w:val="20"/>
        </w:rPr>
        <w:t>2024,</w:t>
      </w:r>
      <w:r>
        <w:rPr>
          <w:rFonts w:ascii="Times New Roman" w:hAnsi="Times New Roman"/>
          <w:caps w:val="false"/>
          <w:smallCaps w:val="false"/>
          <w:sz w:val="20"/>
        </w:rPr>
        <w:t> the Neeltran acquisition in fiscal </w:t>
      </w:r>
      <w:r>
        <w:rPr>
          <w:rStyle w:val="Emphasis"/>
          <w:rFonts w:ascii="Times New Roman" w:hAnsi="Times New Roman"/>
          <w:caps w:val="false"/>
          <w:smallCaps w:val="false"/>
          <w:sz w:val="20"/>
        </w:rPr>
        <w:t>2021,</w:t>
      </w:r>
      <w:r>
        <w:rPr>
          <w:rFonts w:ascii="Times New Roman" w:hAnsi="Times New Roman"/>
          <w:caps w:val="false"/>
          <w:smallCaps w:val="false"/>
          <w:sz w:val="20"/>
        </w:rPr>
        <w:t> the NEPSI acquisition in fiscal </w:t>
      </w:r>
      <w:r>
        <w:rPr>
          <w:rStyle w:val="Emphasis"/>
          <w:rFonts w:ascii="Times New Roman" w:hAnsi="Times New Roman"/>
          <w:caps w:val="false"/>
          <w:smallCaps w:val="false"/>
          <w:sz w:val="20"/>
        </w:rPr>
        <w:t>2020,</w:t>
      </w:r>
      <w:r>
        <w:rPr>
          <w:rFonts w:ascii="Times New Roman" w:hAnsi="Times New Roman"/>
          <w:caps w:val="false"/>
          <w:smallCaps w:val="false"/>
          <w:sz w:val="20"/>
        </w:rPr>
        <w:t> and Infinia Technology Corporation acquisition in fiscal </w:t>
      </w:r>
      <w:r>
        <w:rPr>
          <w:rStyle w:val="Emphasis"/>
          <w:rFonts w:ascii="Times New Roman" w:hAnsi="Times New Roman"/>
          <w:caps w:val="false"/>
          <w:smallCaps w:val="false"/>
          <w:sz w:val="20"/>
        </w:rPr>
        <w:t>2017</w:t>
      </w:r>
      <w:r>
        <w:rPr>
          <w:rFonts w:ascii="Times New Roman" w:hAnsi="Times New Roman"/>
          <w:caps w:val="false"/>
          <w:smallCaps w:val="false"/>
          <w:sz w:val="20"/>
        </w:rPr>
        <w:t> and is reported in the Grid business segment.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144" w:firstLine="720"/>
        <w:jc w:val="both"/>
        <w:rPr/>
      </w:pPr>
      <w:r>
        <w:rPr>
          <w:rFonts w:ascii="Times New Roman;Times;serif" w:hAnsi="Times New Roman;Times;serif"/>
          <w:sz w:val="20"/>
        </w:rPr>
        <w:t xml:space="preserve">Goodwill represents the difference between the purchase price and the fair value of the identifiable tangible and intangible net assets when accounted for using the purchase method of accounting. Goodwill is </w:t>
      </w:r>
      <w:r>
        <w:rPr>
          <w:rStyle w:val="Emphasis"/>
          <w:rFonts w:ascii="Times New Roman;Times;serif" w:hAnsi="Times New Roman;Times;serif"/>
          <w:sz w:val="20"/>
        </w:rPr>
        <w:t>not</w:t>
      </w:r>
      <w:r>
        <w:rPr>
          <w:rFonts w:ascii="Times New Roman;Times;serif" w:hAnsi="Times New Roman;Times;serif"/>
          <w:sz w:val="20"/>
        </w:rPr>
        <w:t xml:space="preserve"> amortized but reviewed for impairment. Goodwill is reviewed annually on </w:t>
      </w:r>
      <w:r>
        <w:rPr>
          <w:rStyle w:val="Emphasis"/>
          <w:rFonts w:ascii="Times New Roman;Times;serif" w:hAnsi="Times New Roman;Times;serif"/>
          <w:sz w:val="20"/>
        </w:rPr>
        <w:t>February 28 </w:t>
      </w:r>
      <w:r>
        <w:rPr>
          <w:rFonts w:ascii="Times New Roman;Times;serif" w:hAnsi="Times New Roman;Times;serif"/>
          <w:sz w:val="20"/>
        </w:rPr>
        <w:t xml:space="preserve">and whenever events or changes in circumstances indicate that the carrying value of the goodwill might </w:t>
      </w:r>
      <w:r>
        <w:rPr>
          <w:rStyle w:val="Emphasis"/>
          <w:rFonts w:ascii="Times New Roman;Times;serif" w:hAnsi="Times New Roman;Times;serif"/>
          <w:sz w:val="20"/>
        </w:rPr>
        <w:t>not</w:t>
      </w:r>
      <w:r>
        <w:rPr>
          <w:rFonts w:ascii="Times New Roman;Times;serif" w:hAnsi="Times New Roman;Times;serif"/>
          <w:sz w:val="20"/>
        </w:rPr>
        <w:t xml:space="preserve"> be recoverable. Changes in the Company’s goodwill are as follows (in thousands):</w:t>
      </w:r>
    </w:p>
    <w:p>
      <w:pPr>
        <w:pStyle w:val="TextBody"/>
        <w:bidi w:val="0"/>
        <w:spacing w:before="0" w:after="0"/>
        <w:ind w:left="0" w:right="144" w:firstLine="720"/>
        <w:jc w:val="both"/>
        <w:rPr/>
      </w:pPr>
      <w:r>
        <w:rPr/>
        <w:t> </w:t>
      </w:r>
    </w:p>
    <w:tbl>
      <w:tblPr>
        <w:tblW w:w="3570" w:type="dxa"/>
        <w:jc w:val="left"/>
        <w:tblInd w:w="0" w:type="dxa"/>
        <w:tblLayout w:type="fixed"/>
        <w:tblCellMar>
          <w:top w:w="0" w:type="dxa"/>
          <w:left w:w="0" w:type="dxa"/>
          <w:bottom w:w="0" w:type="dxa"/>
          <w:right w:w="0" w:type="dxa"/>
        </w:tblCellMar>
      </w:tblPr>
      <w:tblGrid>
        <w:gridCol w:w="2630"/>
        <w:gridCol w:w="60"/>
        <w:gridCol w:w="125"/>
        <w:gridCol w:w="695"/>
        <w:gridCol w:w="60"/>
      </w:tblGrid>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48,164</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acquired – Comtrafo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122,620</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Measurement period adjustment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2,674</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FX impact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1,918</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175,376</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FX impact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176,678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Company did not identify any triggers to assess impairment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2026</w:t>
      </w:r>
      <w:r>
        <w:rPr>
          <w:rFonts w:ascii="Times New Roman;Times;serif" w:hAnsi="Times New Roman;Times;serif"/>
          <w:sz w:val="20"/>
        </w:rPr>
        <w:t xml:space="preserve"> or </w:t>
      </w:r>
      <w:r>
        <w:rPr>
          <w:rStyle w:val="Emphasis"/>
          <w:rFonts w:ascii="Times New Roman;Times;serif" w:hAnsi="Times New Roman;Times;serif"/>
          <w:sz w:val="20"/>
        </w:rPr>
        <w:t>2025</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Other Intangibles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Intangible assets at </w:t>
      </w:r>
      <w:r>
        <w:rPr>
          <w:rStyle w:val="Emphasis"/>
          <w:rFonts w:ascii="Times New Roman;Times;serif" w:hAnsi="Times New Roman;Times;serif"/>
          <w:sz w:val="20"/>
        </w:rPr>
        <w:t xml:space="preserve"> June 30, 2026</w:t>
      </w:r>
      <w:r>
        <w:rPr>
          <w:rFonts w:ascii="Times New Roman;Times;serif" w:hAnsi="Times New Roman;Times;serif"/>
          <w:sz w:val="20"/>
        </w:rPr>
        <w:t> and </w:t>
      </w:r>
      <w:r>
        <w:rPr>
          <w:rStyle w:val="Emphasis"/>
          <w:rFonts w:ascii="Times New Roman;Times;serif" w:hAnsi="Times New Roman;Times;serif"/>
          <w:sz w:val="20"/>
        </w:rPr>
        <w:t xml:space="preserve"> March 31, 2026</w:t>
      </w:r>
      <w:r>
        <w:rPr>
          <w:rFonts w:ascii="Times New Roman;Times;serif" w:hAnsi="Times New Roman;Times;serif"/>
          <w:sz w:val="20"/>
        </w:rPr>
        <w:t> consisted of the following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1583"/>
        <w:gridCol w:w="60"/>
        <w:gridCol w:w="152"/>
        <w:gridCol w:w="718"/>
        <w:gridCol w:w="60"/>
        <w:gridCol w:w="60"/>
        <w:gridCol w:w="239"/>
        <w:gridCol w:w="1250"/>
        <w:gridCol w:w="80"/>
        <w:gridCol w:w="60"/>
        <w:gridCol w:w="160"/>
        <w:gridCol w:w="759"/>
        <w:gridCol w:w="60"/>
        <w:gridCol w:w="60"/>
        <w:gridCol w:w="152"/>
        <w:gridCol w:w="718"/>
        <w:gridCol w:w="60"/>
        <w:gridCol w:w="60"/>
        <w:gridCol w:w="239"/>
        <w:gridCol w:w="1250"/>
        <w:gridCol w:w="80"/>
        <w:gridCol w:w="60"/>
        <w:gridCol w:w="160"/>
        <w:gridCol w:w="759"/>
        <w:gridCol w:w="60"/>
        <w:gridCol w:w="60"/>
        <w:gridCol w:w="80"/>
        <w:gridCol w:w="1099"/>
        <w:gridCol w:w="67"/>
      </w:tblGrid>
      <w:tr>
        <w:trPr/>
        <w:tc>
          <w:tcPr>
            <w:tcW w:w="15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3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3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center"/>
              <w:rPr/>
            </w:pPr>
            <w:r>
              <w:rPr>
                <w:rStyle w:val="Emphasis"/>
              </w:rPr>
              <w:t> </w:t>
            </w:r>
          </w:p>
        </w:tc>
        <w:tc>
          <w:tcPr>
            <w:tcW w:w="67" w:type="dxa"/>
            <w:tcBorders/>
            <w:shd w:fill="FFFFFF" w:val="clear"/>
            <w:vAlign w:val="center"/>
          </w:tcPr>
          <w:p>
            <w:pPr>
              <w:pStyle w:val="TableContents"/>
              <w:bidi w:val="0"/>
              <w:spacing w:before="0" w:after="283"/>
              <w:jc w:val="left"/>
              <w:rPr/>
            </w:pPr>
            <w:r>
              <w:rPr/>
              <w:t> </w:t>
            </w:r>
          </w:p>
        </w:tc>
      </w:tr>
      <w:tr>
        <w:trPr/>
        <w:tc>
          <w:tcPr>
            <w:tcW w:w="15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 Useful Life</w:t>
            </w:r>
          </w:p>
        </w:tc>
        <w:tc>
          <w:tcPr>
            <w:tcW w:w="67" w:type="dxa"/>
            <w:tcBorders/>
            <w:shd w:fill="FFFFFF" w:val="clear"/>
            <w:vAlign w:val="center"/>
          </w:tcPr>
          <w:p>
            <w:pPr>
              <w:pStyle w:val="TableContents"/>
              <w:bidi w:val="0"/>
              <w:spacing w:before="0" w:after="283"/>
              <w:jc w:val="left"/>
              <w:rPr/>
            </w:pPr>
            <w:r>
              <w:rPr/>
              <w:t> </w:t>
            </w:r>
          </w:p>
        </w:tc>
      </w:tr>
      <w:tr>
        <w:trPr/>
        <w:tc>
          <w:tcPr>
            <w:tcW w:w="1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0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7" w:type="dxa"/>
            <w:tcBorders/>
            <w:shd w:fill="CCEEFF" w:val="clear"/>
            <w:vAlign w:val="center"/>
          </w:tcPr>
          <w:p>
            <w:pPr>
              <w:pStyle w:val="TableContents"/>
              <w:bidi w:val="0"/>
              <w:spacing w:before="0" w:after="283"/>
              <w:jc w:val="left"/>
              <w:rPr/>
            </w:pPr>
            <w:r>
              <w:rPr/>
              <w:t> </w:t>
            </w:r>
          </w:p>
        </w:tc>
      </w:tr>
      <w:tr>
        <w:trPr/>
        <w:tc>
          <w:tcPr>
            <w:tcW w:w="15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 and trademarks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Indefinite</w:t>
            </w:r>
          </w:p>
        </w:tc>
        <w:tc>
          <w:tcPr>
            <w:tcW w:w="67" w:type="dxa"/>
            <w:tcBorders/>
            <w:shd w:fill="FFFFFF" w:val="clear"/>
            <w:vAlign w:val="center"/>
          </w:tcPr>
          <w:p>
            <w:pPr>
              <w:pStyle w:val="TableContents"/>
              <w:bidi w:val="0"/>
              <w:spacing w:before="0" w:after="283"/>
              <w:jc w:val="left"/>
              <w:rPr/>
            </w:pPr>
            <w:r>
              <w:rPr/>
              <w:t> </w:t>
            </w:r>
          </w:p>
        </w:tc>
      </w:tr>
      <w:tr>
        <w:trPr/>
        <w:tc>
          <w:tcPr>
            <w:tcW w:w="1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0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w:t>
            </w:r>
          </w:p>
        </w:tc>
        <w:tc>
          <w:tcPr>
            <w:tcW w:w="67" w:type="dxa"/>
            <w:tcBorders/>
            <w:shd w:fill="CCEEFF" w:val="clear"/>
            <w:vAlign w:val="center"/>
          </w:tcPr>
          <w:p>
            <w:pPr>
              <w:pStyle w:val="TableContents"/>
              <w:bidi w:val="0"/>
              <w:spacing w:before="0" w:after="283"/>
              <w:jc w:val="left"/>
              <w:rPr/>
            </w:pPr>
            <w:r>
              <w:rPr/>
              <w:t> </w:t>
            </w:r>
          </w:p>
        </w:tc>
      </w:tr>
      <w:tr>
        <w:trPr/>
        <w:tc>
          <w:tcPr>
            <w:tcW w:w="15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technology and know-how</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w:t>
            </w:r>
          </w:p>
        </w:tc>
        <w:tc>
          <w:tcPr>
            <w:tcW w:w="67" w:type="dxa"/>
            <w:tcBorders/>
            <w:shd w:fill="FFFFFF" w:val="clear"/>
            <w:vAlign w:val="center"/>
          </w:tcPr>
          <w:p>
            <w:pPr>
              <w:pStyle w:val="TableContents"/>
              <w:bidi w:val="0"/>
              <w:spacing w:before="0" w:after="283"/>
              <w:jc w:val="left"/>
              <w:rPr/>
            </w:pPr>
            <w:r>
              <w:rPr/>
              <w:t> </w:t>
            </w:r>
          </w:p>
        </w:tc>
      </w:tr>
      <w:tr>
        <w:trPr/>
        <w:tc>
          <w:tcPr>
            <w:tcW w:w="1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rStyle w:val="Emphasis"/>
              </w:rPr>
              <w:t> </w:t>
            </w:r>
          </w:p>
        </w:tc>
        <w:tc>
          <w:tcPr>
            <w:tcW w:w="6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intangible amortization expense related to customer relationship and core technology and know-how of $0.5 million and $0.3 million in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 xml:space="preserve"> June 30, 2026</w:t>
      </w:r>
      <w:r>
        <w:rPr>
          <w:rFonts w:ascii="Times New Roman;Times;serif" w:hAnsi="Times New Roman;Times;serif"/>
          <w:sz w:val="20"/>
          <w:shd w:fill="FFFFFF" w:val="clear"/>
        </w:rPr>
        <w:t> and </w:t>
      </w:r>
      <w:r>
        <w:rPr>
          <w:rStyle w:val="Emphasis"/>
          <w:rFonts w:ascii="Times New Roman;Times;serif" w:hAnsi="Times New Roman;Times;serif"/>
          <w:sz w:val="20"/>
          <w:shd w:fill="FFFFFF" w:val="clear"/>
        </w:rPr>
        <w:t>2025</w:t>
      </w:r>
      <w:r>
        <w:rPr>
          <w:rFonts w:ascii="Times New Roman;Times;serif" w:hAnsi="Times New Roman;Times;serif"/>
          <w:sz w:val="20"/>
          <w:shd w:fill="FFFFFF" w:val="clear"/>
        </w:rPr>
        <w:t>, respectively.</w:t>
      </w:r>
      <w:r>
        <w:rPr>
          <w:rFonts w:ascii="Times New Roman;Times;serif" w:hAnsi="Times New Roman;Times;serif"/>
          <w:sz w:val="20"/>
        </w:rPr>
        <w:t xml:space="preserve"> The Company recorded intangible amortization expense related to backlog of $0.5 million,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and did not record any intangible amortization expense related to backlog in the</w:t>
      </w:r>
      <w:r>
        <w:rPr>
          <w:rFonts w:ascii="Times New Roman;Times;serif" w:hAnsi="Times New Roman;Times;serif"/>
          <w:sz w:val="20"/>
          <w:shd w:fill="FFFFFF" w:val="clear"/>
        </w:rPr>
        <w:t>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June 30, 2025</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Expected future amortization expense related to intangible assets is as follows (in thousands):</w:t>
      </w:r>
    </w:p>
    <w:p>
      <w:pPr>
        <w:pStyle w:val="TextBody"/>
        <w:bidi w:val="0"/>
        <w:spacing w:before="0" w:after="0"/>
        <w:ind w:left="0" w:right="0" w:firstLine="720"/>
        <w:jc w:val="both"/>
        <w:rPr/>
      </w:pPr>
      <w:r>
        <w:rPr/>
        <w:t> </w:t>
      </w:r>
    </w:p>
    <w:tbl>
      <w:tblPr>
        <w:tblW w:w="2880" w:type="dxa"/>
        <w:jc w:val="left"/>
        <w:tblInd w:w="0" w:type="dxa"/>
        <w:tblLayout w:type="fixed"/>
        <w:tblCellMar>
          <w:top w:w="0" w:type="dxa"/>
          <w:left w:w="0" w:type="dxa"/>
          <w:bottom w:w="0" w:type="dxa"/>
          <w:right w:w="0" w:type="dxa"/>
        </w:tblCellMar>
      </w:tblPr>
      <w:tblGrid>
        <w:gridCol w:w="2045"/>
        <w:gridCol w:w="60"/>
        <w:gridCol w:w="125"/>
        <w:gridCol w:w="590"/>
        <w:gridCol w:w="60"/>
      </w:tblGrid>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 ending March 31,</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(remaining)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2,879</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3,472</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2,153</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1,219</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intangible assets relate entirely to the Grid business segment operations in the United States and Brazil. The following table summarizes the Company’s intangibles by geography (in thousands):</w:t>
      </w:r>
    </w:p>
    <w:p>
      <w:pPr>
        <w:pStyle w:val="TextBody"/>
        <w:bidi w:val="0"/>
        <w:spacing w:before="0" w:after="0"/>
        <w:ind w:left="0" w:right="0" w:firstLine="720"/>
        <w:jc w:val="both"/>
        <w:rPr/>
      </w:pPr>
      <w:r>
        <w:rPr/>
        <w:t> </w:t>
      </w:r>
    </w:p>
    <w:tbl>
      <w:tblPr>
        <w:tblW w:w="3283" w:type="dxa"/>
        <w:jc w:val="left"/>
        <w:tblInd w:w="0" w:type="dxa"/>
        <w:tblLayout w:type="fixed"/>
        <w:tblCellMar>
          <w:top w:w="0" w:type="dxa"/>
          <w:left w:w="0" w:type="dxa"/>
          <w:bottom w:w="0" w:type="dxa"/>
          <w:right w:w="0" w:type="dxa"/>
        </w:tblCellMar>
      </w:tblPr>
      <w:tblGrid>
        <w:gridCol w:w="515"/>
        <w:gridCol w:w="60"/>
        <w:gridCol w:w="208"/>
        <w:gridCol w:w="981"/>
        <w:gridCol w:w="60"/>
        <w:gridCol w:w="60"/>
        <w:gridCol w:w="234"/>
        <w:gridCol w:w="1105"/>
        <w:gridCol w:w="60"/>
      </w:tblGrid>
      <w:tr>
        <w:trPr/>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4,567</w:t>
            </w:r>
          </w:p>
        </w:tc>
        <w:tc>
          <w:tcPr>
            <w:tcW w:w="60" w:type="dxa"/>
            <w:tcBorders/>
            <w:shd w:fill="CCEEFF" w:val="clear"/>
            <w:vAlign w:val="center"/>
          </w:tcPr>
          <w:p>
            <w:pPr>
              <w:pStyle w:val="TableContents"/>
              <w:bidi w:val="0"/>
              <w:spacing w:before="0" w:after="283"/>
              <w:jc w:val="left"/>
              <w:rPr/>
            </w:pPr>
            <w:r>
              <w:rPr/>
              <w:t> </w:t>
            </w:r>
          </w:p>
        </w:tc>
      </w:tr>
      <w:tr>
        <w:trPr/>
        <w:tc>
          <w:tcPr>
            <w:tcW w:w="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Brazil</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8,981</w:t>
            </w:r>
          </w:p>
        </w:tc>
        <w:tc>
          <w:tcPr>
            <w:tcW w:w="60" w:type="dxa"/>
            <w:tcBorders/>
            <w:shd w:fill="FFFFFF" w:val="clear"/>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7.</w:t>
      </w:r>
      <w:r>
        <w:rPr>
          <w:rFonts w:ascii="Times New Roman;Times;serif" w:hAnsi="Times New Roman;Times;serif"/>
          <w:b/>
          <w:sz w:val="20"/>
        </w:rPr>
        <w:t xml:space="preserve"> Fair Value Measurements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 valuation hierarchy for disclosure of the inputs to valuation used to measure fair value has been established. This hierarchy prioritizes the inputs into </w:t>
      </w:r>
      <w:r>
        <w:rPr>
          <w:rStyle w:val="Emphasis"/>
          <w:rFonts w:ascii="Times New Roman;Times;serif" w:hAnsi="Times New Roman;Times;serif"/>
          <w:sz w:val="20"/>
        </w:rPr>
        <w:t>three</w:t>
      </w:r>
      <w:r>
        <w:rPr>
          <w:rFonts w:ascii="Times New Roman;Times;serif" w:hAnsi="Times New Roman;Times;serif"/>
          <w:sz w:val="20"/>
        </w:rPr>
        <w:t xml:space="preserve"> broad levels as follows: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710"/>
        <w:gridCol w:w="80"/>
        <w:gridCol w:w="9415"/>
      </w:tblGrid>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1</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Inputs are unadjusted quoted prices in active markets for identical assets or liabilities that the Company has the ability to access at the measurement date.</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2</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Inputs include quoted prices for similar assets and liabilities in active markets, quoted prices for identical or similar assets or liabilities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inputs other than quoted prices that are observable for the asset or liability, and inputs that are derived principally from or corroborated by observable market data by correlation or other means (market corroborated inputs).</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3</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Unobservable inputs that reflect the Company’s assumptions that market participants would use in pricing the asset or liability. The Company develops these inputs based on the best information available, including its own data.</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provides a gross presentation of activity within Level </w:t>
      </w:r>
      <w:r>
        <w:rPr>
          <w:rStyle w:val="Emphasis"/>
          <w:rFonts w:ascii="Times New Roman;Times;serif" w:hAnsi="Times New Roman;Times;serif"/>
          <w:sz w:val="20"/>
        </w:rPr>
        <w:t>3</w:t>
      </w:r>
      <w:r>
        <w:rPr>
          <w:rFonts w:ascii="Times New Roman;Times;serif" w:hAnsi="Times New Roman;Times;serif"/>
          <w:sz w:val="20"/>
        </w:rPr>
        <w:t xml:space="preserve"> measurement roll-forward and details of transfers in and out of Level </w:t>
      </w:r>
      <w:r>
        <w:rPr>
          <w:rStyle w:val="Emphasis"/>
          <w:rFonts w:ascii="Times New Roman;Times;serif" w:hAnsi="Times New Roman;Times;serif"/>
          <w:sz w:val="20"/>
        </w:rPr>
        <w:t>1</w:t>
      </w:r>
      <w:r>
        <w:rPr>
          <w:rFonts w:ascii="Times New Roman;Times;serif" w:hAnsi="Times New Roman;Times;serif"/>
          <w:sz w:val="20"/>
        </w:rPr>
        <w:t xml:space="preserve"> and </w:t>
      </w:r>
      <w:r>
        <w:rPr>
          <w:rStyle w:val="Emphasis"/>
          <w:rFonts w:ascii="Times New Roman;Times;serif" w:hAnsi="Times New Roman;Times;serif"/>
          <w:sz w:val="20"/>
        </w:rPr>
        <w:t>2</w:t>
      </w:r>
      <w:r>
        <w:rPr>
          <w:rFonts w:ascii="Times New Roman;Times;serif" w:hAnsi="Times New Roman;Times;serif"/>
          <w:sz w:val="20"/>
        </w:rPr>
        <w:t xml:space="preserve"> measurements. A change in the hierarchy of an investment from its current level is reflected in the period during which the pricing methodology of such investment changes. Disclosure of the transfer of securities from Level </w:t>
      </w:r>
      <w:r>
        <w:rPr>
          <w:rStyle w:val="Emphasis"/>
          <w:rFonts w:ascii="Times New Roman;Times;serif" w:hAnsi="Times New Roman;Times;serif"/>
          <w:sz w:val="20"/>
        </w:rPr>
        <w:t>1</w:t>
      </w:r>
      <w:r>
        <w:rPr>
          <w:rFonts w:ascii="Times New Roman;Times;serif" w:hAnsi="Times New Roman;Times;serif"/>
          <w:sz w:val="20"/>
        </w:rPr>
        <w:t xml:space="preserve"> to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is made in the event that the related security is significant to total cash and investments. The Company did </w:t>
      </w:r>
      <w:r>
        <w:rPr>
          <w:rStyle w:val="Emphasis"/>
          <w:rFonts w:ascii="Times New Roman;Times;serif" w:hAnsi="Times New Roman;Times;serif"/>
          <w:sz w:val="20"/>
        </w:rPr>
        <w:t>not</w:t>
      </w:r>
      <w:r>
        <w:rPr>
          <w:rFonts w:ascii="Times New Roman;Times;serif" w:hAnsi="Times New Roman;Times;serif"/>
          <w:sz w:val="20"/>
        </w:rPr>
        <w:t xml:space="preserve"> have any transfers of assets and liabilities from Level </w:t>
      </w:r>
      <w:r>
        <w:rPr>
          <w:rStyle w:val="Emphasis"/>
          <w:rFonts w:ascii="Times New Roman;Times;serif" w:hAnsi="Times New Roman;Times;serif"/>
          <w:sz w:val="20"/>
        </w:rPr>
        <w:t>1,</w:t>
      </w:r>
      <w:r>
        <w:rPr>
          <w:rFonts w:ascii="Times New Roman;Times;serif" w:hAnsi="Times New Roman;Times;serif"/>
          <w:sz w:val="20"/>
        </w:rPr>
        <w:t xml:space="preserve">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of the fair value measurement hierarchy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June 30, 2026</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financial asset’s or liability’s classification within the hierarchy is determined based on the lowest level input that is significant to the fair value measurement.</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Valuation Techniques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Equivalents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Cash equivalents consist of highly liquid instruments with maturities of </w:t>
      </w:r>
      <w:r>
        <w:rPr>
          <w:rStyle w:val="Emphasis"/>
          <w:rFonts w:ascii="Times New Roman;Times;serif" w:hAnsi="Times New Roman;Times;serif"/>
          <w:sz w:val="20"/>
        </w:rPr>
        <w:t>three</w:t>
      </w:r>
      <w:r>
        <w:rPr>
          <w:rFonts w:ascii="Times New Roman;Times;serif" w:hAnsi="Times New Roman;Times;serif"/>
          <w:sz w:val="20"/>
        </w:rPr>
        <w:t xml:space="preserve"> months or less that are regarded as high quality, low risk investments and are measured using such inputs as quoted prices, and are classified within Level </w:t>
      </w:r>
      <w:r>
        <w:rPr>
          <w:rStyle w:val="Emphasis"/>
          <w:rFonts w:ascii="Times New Roman;Times;serif" w:hAnsi="Times New Roman;Times;serif"/>
          <w:sz w:val="20"/>
        </w:rPr>
        <w:t>1</w:t>
      </w:r>
      <w:r>
        <w:rPr>
          <w:rFonts w:ascii="Times New Roman;Times;serif" w:hAnsi="Times New Roman;Times;serif"/>
          <w:sz w:val="20"/>
        </w:rPr>
        <w:t xml:space="preserve"> of the valuation hierarchy. Cash equivalents consist principally of money market accounts.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Short-term Cash Instruments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Short-term cash instruments consist of highly liquid instruments with maturities of </w:t>
      </w:r>
      <w:r>
        <w:rPr>
          <w:rStyle w:val="Emphasis"/>
          <w:rFonts w:ascii="Times New Roman;Times;serif" w:hAnsi="Times New Roman;Times;serif"/>
          <w:sz w:val="20"/>
        </w:rPr>
        <w:t>three</w:t>
      </w:r>
      <w:r>
        <w:rPr>
          <w:rFonts w:ascii="Times New Roman;Times;serif" w:hAnsi="Times New Roman;Times;serif"/>
          <w:sz w:val="20"/>
        </w:rPr>
        <w:t xml:space="preserve"> months or less that are regarded as high quality, low risk investments and are measured using such inputs as quoted prices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and are classified within Level </w:t>
      </w:r>
      <w:r>
        <w:rPr>
          <w:rStyle w:val="Emphasis"/>
          <w:rFonts w:ascii="Times New Roman;Times;serif" w:hAnsi="Times New Roman;Times;serif"/>
          <w:sz w:val="20"/>
        </w:rPr>
        <w:t>2</w:t>
      </w:r>
      <w:r>
        <w:rPr>
          <w:rFonts w:ascii="Times New Roman;Times;serif" w:hAnsi="Times New Roman;Times;serif"/>
          <w:sz w:val="20"/>
        </w:rPr>
        <w:t> of the valuation hierarchy. Short-term cash instruments consist principally of certificates of deposits.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Contingent Consideration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Contingent consideration relates to the earnout payment set forth in the Stock Exchange Agreement governing the acquisition of Comtrafo that provides the selling stockholders </w:t>
      </w:r>
      <w:r>
        <w:rPr>
          <w:rStyle w:val="Emphasis"/>
          <w:rFonts w:ascii="Times New Roman;Times;serif" w:hAnsi="Times New Roman;Times;serif"/>
          <w:sz w:val="20"/>
        </w:rPr>
        <w:t xml:space="preserve">may </w:t>
      </w:r>
      <w:r>
        <w:rPr>
          <w:rFonts w:ascii="Times New Roman;Times;serif" w:hAnsi="Times New Roman;Times;serif"/>
          <w:sz w:val="20"/>
        </w:rPr>
        <w:t xml:space="preserve">receive an additional sum of cash upon the achievement of certain specified EBITDA objectives during the </w:t>
      </w:r>
      <w:r>
        <w:rPr>
          <w:rStyle w:val="Emphasis"/>
          <w:rFonts w:ascii="Times New Roman;Times;serif" w:hAnsi="Times New Roman;Times;serif"/>
          <w:sz w:val="20"/>
        </w:rPr>
        <w:t>three</w:t>
      </w:r>
      <w:r>
        <w:rPr>
          <w:rFonts w:ascii="Times New Roman;Times;serif" w:hAnsi="Times New Roman;Times;serif"/>
          <w:sz w:val="20"/>
        </w:rPr>
        <w:t xml:space="preserve"> years following the Comtrafo Acquisition Date. See Note </w:t>
      </w:r>
      <w:r>
        <w:rPr>
          <w:rStyle w:val="Emphasis"/>
          <w:rFonts w:ascii="Times New Roman;Times;serif" w:hAnsi="Times New Roman;Times;serif"/>
          <w:sz w:val="20"/>
        </w:rPr>
        <w:t>14,</w:t>
      </w:r>
      <w:r>
        <w:rPr>
          <w:rFonts w:ascii="Times New Roman;Times;serif" w:hAnsi="Times New Roman;Times;serif"/>
          <w:sz w:val="20"/>
        </w:rPr>
        <w:t xml:space="preserve"> “Contingent Consideration” for further discussion. The Company relied on a Monte Carlo method to determine the fair value of the contingent consideration on the closing of the acquisition of Comtrafo and continues to revalue the fair value of the contingent consideration using the same method at each subsequent balance sheet date until the contingencies are resolved and the cash to be paid is determined, with the change in fair value recorded in the current period operating income (loss). For the period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the change in fair value was a decrease of $8.1 million. Contingent consideration is classified within the Level </w:t>
      </w:r>
      <w:r>
        <w:rPr>
          <w:rStyle w:val="Emphasis"/>
          <w:rFonts w:ascii="Times New Roman;Times;serif" w:hAnsi="Times New Roman;Times;serif"/>
          <w:sz w:val="20"/>
        </w:rPr>
        <w:t>3</w:t>
      </w:r>
      <w:r>
        <w:rPr>
          <w:rFonts w:ascii="Times New Roman;Times;serif" w:hAnsi="Times New Roman;Times;serif"/>
          <w:sz w:val="20"/>
        </w:rPr>
        <w:t xml:space="preserve"> valuation hierarchy. </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following table provides the assets and liabilities carried at fair value on a recurring basis, measured as of </w:t>
      </w:r>
      <w:r>
        <w:rPr>
          <w:rStyle w:val="Emphasis"/>
          <w:rFonts w:ascii="Times New Roman;Times;serif" w:hAnsi="Times New Roman;Times;serif"/>
          <w:sz w:val="20"/>
          <w:shd w:fill="FFFFFF" w:val="clear"/>
        </w:rPr>
        <w:t xml:space="preserve"> June 30, 2026</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(in thousands):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1941"/>
        <w:gridCol w:w="60"/>
        <w:gridCol w:w="218"/>
        <w:gridCol w:w="1039"/>
        <w:gridCol w:w="60"/>
        <w:gridCol w:w="60"/>
        <w:gridCol w:w="351"/>
        <w:gridCol w:w="1657"/>
        <w:gridCol w:w="60"/>
        <w:gridCol w:w="60"/>
        <w:gridCol w:w="464"/>
        <w:gridCol w:w="1809"/>
        <w:gridCol w:w="60"/>
        <w:gridCol w:w="60"/>
        <w:gridCol w:w="390"/>
        <w:gridCol w:w="1852"/>
        <w:gridCol w:w="64"/>
      </w:tblGrid>
      <w:tr>
        <w:trPr/>
        <w:tc>
          <w:tcPr>
            <w:tcW w:w="19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Unobservable Inputs (Level 3)</w:t>
            </w:r>
          </w:p>
        </w:tc>
        <w:tc>
          <w:tcPr>
            <w:tcW w:w="64" w:type="dxa"/>
            <w:tcBorders/>
            <w:shd w:fill="FFFFFF" w:val="clear"/>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June 30, 2026:</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8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85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1941"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Assets: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6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8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sz w:val="20"/>
              </w:rPr>
            </w:pPr>
            <w:r>
              <w:rPr>
                <w:sz w:val="20"/>
              </w:rPr>
              <w:t>$</w:t>
            </w:r>
          </w:p>
        </w:tc>
        <w:tc>
          <w:tcPr>
            <w:tcW w:w="1039" w:type="dxa"/>
            <w:tcBorders/>
            <w:shd w:fill="CCEEFF" w:val="clear"/>
            <w:vAlign w:val="center"/>
          </w:tcPr>
          <w:p>
            <w:pPr>
              <w:pStyle w:val="TableContents"/>
              <w:bidi w:val="0"/>
              <w:spacing w:before="0" w:after="283"/>
              <w:ind w:left="0" w:right="0" w:hanging="0"/>
              <w:jc w:val="right"/>
              <w:rPr>
                <w:sz w:val="20"/>
              </w:rPr>
            </w:pPr>
            <w:r>
              <w:rPr>
                <w:sz w:val="20"/>
              </w:rPr>
              <w:t>96,924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1" w:type="dxa"/>
            <w:tcBorders/>
            <w:shd w:fill="CCEEFF" w:val="clear"/>
            <w:vAlign w:val="center"/>
          </w:tcPr>
          <w:p>
            <w:pPr>
              <w:pStyle w:val="TableContents"/>
              <w:bidi w:val="0"/>
              <w:spacing w:before="0" w:after="283"/>
              <w:ind w:left="0" w:right="0" w:hanging="0"/>
              <w:jc w:val="left"/>
              <w:rPr>
                <w:sz w:val="20"/>
              </w:rPr>
            </w:pPr>
            <w:r>
              <w:rPr>
                <w:sz w:val="20"/>
              </w:rPr>
              <w:t>$</w:t>
            </w:r>
          </w:p>
        </w:tc>
        <w:tc>
          <w:tcPr>
            <w:tcW w:w="1657" w:type="dxa"/>
            <w:tcBorders/>
            <w:shd w:fill="CCEEFF" w:val="clear"/>
            <w:vAlign w:val="center"/>
          </w:tcPr>
          <w:p>
            <w:pPr>
              <w:pStyle w:val="TableContents"/>
              <w:bidi w:val="0"/>
              <w:spacing w:before="0" w:after="283"/>
              <w:ind w:left="0" w:right="0" w:hanging="0"/>
              <w:jc w:val="right"/>
              <w:rPr>
                <w:sz w:val="20"/>
              </w:rPr>
            </w:pPr>
            <w:r>
              <w:rPr>
                <w:sz w:val="20"/>
              </w:rPr>
              <w:t>96,924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64" w:type="dxa"/>
            <w:tcBorders/>
            <w:shd w:fill="CCEEFF" w:val="clear"/>
            <w:vAlign w:val="center"/>
          </w:tcPr>
          <w:p>
            <w:pPr>
              <w:pStyle w:val="TableContents"/>
              <w:bidi w:val="0"/>
              <w:spacing w:before="0" w:after="283"/>
              <w:ind w:left="0" w:right="0" w:hanging="0"/>
              <w:jc w:val="left"/>
              <w:rPr>
                <w:sz w:val="20"/>
              </w:rPr>
            </w:pPr>
            <w:r>
              <w:rPr>
                <w:sz w:val="20"/>
              </w:rPr>
              <w:t>$</w:t>
            </w:r>
          </w:p>
        </w:tc>
        <w:tc>
          <w:tcPr>
            <w:tcW w:w="18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0" w:type="dxa"/>
            <w:tcBorders/>
            <w:shd w:fill="CCEEFF" w:val="clear"/>
            <w:vAlign w:val="center"/>
          </w:tcPr>
          <w:p>
            <w:pPr>
              <w:pStyle w:val="TableContents"/>
              <w:bidi w:val="0"/>
              <w:spacing w:before="0" w:after="283"/>
              <w:ind w:left="0" w:right="0" w:hanging="0"/>
              <w:jc w:val="left"/>
              <w:rPr>
                <w:sz w:val="20"/>
              </w:rPr>
            </w:pPr>
            <w:r>
              <w:rPr>
                <w:sz w:val="20"/>
              </w:rPr>
              <w:t>$</w:t>
            </w:r>
          </w:p>
        </w:tc>
        <w:tc>
          <w:tcPr>
            <w:tcW w:w="1852"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1941"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Short-term cash instruments</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sz w:val="20"/>
              </w:rPr>
            </w:pPr>
            <w:r>
              <w:rPr>
                <w:sz w:val="20"/>
              </w:rPr>
              <w:t>$</w:t>
            </w:r>
          </w:p>
        </w:tc>
        <w:tc>
          <w:tcPr>
            <w:tcW w:w="1039" w:type="dxa"/>
            <w:tcBorders/>
            <w:shd w:fill="FFFFFF" w:val="clear"/>
            <w:vAlign w:val="center"/>
          </w:tcPr>
          <w:p>
            <w:pPr>
              <w:pStyle w:val="TableContents"/>
              <w:bidi w:val="0"/>
              <w:spacing w:before="0" w:after="283"/>
              <w:ind w:left="0" w:right="0" w:hanging="0"/>
              <w:jc w:val="right"/>
              <w:rPr>
                <w:sz w:val="20"/>
              </w:rPr>
            </w:pPr>
            <w:r>
              <w:rPr>
                <w:sz w:val="20"/>
              </w:rPr>
              <w:t>1,585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 w:type="dxa"/>
            <w:tcBorders/>
            <w:shd w:fill="FFFFFF" w:val="clear"/>
            <w:vAlign w:val="center"/>
          </w:tcPr>
          <w:p>
            <w:pPr>
              <w:pStyle w:val="TableContents"/>
              <w:bidi w:val="0"/>
              <w:spacing w:before="0" w:after="283"/>
              <w:ind w:left="0" w:right="0" w:hanging="0"/>
              <w:jc w:val="left"/>
              <w:rPr>
                <w:sz w:val="20"/>
              </w:rPr>
            </w:pPr>
            <w:r>
              <w:rPr>
                <w:sz w:val="20"/>
              </w:rPr>
              <w:t>$</w:t>
            </w:r>
          </w:p>
        </w:tc>
        <w:tc>
          <w:tcPr>
            <w:tcW w:w="165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4" w:type="dxa"/>
            <w:tcBorders/>
            <w:shd w:fill="FFFFFF" w:val="clear"/>
            <w:vAlign w:val="center"/>
          </w:tcPr>
          <w:p>
            <w:pPr>
              <w:pStyle w:val="TableContents"/>
              <w:bidi w:val="0"/>
              <w:spacing w:before="0" w:after="283"/>
              <w:ind w:left="0" w:right="0" w:hanging="0"/>
              <w:jc w:val="left"/>
              <w:rPr>
                <w:sz w:val="20"/>
              </w:rPr>
            </w:pPr>
            <w:r>
              <w:rPr>
                <w:sz w:val="20"/>
              </w:rPr>
              <w:t>$</w:t>
            </w:r>
          </w:p>
        </w:tc>
        <w:tc>
          <w:tcPr>
            <w:tcW w:w="1809" w:type="dxa"/>
            <w:tcBorders/>
            <w:shd w:fill="FFFFFF" w:val="clear"/>
            <w:vAlign w:val="center"/>
          </w:tcPr>
          <w:p>
            <w:pPr>
              <w:pStyle w:val="TableContents"/>
              <w:bidi w:val="0"/>
              <w:spacing w:before="0" w:after="283"/>
              <w:ind w:left="0" w:right="0" w:hanging="0"/>
              <w:jc w:val="right"/>
              <w:rPr>
                <w:sz w:val="20"/>
              </w:rPr>
            </w:pPr>
            <w:r>
              <w:rPr>
                <w:sz w:val="20"/>
              </w:rPr>
              <w:t>1,585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0" w:type="dxa"/>
            <w:tcBorders/>
            <w:shd w:fill="FFFFFF" w:val="clear"/>
            <w:vAlign w:val="center"/>
          </w:tcPr>
          <w:p>
            <w:pPr>
              <w:pStyle w:val="TableContents"/>
              <w:bidi w:val="0"/>
              <w:spacing w:before="0" w:after="283"/>
              <w:ind w:left="0" w:right="0" w:hanging="0"/>
              <w:jc w:val="left"/>
              <w:rPr>
                <w:sz w:val="20"/>
              </w:rPr>
            </w:pPr>
            <w:r>
              <w:rPr>
                <w:sz w:val="20"/>
              </w:rPr>
              <w:t>$</w:t>
            </w:r>
          </w:p>
        </w:tc>
        <w:tc>
          <w:tcPr>
            <w:tcW w:w="1852"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8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85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19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sz w:val="20"/>
              </w:rPr>
            </w:pPr>
            <w:r>
              <w:rPr>
                <w:sz w:val="20"/>
              </w:rPr>
              <w:t>$</w:t>
            </w:r>
          </w:p>
        </w:tc>
        <w:tc>
          <w:tcPr>
            <w:tcW w:w="1039" w:type="dxa"/>
            <w:tcBorders/>
            <w:shd w:fill="FFFFFF" w:val="clear"/>
            <w:vAlign w:val="center"/>
          </w:tcPr>
          <w:p>
            <w:pPr>
              <w:pStyle w:val="TableContents"/>
              <w:bidi w:val="0"/>
              <w:spacing w:before="0" w:after="283"/>
              <w:jc w:val="right"/>
              <w:rPr>
                <w:sz w:val="20"/>
              </w:rPr>
            </w:pPr>
            <w:r>
              <w:rPr>
                <w:sz w:val="20"/>
              </w:rPr>
              <w:t>3,959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sz w:val="20"/>
              </w:rPr>
            </w:pPr>
            <w:r>
              <w:rPr>
                <w:sz w:val="20"/>
              </w:rPr>
              <w:t>$</w:t>
            </w:r>
          </w:p>
        </w:tc>
        <w:tc>
          <w:tcPr>
            <w:tcW w:w="16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sz w:val="20"/>
              </w:rPr>
            </w:pPr>
            <w:r>
              <w:rPr>
                <w:sz w:val="20"/>
              </w:rPr>
              <w:t>$</w:t>
            </w:r>
          </w:p>
        </w:tc>
        <w:tc>
          <w:tcPr>
            <w:tcW w:w="18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sz w:val="20"/>
              </w:rPr>
            </w:pPr>
            <w:r>
              <w:rPr>
                <w:sz w:val="20"/>
              </w:rPr>
              <w:t>$</w:t>
            </w:r>
          </w:p>
        </w:tc>
        <w:tc>
          <w:tcPr>
            <w:tcW w:w="1852" w:type="dxa"/>
            <w:tcBorders/>
            <w:shd w:fill="FFFFFF" w:val="clear"/>
            <w:vAlign w:val="center"/>
          </w:tcPr>
          <w:p>
            <w:pPr>
              <w:pStyle w:val="TableContents"/>
              <w:bidi w:val="0"/>
              <w:spacing w:before="0" w:after="283"/>
              <w:jc w:val="right"/>
              <w:rPr>
                <w:sz w:val="20"/>
              </w:rPr>
            </w:pPr>
            <w:r>
              <w:rPr>
                <w:sz w:val="20"/>
              </w:rPr>
              <w:t>3,959</w:t>
            </w:r>
          </w:p>
        </w:tc>
        <w:tc>
          <w:tcPr>
            <w:tcW w:w="64" w:type="dxa"/>
            <w:tcBorders/>
            <w:shd w:fill="FFFFFF" w:val="clear"/>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8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85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19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sz w:val="20"/>
              </w:rPr>
            </w:pPr>
            <w:r>
              <w:rPr>
                <w:sz w:val="20"/>
              </w:rPr>
              <w:t>$</w:t>
            </w:r>
          </w:p>
        </w:tc>
        <w:tc>
          <w:tcPr>
            <w:tcW w:w="1039" w:type="dxa"/>
            <w:tcBorders/>
            <w:shd w:fill="FFFFFF" w:val="clear"/>
            <w:vAlign w:val="center"/>
          </w:tcPr>
          <w:p>
            <w:pPr>
              <w:pStyle w:val="TableContents"/>
              <w:bidi w:val="0"/>
              <w:spacing w:before="0" w:after="283"/>
              <w:jc w:val="right"/>
              <w:rPr>
                <w:sz w:val="20"/>
              </w:rPr>
            </w:pPr>
            <w:r>
              <w:rPr>
                <w:sz w:val="20"/>
              </w:rPr>
              <w:t>27,930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sz w:val="20"/>
              </w:rPr>
            </w:pPr>
            <w:r>
              <w:rPr>
                <w:sz w:val="20"/>
              </w:rPr>
              <w:t>$</w:t>
            </w:r>
          </w:p>
        </w:tc>
        <w:tc>
          <w:tcPr>
            <w:tcW w:w="16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sz w:val="20"/>
              </w:rPr>
            </w:pPr>
            <w:r>
              <w:rPr>
                <w:sz w:val="20"/>
              </w:rPr>
              <w:t>$</w:t>
            </w:r>
          </w:p>
        </w:tc>
        <w:tc>
          <w:tcPr>
            <w:tcW w:w="18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sz w:val="20"/>
              </w:rPr>
            </w:pPr>
            <w:r>
              <w:rPr>
                <w:sz w:val="20"/>
              </w:rPr>
              <w:t>$</w:t>
            </w:r>
          </w:p>
        </w:tc>
        <w:tc>
          <w:tcPr>
            <w:tcW w:w="1852" w:type="dxa"/>
            <w:tcBorders/>
            <w:shd w:fill="FFFFFF" w:val="clear"/>
            <w:vAlign w:val="center"/>
          </w:tcPr>
          <w:p>
            <w:pPr>
              <w:pStyle w:val="TableContents"/>
              <w:bidi w:val="0"/>
              <w:spacing w:before="0" w:after="283"/>
              <w:jc w:val="right"/>
              <w:rPr>
                <w:sz w:val="20"/>
              </w:rPr>
            </w:pPr>
            <w:r>
              <w:rPr>
                <w:sz w:val="20"/>
              </w:rPr>
              <w:t>27,930</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90"/>
        <w:gridCol w:w="60"/>
        <w:gridCol w:w="198"/>
        <w:gridCol w:w="1104"/>
        <w:gridCol w:w="60"/>
        <w:gridCol w:w="60"/>
        <w:gridCol w:w="322"/>
        <w:gridCol w:w="1792"/>
        <w:gridCol w:w="60"/>
        <w:gridCol w:w="60"/>
        <w:gridCol w:w="475"/>
        <w:gridCol w:w="1853"/>
        <w:gridCol w:w="60"/>
        <w:gridCol w:w="60"/>
        <w:gridCol w:w="398"/>
        <w:gridCol w:w="1889"/>
        <w:gridCol w:w="64"/>
      </w:tblGrid>
      <w:tr>
        <w:trPr/>
        <w:tc>
          <w:tcPr>
            <w:tcW w:w="1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7"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Unobservable Inputs (Level 3)</w:t>
            </w:r>
          </w:p>
        </w:tc>
        <w:tc>
          <w:tcPr>
            <w:tcW w:w="64" w:type="dxa"/>
            <w:tcBorders/>
            <w:shd w:fill="FFFFFF" w:val="clear"/>
            <w:vAlign w:val="center"/>
          </w:tcPr>
          <w:p>
            <w:pPr>
              <w:pStyle w:val="TableContents"/>
              <w:bidi w:val="0"/>
              <w:spacing w:before="0" w:after="283"/>
              <w:jc w:val="left"/>
              <w:rPr/>
            </w:pPr>
            <w:r>
              <w:rPr/>
              <w:t> </w:t>
            </w:r>
          </w:p>
        </w:tc>
      </w:tr>
      <w:tr>
        <w:trPr/>
        <w:tc>
          <w:tcPr>
            <w:tcW w:w="16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2026</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16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7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c>
          <w:tcPr>
            <w:tcW w:w="18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88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169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5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89"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169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Short-term cash instruments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89" w:type="dxa"/>
            <w:tcBorders/>
            <w:shd w:fill="FFFFFF" w:val="cle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16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169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12,808</w:t>
            </w:r>
          </w:p>
        </w:tc>
        <w:tc>
          <w:tcPr>
            <w:tcW w:w="64" w:type="dxa"/>
            <w:tcBorders/>
            <w:shd w:fill="FFFFFF" w:val="clear"/>
            <w:vAlign w:val="center"/>
          </w:tcPr>
          <w:p>
            <w:pPr>
              <w:pStyle w:val="TableContents"/>
              <w:bidi w:val="0"/>
              <w:spacing w:before="0" w:after="283"/>
              <w:jc w:val="left"/>
              <w:rPr/>
            </w:pPr>
            <w:r>
              <w:rPr/>
              <w:t> </w:t>
            </w:r>
          </w:p>
        </w:tc>
      </w:tr>
      <w:tr>
        <w:trPr/>
        <w:tc>
          <w:tcPr>
            <w:tcW w:w="16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18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88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169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26,721</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reflects the activity for the Company's contingent consideration derivative liability measured at fair value on a recurring basis (in thousands): </w:t>
      </w:r>
    </w:p>
    <w:p>
      <w:pPr>
        <w:pStyle w:val="TextBody"/>
        <w:bidi w:val="0"/>
        <w:spacing w:before="0" w:after="0"/>
        <w:ind w:left="0" w:right="0" w:firstLine="720"/>
        <w:jc w:val="left"/>
        <w:rPr/>
      </w:pPr>
      <w:r>
        <w:rPr/>
        <w:t> </w:t>
      </w:r>
    </w:p>
    <w:p>
      <w:pPr>
        <w:pStyle w:val="TextBody"/>
        <w:bidi w:val="0"/>
        <w:spacing w:before="0" w:after="0"/>
        <w:ind w:left="0" w:right="0" w:hanging="0"/>
        <w:jc w:val="left"/>
        <w:rPr/>
      </w:pPr>
      <w:r>
        <w:rPr/>
        <w:t> </w:t>
      </w:r>
    </w:p>
    <w:tbl>
      <w:tblPr>
        <w:tblW w:w="7169" w:type="dxa"/>
        <w:jc w:val="left"/>
        <w:tblInd w:w="0" w:type="dxa"/>
        <w:tblLayout w:type="fixed"/>
        <w:tblCellMar>
          <w:top w:w="0" w:type="dxa"/>
          <w:left w:w="0" w:type="dxa"/>
          <w:bottom w:w="0" w:type="dxa"/>
          <w:right w:w="0" w:type="dxa"/>
        </w:tblCellMar>
      </w:tblPr>
      <w:tblGrid>
        <w:gridCol w:w="3005"/>
        <w:gridCol w:w="60"/>
        <w:gridCol w:w="701"/>
        <w:gridCol w:w="3323"/>
        <w:gridCol w:w="80"/>
      </w:tblGrid>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Comtrafo Acquisition Contingent Consideration</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2025</w:t>
            </w:r>
          </w:p>
        </w:tc>
        <w:tc>
          <w:tcPr>
            <w:tcW w:w="60"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32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contingent consideration</w:t>
            </w:r>
          </w:p>
        </w:tc>
        <w:tc>
          <w:tcPr>
            <w:tcW w:w="60"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ind w:left="0" w:right="0" w:hanging="0"/>
              <w:jc w:val="left"/>
              <w:rPr/>
            </w:pPr>
            <w:r>
              <w:rPr/>
              <w:t> </w:t>
            </w:r>
          </w:p>
        </w:tc>
        <w:tc>
          <w:tcPr>
            <w:tcW w:w="33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34,815</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60"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left"/>
              <w:rPr/>
            </w:pPr>
            <w:r>
              <w:rPr/>
              <w:t> </w:t>
            </w:r>
          </w:p>
        </w:tc>
        <w:tc>
          <w:tcPr>
            <w:tcW w:w="332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4,171</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FX Impact</w:t>
            </w:r>
          </w:p>
        </w:tc>
        <w:tc>
          <w:tcPr>
            <w:tcW w:w="60" w:type="dxa"/>
            <w:tcBorders/>
            <w:shd w:fill="FFFFFF" w:val="cle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2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543</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2026</w:t>
            </w:r>
          </w:p>
        </w:tc>
        <w:tc>
          <w:tcPr>
            <w:tcW w:w="60"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39,529</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w:t>
            </w:r>
          </w:p>
        </w:tc>
        <w:tc>
          <w:tcPr>
            <w:tcW w:w="60"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33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FX Impact</w:t>
            </w:r>
          </w:p>
        </w:tc>
        <w:tc>
          <w:tcPr>
            <w:tcW w:w="60" w:type="dxa"/>
            <w:tcBorders/>
            <w:shd w:fill="CCEEFF" w:val="cle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2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475</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8.</w:t>
      </w:r>
      <w:r>
        <w:rPr>
          <w:rFonts w:ascii="Times New Roman;Times;serif" w:hAnsi="Times New Roman;Times;serif"/>
          <w:b/>
          <w:sz w:val="20"/>
        </w:rPr>
        <w:t xml:space="preserve"> Accounts Receivable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Accounts receivable at </w:t>
      </w:r>
      <w:r>
        <w:rPr>
          <w:rStyle w:val="Emphasis"/>
          <w:rFonts w:ascii="Times New Roman;Times;serif" w:hAnsi="Times New Roman;Times;serif"/>
          <w:sz w:val="20"/>
          <w:shd w:fill="FFFFFF" w:val="clear"/>
        </w:rPr>
        <w:t xml:space="preserve"> June 30, 2026</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5293" w:type="dxa"/>
        <w:jc w:val="left"/>
        <w:tblInd w:w="0" w:type="dxa"/>
        <w:tblLayout w:type="fixed"/>
        <w:tblCellMar>
          <w:top w:w="0" w:type="dxa"/>
          <w:left w:w="0" w:type="dxa"/>
          <w:bottom w:w="0" w:type="dxa"/>
          <w:right w:w="0" w:type="dxa"/>
        </w:tblCellMar>
      </w:tblPr>
      <w:tblGrid>
        <w:gridCol w:w="2525"/>
        <w:gridCol w:w="60"/>
        <w:gridCol w:w="208"/>
        <w:gridCol w:w="981"/>
        <w:gridCol w:w="60"/>
        <w:gridCol w:w="60"/>
        <w:gridCol w:w="234"/>
        <w:gridCol w:w="1105"/>
        <w:gridCol w:w="6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March 31, 2026</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(billed)</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54,506</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(unbilled)</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14,875</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69,381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9.</w:t>
      </w:r>
      <w:r>
        <w:rPr>
          <w:rFonts w:ascii="Times New Roman;Times;serif" w:hAnsi="Times New Roman;Times;serif"/>
          <w:b/>
          <w:sz w:val="20"/>
        </w:rPr>
        <w:t xml:space="preserve"> Inventory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Inventory, net of reserves, at </w:t>
      </w:r>
      <w:r>
        <w:rPr>
          <w:rStyle w:val="Emphasis"/>
          <w:rFonts w:ascii="Times New Roman;Times;serif" w:hAnsi="Times New Roman;Times;serif"/>
          <w:sz w:val="20"/>
          <w:shd w:fill="FFFFFF" w:val="clear"/>
        </w:rPr>
        <w:t xml:space="preserve"> June 30, 2026</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consisted of the following (in thousands):</w:t>
      </w:r>
    </w:p>
    <w:p>
      <w:pPr>
        <w:pStyle w:val="TextBody"/>
        <w:bidi w:val="0"/>
        <w:spacing w:before="0" w:after="0"/>
        <w:ind w:left="0" w:right="0" w:firstLine="720"/>
        <w:jc w:val="both"/>
        <w:rPr/>
      </w:pPr>
      <w:r>
        <w:rPr/>
        <w:t> </w:t>
      </w:r>
    </w:p>
    <w:tbl>
      <w:tblPr>
        <w:tblW w:w="4648" w:type="dxa"/>
        <w:jc w:val="left"/>
        <w:tblInd w:w="0" w:type="dxa"/>
        <w:tblLayout w:type="fixed"/>
        <w:tblCellMar>
          <w:top w:w="0" w:type="dxa"/>
          <w:left w:w="0" w:type="dxa"/>
          <w:bottom w:w="0" w:type="dxa"/>
          <w:right w:w="0" w:type="dxa"/>
        </w:tblCellMar>
      </w:tblPr>
      <w:tblGrid>
        <w:gridCol w:w="1880"/>
        <w:gridCol w:w="60"/>
        <w:gridCol w:w="208"/>
        <w:gridCol w:w="981"/>
        <w:gridCol w:w="60"/>
        <w:gridCol w:w="60"/>
        <w:gridCol w:w="204"/>
        <w:gridCol w:w="1135"/>
        <w:gridCol w:w="60"/>
      </w:tblGrid>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54,835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54,247</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Work-in-process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26,873</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15,049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program costs</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7,579</w:t>
            </w:r>
          </w:p>
        </w:tc>
        <w:tc>
          <w:tcPr>
            <w:tcW w:w="60" w:type="dxa"/>
            <w:tcBorders/>
            <w:shd w:fill="FFFFFF" w:val="clear"/>
            <w:vAlign w:val="center"/>
          </w:tcPr>
          <w:p>
            <w:pPr>
              <w:pStyle w:val="TableContents"/>
              <w:bidi w:val="0"/>
              <w:spacing w:before="0" w:after="0"/>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103,748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inventory write-downs of $1.1 million and $0.7 million </w:t>
      </w:r>
      <w:r>
        <w:rPr>
          <w:rFonts w:ascii="Times New Roman;Times;serif" w:hAnsi="Times New Roman;Times;serif"/>
          <w:sz w:val="20"/>
        </w:rPr>
        <w:t>f</w:t>
      </w:r>
      <w:r>
        <w:rPr>
          <w:rFonts w:ascii="Times New Roman;Times;serif" w:hAnsi="Times New Roman;Times;serif"/>
          <w:sz w:val="20"/>
          <w:shd w:fill="FFFFFF" w:val="clear"/>
        </w:rPr>
        <w:t xml:space="preserve">or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rPr>
        <w:t>June 30, 2026</w:t>
      </w:r>
      <w:r>
        <w:rPr>
          <w:rFonts w:ascii="Times New Roman;Times;serif" w:hAnsi="Times New Roman;Times;serif"/>
          <w:sz w:val="20"/>
          <w:shd w:fill="FFFFFF" w:val="clear"/>
        </w:rPr>
        <w:t> and </w:t>
      </w:r>
      <w:r>
        <w:rPr>
          <w:rStyle w:val="Emphasis"/>
          <w:rFonts w:ascii="Times New Roman;Times;serif" w:hAnsi="Times New Roman;Times;serif"/>
          <w:sz w:val="20"/>
        </w:rPr>
        <w:t>2025</w:t>
      </w:r>
      <w:r>
        <w:rPr>
          <w:rFonts w:ascii="Times New Roman;Times;serif" w:hAnsi="Times New Roman;Times;serif"/>
          <w:sz w:val="20"/>
          <w:shd w:fill="FFFFFF" w:val="clear"/>
        </w:rPr>
        <w:t>, respectively. </w:t>
      </w:r>
      <w:r>
        <w:rPr>
          <w:rFonts w:ascii="Times New Roman;Times;serif" w:hAnsi="Times New Roman;Times;serif"/>
          <w:sz w:val="20"/>
        </w:rPr>
        <w:t>These write-downs were based on the Company's evaluation of its inventory on hand for excess quantities and obsolescence.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Deferred program costs as of </w:t>
      </w:r>
      <w:r>
        <w:rPr>
          <w:rStyle w:val="Emphasis"/>
          <w:rFonts w:ascii="Times New Roman;Times;serif" w:hAnsi="Times New Roman;Times;serif"/>
          <w:sz w:val="20"/>
          <w:shd w:fill="FFFFFF" w:val="clear"/>
        </w:rPr>
        <w:t xml:space="preserve"> June 30, 2026</w:t>
      </w:r>
      <w:r>
        <w:rPr>
          <w:rFonts w:ascii="Times New Roman;Times;serif" w:hAnsi="Times New Roman;Times;serif"/>
          <w:sz w:val="20"/>
        </w:rPr>
        <w:t> and </w:t>
      </w:r>
      <w:r>
        <w:rPr>
          <w:rStyle w:val="Emphasis"/>
          <w:rFonts w:ascii="Times New Roman;Times;serif" w:hAnsi="Times New Roman;Times;serif"/>
          <w:sz w:val="20"/>
        </w:rPr>
        <w:t xml:space="preserve"> March 31, 2026</w:t>
      </w:r>
      <w:r>
        <w:rPr>
          <w:rFonts w:ascii="Times New Roman;Times;serif" w:hAnsi="Times New Roman;Times;serif"/>
          <w:sz w:val="20"/>
        </w:rPr>
        <w:t> primarily represent costs incurred on programs where the Company needs to complete performance obligations before the related revenue and costs will be recognized.</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10.</w:t>
      </w:r>
      <w:r>
        <w:rPr>
          <w:rFonts w:ascii="Times New Roman;Times;serif" w:hAnsi="Times New Roman;Times;serif"/>
          <w:b/>
          <w:sz w:val="20"/>
        </w:rPr>
        <w:t xml:space="preserve"> Property, Plant and Equipment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cost and accumulated depreciation of property, plant and equipment at </w:t>
      </w:r>
      <w:r>
        <w:rPr>
          <w:rStyle w:val="Emphasis"/>
          <w:rFonts w:ascii="Times New Roman;Times;serif" w:hAnsi="Times New Roman;Times;serif"/>
          <w:sz w:val="20"/>
          <w:shd w:fill="FFFFFF" w:val="clear"/>
        </w:rPr>
        <w:t xml:space="preserve"> June 30, 2026</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are as follows (in thousands):</w:t>
      </w:r>
    </w:p>
    <w:p>
      <w:pPr>
        <w:pStyle w:val="TextBody"/>
        <w:bidi w:val="0"/>
        <w:spacing w:before="0" w:after="0"/>
        <w:ind w:left="0" w:right="0" w:hanging="0"/>
        <w:jc w:val="left"/>
        <w:rPr/>
      </w:pPr>
      <w:r>
        <w:rPr/>
        <w:t> </w:t>
      </w:r>
    </w:p>
    <w:tbl>
      <w:tblPr>
        <w:tblW w:w="5888" w:type="dxa"/>
        <w:jc w:val="left"/>
        <w:tblInd w:w="0" w:type="dxa"/>
        <w:tblLayout w:type="fixed"/>
        <w:tblCellMar>
          <w:top w:w="0" w:type="dxa"/>
          <w:left w:w="0" w:type="dxa"/>
          <w:bottom w:w="0" w:type="dxa"/>
          <w:right w:w="0" w:type="dxa"/>
        </w:tblCellMar>
      </w:tblPr>
      <w:tblGrid>
        <w:gridCol w:w="3080"/>
        <w:gridCol w:w="60"/>
        <w:gridCol w:w="181"/>
        <w:gridCol w:w="1008"/>
        <w:gridCol w:w="80"/>
        <w:gridCol w:w="60"/>
        <w:gridCol w:w="204"/>
        <w:gridCol w:w="1135"/>
        <w:gridCol w:w="8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Land</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41,595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37,770</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Construction in progress – equipment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1,482</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Buildings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34,894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30,989</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Equipment and software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61,810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60,030</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Furniture and fixtures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1,940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Leasehold improvements</w:t>
            </w:r>
          </w:p>
        </w:tc>
        <w:tc>
          <w:tcPr>
            <w:tcW w:w="60" w:type="dxa"/>
            <w:tcBorders/>
            <w:shd w:fill="FFFF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8,286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8,276</w:t>
            </w:r>
          </w:p>
        </w:tc>
        <w:tc>
          <w:tcPr>
            <w:tcW w:w="80" w:type="dxa"/>
            <w:tcBorders/>
            <w:shd w:fill="FFFFFF" w:val="clear"/>
            <w:vAlign w:val="center"/>
          </w:tcPr>
          <w:p>
            <w:pPr>
              <w:pStyle w:val="TableContents"/>
              <w:bidi w:val="0"/>
              <w:spacing w:before="0" w:after="0"/>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plant and equipment, gross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10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151,052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140,487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accumulated depreciation</w:t>
            </w:r>
          </w:p>
        </w:tc>
        <w:tc>
          <w:tcPr>
            <w:tcW w:w="60" w:type="dxa"/>
            <w:tcBorders/>
            <w:shd w:fill="FFFF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(52,297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(50,712</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89,775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Depreciation expense was $1.7 million and $0.9 million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June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respectively.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11.</w:t>
      </w:r>
      <w:r>
        <w:rPr>
          <w:rFonts w:ascii="Times New Roman;Times;serif" w:hAnsi="Times New Roman;Times;serif"/>
          <w:b/>
          <w:sz w:val="20"/>
        </w:rPr>
        <w:t xml:space="preserve"> Equity-Method Investments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 in NWL Pacific Inc. Co., LTD</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a 50% ownership in NWL Pacific Inc. Co., LTD ("NWL Pacific"). The investment represents the Company's interest in NWL Pacific. The investment is a joint venture in South Korea established on </w:t>
      </w:r>
      <w:r>
        <w:rPr>
          <w:rStyle w:val="Emphasis"/>
          <w:rFonts w:ascii="Times New Roman;Times;serif" w:hAnsi="Times New Roman;Times;serif"/>
          <w:sz w:val="20"/>
        </w:rPr>
        <w:t>May 12, 1998.</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treats the equity investment in the condensed consolidated financial statements under the equity method. Equity method investments are equity securities in entities the Company does </w:t>
      </w:r>
      <w:r>
        <w:rPr>
          <w:rStyle w:val="Emphasis"/>
          <w:rFonts w:ascii="Times New Roman;Times;serif" w:hAnsi="Times New Roman;Times;serif"/>
          <w:sz w:val="20"/>
        </w:rPr>
        <w:t>not</w:t>
      </w:r>
      <w:r>
        <w:rPr>
          <w:rFonts w:ascii="Times New Roman;Times;serif" w:hAnsi="Times New Roman;Times;serif"/>
          <w:sz w:val="20"/>
        </w:rPr>
        <w:t xml:space="preserve"> control but over which it has the ability to exercise significant influence. These investments are accounted for under the equity method of accounting in accordance with ASC </w:t>
      </w:r>
      <w:r>
        <w:rPr>
          <w:rStyle w:val="Emphasis"/>
          <w:rFonts w:ascii="Times New Roman;Times;serif" w:hAnsi="Times New Roman;Times;serif"/>
          <w:sz w:val="20"/>
        </w:rPr>
        <w:t>323,</w:t>
      </w:r>
      <w:r>
        <w:rPr>
          <w:rFonts w:ascii="Times New Roman;Times;serif" w:hAnsi="Times New Roman;Times;serif"/>
          <w:sz w:val="20"/>
        </w:rPr>
        <w:t> </w:t>
      </w:r>
      <w:r>
        <w:rPr>
          <w:rFonts w:ascii="Times New Roman;Times;serif" w:hAnsi="Times New Roman;Times;serif"/>
          <w:i/>
          <w:sz w:val="20"/>
        </w:rPr>
        <w:t xml:space="preserve">Investments </w:t>
      </w:r>
      <w:r>
        <w:rPr>
          <w:rFonts w:ascii="Times New Roman;Times;serif" w:hAnsi="Times New Roman;Times;serif"/>
          <w:sz w:val="20"/>
        </w:rPr>
        <w:t xml:space="preserve">— </w:t>
      </w:r>
      <w:r>
        <w:rPr>
          <w:rFonts w:ascii="Times New Roman;Times;serif" w:hAnsi="Times New Roman;Times;serif"/>
          <w:i/>
          <w:sz w:val="20"/>
        </w:rPr>
        <w:t>Equity Method and Joint Ventures</w:t>
      </w:r>
      <w:r>
        <w:rPr>
          <w:rFonts w:ascii="Times New Roman;Times;serif" w:hAnsi="Times New Roman;Times;serif"/>
          <w:sz w:val="20"/>
        </w:rPr>
        <w:t>. Equity method investments are measured at cost minus impairment, if any, plus or minus the Company’s share of an investee’s income or loss, less distributions received. As of </w:t>
      </w:r>
      <w:r>
        <w:rPr>
          <w:rStyle w:val="Emphasis"/>
          <w:rFonts w:ascii="Times New Roman;Times;serif" w:hAnsi="Times New Roman;Times;serif"/>
          <w:sz w:val="20"/>
          <w:shd w:fill="FFFFFF" w:val="clear"/>
        </w:rPr>
        <w:t xml:space="preserve"> June 30, 2026</w:t>
      </w:r>
      <w:r>
        <w:rPr>
          <w:rFonts w:ascii="Times New Roman;Times;serif" w:hAnsi="Times New Roman;Times;serif"/>
          <w:sz w:val="20"/>
        </w:rPr>
        <w:t> the Compa</w:t>
      </w:r>
      <w:r>
        <w:rPr>
          <w:rFonts w:ascii="Times New Roman;Times;serif" w:hAnsi="Times New Roman;Times;serif"/>
          <w:sz w:val="20"/>
          <w:shd w:fill="FFFFFF" w:val="clear"/>
        </w:rPr>
        <w:t xml:space="preserve">ny did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have material accounts receivable nor accounts payable balances wi</w:t>
      </w:r>
      <w:r>
        <w:rPr>
          <w:rFonts w:ascii="Times New Roman;Times;serif" w:hAnsi="Times New Roman;Times;serif"/>
          <w:sz w:val="20"/>
        </w:rPr>
        <w:t>th NWL Pacific. The Company's investment in NWL Pacific was $1.4 million and $1.3 million as of </w:t>
      </w:r>
      <w:r>
        <w:rPr>
          <w:rStyle w:val="Emphasis"/>
          <w:rFonts w:ascii="Times New Roman;Times;serif" w:hAnsi="Times New Roman;Times;serif"/>
          <w:sz w:val="20"/>
          <w:shd w:fill="FFFFFF" w:val="clear"/>
        </w:rPr>
        <w:t xml:space="preserve"> June 30, 2026</w:t>
      </w:r>
      <w:r>
        <w:rPr>
          <w:rFonts w:ascii="Times New Roman;Times;serif" w:hAnsi="Times New Roman;Times;serif"/>
          <w:sz w:val="20"/>
        </w:rPr>
        <w:t xml:space="preserve"> and </w:t>
      </w:r>
      <w:r>
        <w:rPr>
          <w:rStyle w:val="Emphasis"/>
          <w:rFonts w:ascii="Times New Roman;Times;serif" w:hAnsi="Times New Roman;Times;serif"/>
          <w:sz w:val="20"/>
        </w:rPr>
        <w:t xml:space="preserve">March 31, 2026, </w:t>
      </w:r>
      <w:r>
        <w:rPr>
          <w:rFonts w:ascii="Times New Roman;Times;serif" w:hAnsi="Times New Roman;Times;serif"/>
          <w:sz w:val="20"/>
        </w:rPr>
        <w:t>respectively.</w:t>
      </w:r>
    </w:p>
    <w:p>
      <w:pPr>
        <w:pStyle w:val="TextBody"/>
        <w:bidi w:val="0"/>
        <w:spacing w:before="0" w:after="0"/>
        <w:ind w:left="0" w:right="0" w:firstLine="720"/>
        <w:jc w:val="both"/>
        <w:rPr/>
      </w:pPr>
      <w:r>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The table below presents the summarized financial information for periods presented post-acquisition, as provided to the Company by the investee, for the unconsolidated company (in thousands):</w:t>
      </w:r>
    </w:p>
    <w:p>
      <w:pPr>
        <w:pStyle w:val="TextBody"/>
        <w:bidi w:val="0"/>
        <w:spacing w:before="0" w:after="0"/>
        <w:ind w:left="160" w:right="0" w:hanging="180"/>
        <w:jc w:val="left"/>
        <w:rPr>
          <w:caps w:val="false"/>
          <w:smallCaps w:val="false"/>
        </w:rPr>
      </w:pPr>
      <w:r>
        <w:rPr>
          <w:caps w:val="false"/>
          <w:smallCaps w:val="false"/>
        </w:rPr>
        <w:t> </w:t>
      </w:r>
    </w:p>
    <w:tbl>
      <w:tblPr>
        <w:tblW w:w="7123" w:type="dxa"/>
        <w:jc w:val="left"/>
        <w:tblInd w:w="0" w:type="dxa"/>
        <w:tblLayout w:type="fixed"/>
        <w:tblCellMar>
          <w:top w:w="0" w:type="dxa"/>
          <w:left w:w="0" w:type="dxa"/>
          <w:bottom w:w="0" w:type="dxa"/>
          <w:right w:w="0" w:type="dxa"/>
        </w:tblCellMar>
      </w:tblPr>
      <w:tblGrid>
        <w:gridCol w:w="1865"/>
        <w:gridCol w:w="60"/>
        <w:gridCol w:w="513"/>
        <w:gridCol w:w="1996"/>
        <w:gridCol w:w="60"/>
        <w:gridCol w:w="60"/>
        <w:gridCol w:w="513"/>
        <w:gridCol w:w="1996"/>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ind w:left="0" w:right="0" w:hanging="0"/>
              <w:jc w:val="left"/>
              <w:rPr/>
            </w:pPr>
            <w:r>
              <w:rPr/>
              <w:t> </w:t>
            </w:r>
          </w:p>
        </w:tc>
        <w:tc>
          <w:tcPr>
            <w:tcW w:w="1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ind w:left="0" w:right="0" w:hanging="0"/>
              <w:jc w:val="left"/>
              <w:rPr/>
            </w:pPr>
            <w:r>
              <w:rPr/>
              <w:t> </w:t>
            </w:r>
          </w:p>
        </w:tc>
        <w:tc>
          <w:tcPr>
            <w:tcW w:w="1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w:t>
            </w:r>
          </w:p>
        </w:tc>
        <w:tc>
          <w:tcPr>
            <w:tcW w:w="60" w:type="dxa"/>
            <w:tcBorders/>
            <w:shd w:fill="CCEEFF" w:val="clear"/>
            <w:vAlign w:val="center"/>
          </w:tcPr>
          <w:p>
            <w:pPr>
              <w:pStyle w:val="TableContents"/>
              <w:bidi w:val="0"/>
              <w:spacing w:before="0" w:after="283"/>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5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Accounts Payable and Accrued Expenses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Accounts payable and accrued expenses at </w:t>
      </w:r>
      <w:r>
        <w:rPr>
          <w:rStyle w:val="Emphasis"/>
          <w:rFonts w:ascii="Times New Roman;Times;serif" w:hAnsi="Times New Roman;Times;serif"/>
          <w:sz w:val="20"/>
          <w:shd w:fill="FFFFFF" w:val="clear"/>
        </w:rPr>
        <w:t xml:space="preserve"> June 30, 2026</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5908" w:type="dxa"/>
        <w:jc w:val="left"/>
        <w:tblInd w:w="0" w:type="dxa"/>
        <w:tblLayout w:type="fixed"/>
        <w:tblCellMar>
          <w:top w:w="0" w:type="dxa"/>
          <w:left w:w="0" w:type="dxa"/>
          <w:bottom w:w="0" w:type="dxa"/>
          <w:right w:w="0" w:type="dxa"/>
        </w:tblCellMar>
      </w:tblPr>
      <w:tblGrid>
        <w:gridCol w:w="3140"/>
        <w:gridCol w:w="60"/>
        <w:gridCol w:w="208"/>
        <w:gridCol w:w="981"/>
        <w:gridCol w:w="60"/>
        <w:gridCol w:w="60"/>
        <w:gridCol w:w="234"/>
        <w:gridCol w:w="1105"/>
        <w:gridCol w:w="60"/>
      </w:tblGrid>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March 31, 2026</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20"/>
              </w:rPr>
            </w:pPr>
            <w:r>
              <w:rPr>
                <w:sz w:val="20"/>
              </w:rPr>
              <w:t>$</w:t>
            </w:r>
          </w:p>
        </w:tc>
        <w:tc>
          <w:tcPr>
            <w:tcW w:w="981" w:type="dxa"/>
            <w:tcBorders/>
            <w:shd w:fill="CCEEFF" w:val="clear"/>
            <w:vAlign w:val="center"/>
          </w:tcPr>
          <w:p>
            <w:pPr>
              <w:pStyle w:val="TableContents"/>
              <w:bidi w:val="0"/>
              <w:spacing w:before="0" w:after="283"/>
              <w:jc w:val="right"/>
              <w:rPr>
                <w:sz w:val="20"/>
              </w:rPr>
            </w:pPr>
            <w:r>
              <w:rPr>
                <w:sz w:val="20"/>
              </w:rPr>
              <w:t>18,197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sz w:val="20"/>
              </w:rPr>
            </w:pPr>
            <w:r>
              <w:rPr>
                <w:sz w:val="20"/>
              </w:rPr>
              <w:t>$</w:t>
            </w:r>
          </w:p>
        </w:tc>
        <w:tc>
          <w:tcPr>
            <w:tcW w:w="1105" w:type="dxa"/>
            <w:tcBorders/>
            <w:shd w:fill="CCEEFF" w:val="clear"/>
            <w:vAlign w:val="center"/>
          </w:tcPr>
          <w:p>
            <w:pPr>
              <w:pStyle w:val="TableContents"/>
              <w:bidi w:val="0"/>
              <w:spacing w:before="0" w:after="283"/>
              <w:jc w:val="right"/>
              <w:rPr>
                <w:sz w:val="20"/>
              </w:rPr>
            </w:pPr>
            <w:r>
              <w:rPr>
                <w:sz w:val="20"/>
              </w:rPr>
              <w:t>13,015</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inventories in-transit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sz w:val="20"/>
              </w:rPr>
            </w:pPr>
            <w:r>
              <w:rPr>
                <w:sz w:val="20"/>
              </w:rPr>
              <w:t>1,796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1,104</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other miscellaneous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sz w:val="20"/>
              </w:rPr>
            </w:pPr>
            <w:r>
              <w:rPr>
                <w:sz w:val="20"/>
              </w:rPr>
              <w:t>7,189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5,769</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Advanced deposits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sz w:val="20"/>
              </w:rPr>
            </w:pPr>
            <w:r>
              <w:rPr>
                <w:sz w:val="20"/>
              </w:rPr>
              <w:t>4,423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3,491</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sz w:val="20"/>
              </w:rPr>
            </w:pPr>
            <w:r>
              <w:rPr>
                <w:sz w:val="20"/>
              </w:rPr>
              <w:t>10,002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15,518</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sz w:val="20"/>
              </w:rPr>
            </w:pPr>
            <w:r>
              <w:rPr>
                <w:sz w:val="20"/>
              </w:rPr>
              <w:t>1,606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641</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product warranty</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sz w:val="20"/>
              </w:rPr>
            </w:pPr>
            <w:r>
              <w:rPr>
                <w:sz w:val="20"/>
              </w:rPr>
              <w:t>4,801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4,684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commissions</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2,685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2,323</w:t>
            </w:r>
          </w:p>
        </w:tc>
        <w:tc>
          <w:tcPr>
            <w:tcW w:w="60" w:type="dxa"/>
            <w:tcBorders/>
            <w:shd w:fill="FFFFFF" w:val="clear"/>
            <w:vAlign w:val="center"/>
          </w:tcPr>
          <w:p>
            <w:pPr>
              <w:pStyle w:val="TableContents"/>
              <w:bidi w:val="0"/>
              <w:spacing w:before="0" w:after="0"/>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50,698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46,545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5"/>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Product warranty activity was as follows (in thousands):</w:t>
      </w:r>
    </w:p>
    <w:p>
      <w:pPr>
        <w:pStyle w:val="TextBody"/>
        <w:bidi w:val="0"/>
        <w:spacing w:before="0" w:after="0"/>
        <w:ind w:left="0" w:right="0" w:firstLine="720"/>
        <w:jc w:val="both"/>
        <w:rPr/>
      </w:pPr>
      <w:r>
        <w:rPr/>
        <w:t> </w:t>
      </w:r>
    </w:p>
    <w:tbl>
      <w:tblPr>
        <w:tblW w:w="6117" w:type="dxa"/>
        <w:jc w:val="left"/>
        <w:tblInd w:w="0" w:type="dxa"/>
        <w:tblLayout w:type="fixed"/>
        <w:tblCellMar>
          <w:top w:w="0" w:type="dxa"/>
          <w:left w:w="0" w:type="dxa"/>
          <w:bottom w:w="0" w:type="dxa"/>
          <w:right w:w="0" w:type="dxa"/>
        </w:tblCellMar>
      </w:tblPr>
      <w:tblGrid>
        <w:gridCol w:w="3470"/>
        <w:gridCol w:w="60"/>
        <w:gridCol w:w="230"/>
        <w:gridCol w:w="895"/>
        <w:gridCol w:w="147"/>
        <w:gridCol w:w="110"/>
        <w:gridCol w:w="230"/>
        <w:gridCol w:w="895"/>
        <w:gridCol w:w="80"/>
      </w:tblGrid>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1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4,684</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3,033</w:t>
            </w:r>
          </w:p>
        </w:tc>
        <w:tc>
          <w:tcPr>
            <w:tcW w:w="8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Provisions for warranties during the period</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 during the period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4,801</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13.</w:t>
      </w:r>
      <w:r>
        <w:rPr>
          <w:rFonts w:ascii="Times New Roman;Times;serif" w:hAnsi="Times New Roman;Times;serif"/>
          <w:b/>
          <w:sz w:val="20"/>
        </w:rPr>
        <w:t xml:space="preserve"> Income Taxes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recorded income tax expense of $1.3 million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and income tax expense of $0.2 million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effective tax rate was 11.7% and 2.9%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respectively. For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the effective tax rate was lower than the statutory rate primarily as a result of excess tax benefits for the vesting of share-based compensation awards during the period.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xml:space="preserve"> the effective tax rate was lower than the U.S. Statutory rate primarily due to the valuation allowance against U.S. deferred tax assets, a majority of which was subsequently released in fiscal </w:t>
      </w:r>
      <w:r>
        <w:rPr>
          <w:rStyle w:val="Emphasis"/>
          <w:rFonts w:ascii="Times New Roman;Times;serif" w:hAnsi="Times New Roman;Times;serif"/>
          <w:sz w:val="20"/>
        </w:rPr>
        <w:t>2025.</w:t>
      </w:r>
      <w:r>
        <w:rPr>
          <w:rFonts w:ascii="Times New Roman;Times;serif" w:hAnsi="Times New Roman;Times;serif"/>
          <w:sz w:val="20"/>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a quarterly basis, the Company reassesses the valuation allowance on deferred income tax assets, weighing positive and negative evidence to assess the recoverability of the deferred tax assets. A tax valuation allowance is established, as needed, to reduce deferred tax assets to the amount expected to be realized. In the period in which it becomes more likely than </w:t>
      </w:r>
      <w:r>
        <w:rPr>
          <w:rStyle w:val="Emphasis"/>
          <w:rFonts w:ascii="Times New Roman;Times;serif" w:hAnsi="Times New Roman;Times;serif"/>
          <w:sz w:val="20"/>
        </w:rPr>
        <w:t>not</w:t>
      </w:r>
      <w:r>
        <w:rPr>
          <w:rFonts w:ascii="Times New Roman;Times;serif" w:hAnsi="Times New Roman;Times;serif"/>
          <w:sz w:val="20"/>
        </w:rPr>
        <w:t xml:space="preserve"> that some or all of the deferred tax assets will be realized, the valuation allowance will be adjusted. As of </w:t>
      </w:r>
      <w:r>
        <w:rPr>
          <w:rStyle w:val="Emphasis"/>
          <w:rFonts w:ascii="Times New Roman;Times;serif" w:hAnsi="Times New Roman;Times;serif"/>
          <w:sz w:val="20"/>
        </w:rPr>
        <w:t>June 30, 2026</w:t>
      </w:r>
      <w:r>
        <w:rPr>
          <w:rFonts w:ascii="Times New Roman;Times;serif" w:hAnsi="Times New Roman;Times;serif"/>
          <w:sz w:val="20"/>
        </w:rPr>
        <w:t>, the Company maintains a valuation allowance against certain deferred tax assets in the U.S. and Poland.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Accounting for income taxes requires a </w:t>
      </w:r>
      <w:r>
        <w:rPr>
          <w:rStyle w:val="Emphasis"/>
          <w:rFonts w:ascii="Times New Roman;Times;serif" w:hAnsi="Times New Roman;Times;serif"/>
          <w:sz w:val="20"/>
        </w:rPr>
        <w:t>two</w:t>
      </w:r>
      <w:r>
        <w:rPr>
          <w:rFonts w:ascii="Times New Roman;Times;serif" w:hAnsi="Times New Roman;Times;serif"/>
          <w:sz w:val="20"/>
        </w:rPr>
        <w:t xml:space="preserve">-step approach to recognizing and measuring uncertain tax positions. The </w:t>
      </w:r>
      <w:r>
        <w:rPr>
          <w:rStyle w:val="Emphasis"/>
          <w:rFonts w:ascii="Times New Roman;Times;serif" w:hAnsi="Times New Roman;Times;serif"/>
          <w:sz w:val="20"/>
        </w:rPr>
        <w:t>first</w:t>
      </w:r>
      <w:r>
        <w:rPr>
          <w:rFonts w:ascii="Times New Roman;Times;serif" w:hAnsi="Times New Roman;Times;serif"/>
          <w:sz w:val="20"/>
        </w:rPr>
        <w:t xml:space="preserve"> step is to evaluate the tax position for recognition by determining if, based on the technical merits, it is more likely than </w:t>
      </w:r>
      <w:r>
        <w:rPr>
          <w:rStyle w:val="Emphasis"/>
          <w:rFonts w:ascii="Times New Roman;Times;serif" w:hAnsi="Times New Roman;Times;serif"/>
          <w:sz w:val="20"/>
        </w:rPr>
        <w:t>not</w:t>
      </w:r>
      <w:r>
        <w:rPr>
          <w:rFonts w:ascii="Times New Roman;Times;serif" w:hAnsi="Times New Roman;Times;serif"/>
          <w:sz w:val="20"/>
        </w:rPr>
        <w:t xml:space="preserve"> the position will be sustained upon audit, including resolution of related appeals or litigation processes, if any. The </w:t>
      </w:r>
      <w:r>
        <w:rPr>
          <w:rStyle w:val="Emphasis"/>
          <w:rFonts w:ascii="Times New Roman;Times;serif" w:hAnsi="Times New Roman;Times;serif"/>
          <w:sz w:val="20"/>
        </w:rPr>
        <w:t>second</w:t>
      </w:r>
      <w:r>
        <w:rPr>
          <w:rFonts w:ascii="Times New Roman;Times;serif" w:hAnsi="Times New Roman;Times;serif"/>
          <w:sz w:val="20"/>
        </w:rPr>
        <w:t xml:space="preserve"> step is to measure the tax benefit as the largest amount that is more than </w:t>
      </w:r>
      <w:r>
        <w:rPr>
          <w:rStyle w:val="Emphasis"/>
          <w:rFonts w:ascii="Times New Roman;Times;serif" w:hAnsi="Times New Roman;Times;serif"/>
          <w:sz w:val="20"/>
        </w:rPr>
        <w:t>50%</w:t>
      </w:r>
      <w:r>
        <w:rPr>
          <w:rFonts w:ascii="Times New Roman;Times;serif" w:hAnsi="Times New Roman;Times;serif"/>
          <w:sz w:val="20"/>
        </w:rPr>
        <w:t xml:space="preserve"> likely to be realized upon ultimate settlement. The Company re-evaluates these uncertain tax positions on a quarterly basis. The evaluation is based on factors including, but </w:t>
      </w:r>
      <w:r>
        <w:rPr>
          <w:rStyle w:val="Emphasis"/>
          <w:rFonts w:ascii="Times New Roman;Times;serif" w:hAnsi="Times New Roman;Times;serif"/>
          <w:sz w:val="20"/>
        </w:rPr>
        <w:t>not</w:t>
      </w:r>
      <w:r>
        <w:rPr>
          <w:rFonts w:ascii="Times New Roman;Times;serif" w:hAnsi="Times New Roman;Times;serif"/>
          <w:sz w:val="20"/>
        </w:rPr>
        <w:t xml:space="preserve">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 xml:space="preserve"> June 30, 2026</w:t>
      </w:r>
      <w:r>
        <w:rPr>
          <w:rFonts w:ascii="Times New Roman;Times;serif" w:hAnsi="Times New Roman;Times;serif"/>
          <w:sz w:val="20"/>
        </w:rPr>
        <w:t xml:space="preserve"> and did not have any gross unrecognized tax benefits as of </w:t>
      </w:r>
      <w:r>
        <w:rPr>
          <w:rStyle w:val="Emphasis"/>
          <w:rFonts w:ascii="Times New Roman;Times;serif" w:hAnsi="Times New Roman;Times;serif"/>
          <w:sz w:val="20"/>
          <w:shd w:fill="FFFFFF" w:val="clear"/>
        </w:rPr>
        <w:t>June 30, 2026</w:t>
      </w:r>
      <w:r>
        <w:rPr>
          <w:rFonts w:ascii="Times New Roman;Times;serif" w:hAnsi="Times New Roman;Times;serif"/>
          <w:sz w:val="20"/>
        </w:rPr>
        <w:t>.</w:t>
      </w:r>
    </w:p>
    <w:p>
      <w:pPr>
        <w:pStyle w:val="TextBody"/>
        <w:bidi w:val="0"/>
        <w:spacing w:before="0" w:after="0"/>
        <w:ind w:left="0" w:right="0" w:firstLine="555"/>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14.</w:t>
      </w:r>
      <w:r>
        <w:rPr>
          <w:rFonts w:ascii="Times New Roman;Times;serif" w:hAnsi="Times New Roman;Times;serif"/>
          <w:b/>
          <w:sz w:val="20"/>
        </w:rPr>
        <w:t xml:space="preserve"> Contingent Consideration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Comtrafo Contingent Consideration</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5, 2025, </w:t>
      </w:r>
      <w:r>
        <w:rPr>
          <w:rFonts w:ascii="Times New Roman" w:hAnsi="Times New Roman"/>
          <w:caps w:val="false"/>
          <w:smallCaps w:val="false"/>
          <w:sz w:val="20"/>
        </w:rPr>
        <w:t xml:space="preserve">the Company entered into the Stock Exchange Agreement with the selling stockholders named therein. Pursuant to the terms of the Stock Exchange Agreement, the Company has agreed to pay the selling stockholders of the Comtrafo Acquisition an additional amount in cash upon the achievement of specified EBITDA objectives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following the Comtrafo Acquisition Date. The Company evaluated the Comtrafo Acquisition earnout payment set forth in the Comtrafo Stock Exchange Agreement (See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"Acquisition" for further details), which will require settlement in cash, and determined the contingent consideration qualified for liability classification. As a result, for each period, the fair value of the contingent consideration will be remeasured, and the resulting gain or loss will be recognized until the cash amount is fixed. </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Following is a summary of the key assumptions used in a Monte Carlo simulation to calculate the fair value of contingent consideration related to the Comtrafo Acquisition: </w:t>
      </w:r>
    </w:p>
    <w:p>
      <w:pPr>
        <w:pStyle w:val="TextBody"/>
        <w:bidi w:val="0"/>
        <w:spacing w:before="0" w:after="0"/>
        <w:ind w:left="0" w:right="0" w:firstLine="720"/>
        <w:jc w:val="both"/>
        <w:rPr>
          <w:caps w:val="false"/>
          <w:smallCaps w:val="false"/>
        </w:rPr>
      </w:pPr>
      <w:r>
        <w:rPr>
          <w:caps w:val="false"/>
          <w:smallCaps w:val="false"/>
        </w:rPr>
        <w:t> </w:t>
      </w:r>
    </w:p>
    <w:tbl>
      <w:tblPr>
        <w:tblW w:w="3959" w:type="dxa"/>
        <w:jc w:val="left"/>
        <w:tblInd w:w="0" w:type="dxa"/>
        <w:tblLayout w:type="fixed"/>
        <w:tblCellMar>
          <w:top w:w="0" w:type="dxa"/>
          <w:left w:w="0" w:type="dxa"/>
          <w:bottom w:w="0" w:type="dxa"/>
          <w:right w:w="0" w:type="dxa"/>
        </w:tblCellMar>
      </w:tblPr>
      <w:tblGrid>
        <w:gridCol w:w="2990"/>
        <w:gridCol w:w="60"/>
        <w:gridCol w:w="179"/>
        <w:gridCol w:w="545"/>
        <w:gridCol w:w="18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2026</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Risk Premium (continuous)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Volatility</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Spread (semiannual)</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discount rate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delay (days)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(millions)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900"/>
        <w:jc w:val="both"/>
        <w:rPr>
          <w:caps w:val="false"/>
          <w:smallCaps w:val="false"/>
        </w:rPr>
      </w:pPr>
      <w:r>
        <w:rPr>
          <w:caps w:val="false"/>
          <w:smallCaps w:val="false"/>
        </w:rPr>
        <w:t> </w:t>
      </w:r>
    </w:p>
    <w:tbl>
      <w:tblPr>
        <w:tblW w:w="6887" w:type="dxa"/>
        <w:jc w:val="left"/>
        <w:tblInd w:w="0" w:type="dxa"/>
        <w:tblLayout w:type="fixed"/>
        <w:tblCellMar>
          <w:top w:w="0" w:type="dxa"/>
          <w:left w:w="0" w:type="dxa"/>
          <w:bottom w:w="0" w:type="dxa"/>
          <w:right w:w="0" w:type="dxa"/>
        </w:tblCellMar>
      </w:tblPr>
      <w:tblGrid>
        <w:gridCol w:w="2990"/>
        <w:gridCol w:w="60"/>
        <w:gridCol w:w="216"/>
        <w:gridCol w:w="658"/>
        <w:gridCol w:w="185"/>
        <w:gridCol w:w="60"/>
        <w:gridCol w:w="283"/>
        <w:gridCol w:w="861"/>
        <w:gridCol w:w="185"/>
        <w:gridCol w:w="60"/>
        <w:gridCol w:w="283"/>
        <w:gridCol w:w="861"/>
        <w:gridCol w:w="18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05,</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2025</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Risk Premium (continuous)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sz w:val="20"/>
              </w:rPr>
            </w:pPr>
            <w:r>
              <w:rPr>
                <w:sz w:val="20"/>
              </w:rPr>
              <w:t>1.40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sz w:val="20"/>
              </w:rPr>
            </w:pPr>
            <w:r>
              <w:rPr>
                <w:sz w:val="20"/>
              </w:rPr>
              <w:t>2.10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sz w:val="20"/>
              </w:rPr>
            </w:pPr>
            <w:r>
              <w:rPr>
                <w:sz w:val="20"/>
              </w:rPr>
              <w:t>2.10</w:t>
            </w:r>
          </w:p>
        </w:tc>
        <w:tc>
          <w:tcPr>
            <w:tcW w:w="185" w:type="dxa"/>
            <w:tcBorders/>
            <w:shd w:fill="CCEEFF" w:val="clear"/>
            <w:vAlign w:val="center"/>
          </w:tcPr>
          <w:p>
            <w:pPr>
              <w:pStyle w:val="TableContents"/>
              <w:bidi w:val="0"/>
              <w:spacing w:before="0" w:after="283"/>
              <w:jc w:val="left"/>
              <w:rPr>
                <w:sz w:val="20"/>
              </w:rPr>
            </w:pPr>
            <w:r>
              <w:rPr>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Volatility</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sz w:val="20"/>
              </w:rPr>
            </w:pPr>
            <w:r>
              <w:rPr>
                <w:sz w:val="20"/>
              </w:rPr>
              <w:t>25.0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sz w:val="20"/>
              </w:rPr>
            </w:pPr>
            <w:r>
              <w:rPr>
                <w:sz w:val="20"/>
              </w:rPr>
              <w:t>25.0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sz w:val="20"/>
              </w:rPr>
            </w:pPr>
            <w:r>
              <w:rPr>
                <w:sz w:val="20"/>
              </w:rPr>
              <w:t>25.0</w:t>
            </w:r>
          </w:p>
        </w:tc>
        <w:tc>
          <w:tcPr>
            <w:tcW w:w="185" w:type="dxa"/>
            <w:tcBorders/>
            <w:shd w:fill="FFFFFF" w:val="clear"/>
            <w:vAlign w:val="center"/>
          </w:tcPr>
          <w:p>
            <w:pPr>
              <w:pStyle w:val="TableContents"/>
              <w:bidi w:val="0"/>
              <w:spacing w:before="0" w:after="283"/>
              <w:jc w:val="left"/>
              <w:rPr>
                <w:sz w:val="20"/>
              </w:rPr>
            </w:pPr>
            <w:r>
              <w:rPr>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Spread (semiannual)</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sz w:val="20"/>
              </w:rPr>
            </w:pPr>
            <w:r>
              <w:rPr>
                <w:sz w:val="20"/>
              </w:rPr>
              <w:t>1.9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sz w:val="20"/>
              </w:rPr>
            </w:pPr>
            <w:r>
              <w:rPr>
                <w:sz w:val="20"/>
              </w:rPr>
              <w:t>1.9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sz w:val="20"/>
              </w:rPr>
            </w:pPr>
            <w:r>
              <w:rPr>
                <w:sz w:val="20"/>
              </w:rPr>
              <w:t>1.9</w:t>
            </w:r>
          </w:p>
        </w:tc>
        <w:tc>
          <w:tcPr>
            <w:tcW w:w="185" w:type="dxa"/>
            <w:tcBorders/>
            <w:shd w:fill="CCEEFF" w:val="clear"/>
            <w:vAlign w:val="center"/>
          </w:tcPr>
          <w:p>
            <w:pPr>
              <w:pStyle w:val="TableContents"/>
              <w:bidi w:val="0"/>
              <w:spacing w:before="0" w:after="283"/>
              <w:jc w:val="left"/>
              <w:rPr>
                <w:sz w:val="20"/>
              </w:rPr>
            </w:pPr>
            <w:r>
              <w:rPr>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discount rate</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sz w:val="20"/>
              </w:rPr>
            </w:pPr>
            <w:r>
              <w:rPr>
                <w:sz w:val="20"/>
              </w:rPr>
              <w:t>14.7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sz w:val="20"/>
              </w:rPr>
            </w:pPr>
            <w:r>
              <w:rPr>
                <w:sz w:val="20"/>
              </w:rPr>
              <w:t>15.0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sz w:val="20"/>
              </w:rPr>
            </w:pPr>
            <w:r>
              <w:rPr>
                <w:sz w:val="20"/>
              </w:rPr>
              <w:t>15.0</w:t>
            </w:r>
          </w:p>
        </w:tc>
        <w:tc>
          <w:tcPr>
            <w:tcW w:w="185" w:type="dxa"/>
            <w:tcBorders/>
            <w:shd w:fill="FFFFFF" w:val="clear"/>
            <w:vAlign w:val="center"/>
          </w:tcPr>
          <w:p>
            <w:pPr>
              <w:pStyle w:val="TableContents"/>
              <w:bidi w:val="0"/>
              <w:spacing w:before="0" w:after="283"/>
              <w:jc w:val="left"/>
              <w:rPr>
                <w:sz w:val="20"/>
              </w:rPr>
            </w:pPr>
            <w:r>
              <w:rPr>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delay (days)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89</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(millions)</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sz w:val="20"/>
              </w:rPr>
            </w:pPr>
            <w:r>
              <w:rPr>
                <w:sz w:val="20"/>
              </w:rPr>
              <w:t>$</w:t>
            </w:r>
          </w:p>
        </w:tc>
        <w:tc>
          <w:tcPr>
            <w:tcW w:w="658" w:type="dxa"/>
            <w:tcBorders/>
            <w:shd w:fill="FFFFFF" w:val="clear"/>
            <w:vAlign w:val="center"/>
          </w:tcPr>
          <w:p>
            <w:pPr>
              <w:pStyle w:val="TableContents"/>
              <w:bidi w:val="0"/>
              <w:spacing w:before="0" w:after="283"/>
              <w:ind w:left="0" w:right="0" w:hanging="0"/>
              <w:jc w:val="right"/>
              <w:rPr>
                <w:sz w:val="20"/>
              </w:rPr>
            </w:pPr>
            <w:r>
              <w:rPr>
                <w:sz w:val="20"/>
              </w:rPr>
              <w:t>39.5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left"/>
              <w:rPr>
                <w:sz w:val="20"/>
              </w:rPr>
            </w:pPr>
            <w:r>
              <w:rPr>
                <w:sz w:val="20"/>
              </w:rPr>
              <w:t>$</w:t>
            </w:r>
          </w:p>
        </w:tc>
        <w:tc>
          <w:tcPr>
            <w:tcW w:w="861" w:type="dxa"/>
            <w:tcBorders/>
            <w:shd w:fill="FFFFFF" w:val="clear"/>
            <w:vAlign w:val="center"/>
          </w:tcPr>
          <w:p>
            <w:pPr>
              <w:pStyle w:val="TableContents"/>
              <w:bidi w:val="0"/>
              <w:spacing w:before="0" w:after="283"/>
              <w:ind w:left="0" w:right="0" w:hanging="0"/>
              <w:jc w:val="right"/>
              <w:rPr>
                <w:sz w:val="20"/>
              </w:rPr>
            </w:pPr>
            <w:r>
              <w:rPr>
                <w:sz w:val="20"/>
              </w:rPr>
              <w:t>34.8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 w:type="dxa"/>
            <w:tcBorders/>
            <w:shd w:fill="FFFFFF" w:val="clear"/>
            <w:vAlign w:val="center"/>
          </w:tcPr>
          <w:p>
            <w:pPr>
              <w:pStyle w:val="TableContents"/>
              <w:bidi w:val="0"/>
              <w:spacing w:before="0" w:after="283"/>
              <w:ind w:left="0" w:right="0" w:hanging="0"/>
              <w:jc w:val="left"/>
              <w:rPr>
                <w:sz w:val="20"/>
              </w:rPr>
            </w:pPr>
            <w:r>
              <w:rPr>
                <w:sz w:val="20"/>
              </w:rPr>
              <w:t>$</w:t>
            </w:r>
          </w:p>
        </w:tc>
        <w:tc>
          <w:tcPr>
            <w:tcW w:w="861" w:type="dxa"/>
            <w:tcBorders/>
            <w:shd w:fill="FFFFFF" w:val="clear"/>
            <w:vAlign w:val="center"/>
          </w:tcPr>
          <w:p>
            <w:pPr>
              <w:pStyle w:val="TableContents"/>
              <w:bidi w:val="0"/>
              <w:spacing w:before="0" w:after="283"/>
              <w:ind w:left="0" w:right="0" w:hanging="0"/>
              <w:jc w:val="right"/>
              <w:rPr>
                <w:sz w:val="20"/>
              </w:rPr>
            </w:pPr>
            <w:r>
              <w:rPr>
                <w:sz w:val="20"/>
              </w:rPr>
              <w:t>34.8</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performed an analysis on the change in fair value through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recorded a gain from the change in fair value of the contingent consideration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of $8.1 million. The Company did not record any activity related to contingent consideration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15.</w:t>
      </w:r>
      <w:r>
        <w:rPr>
          <w:rFonts w:ascii="Times New Roman;Times;serif" w:hAnsi="Times New Roman;Times;serif"/>
          <w:b/>
          <w:sz w:val="20"/>
        </w:rPr>
        <w:t xml:space="preserve"> Leases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w:t>
      </w:r>
      <w:r>
        <w:rPr>
          <w:rStyle w:val="Emphasis"/>
          <w:rFonts w:ascii="Times New Roman;Times;serif" w:hAnsi="Times New Roman;Times;serif"/>
          <w:sz w:val="20"/>
        </w:rPr>
        <w:t>one</w:t>
      </w:r>
      <w:r>
        <w:rPr>
          <w:rFonts w:ascii="Times New Roman;Times;serif" w:hAnsi="Times New Roman;Times;serif"/>
          <w:sz w:val="20"/>
        </w:rPr>
        <w:t xml:space="preserv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also enters into leases for vehicles, IT equipment and service agreements, and other leases related to its manufacturing operations that are also included in the right-of-use assets and lease liability accounts if they are for a term of longer than </w:t>
      </w:r>
      <w:r>
        <w:rPr>
          <w:rStyle w:val="Emphasis"/>
          <w:rFonts w:ascii="Times New Roman;Times;serif" w:hAnsi="Times New Roman;Times;serif"/>
          <w:sz w:val="20"/>
        </w:rPr>
        <w:t>twelve</w:t>
      </w:r>
      <w:r>
        <w:rPr>
          <w:rFonts w:ascii="Times New Roman;Times;serif" w:hAnsi="Times New Roman;Times;serif"/>
          <w:sz w:val="20"/>
        </w:rPr>
        <w:t xml:space="preserve"> months. However, many of these leases are either short-term in nature or immaterial. The Company has made the policy election to exclude short-term leases from the condensed consolidated balance sheets. </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Supplemental balance sheet information related to leases at </w:t>
      </w:r>
      <w:r>
        <w:rPr>
          <w:rStyle w:val="Emphasis"/>
          <w:rFonts w:ascii="Times New Roman;Times;serif" w:hAnsi="Times New Roman;Times;serif"/>
          <w:sz w:val="20"/>
          <w:shd w:fill="FFFFFF" w:val="clear"/>
        </w:rPr>
        <w:t xml:space="preserve"> June 30, 2026</w:t>
      </w:r>
      <w:r>
        <w:rPr>
          <w:rFonts w:ascii="Times New Roman;Times;serif" w:hAnsi="Times New Roman;Times;serif"/>
          <w:sz w:val="20"/>
        </w:rPr>
        <w:t>, and </w:t>
      </w:r>
      <w:r>
        <w:rPr>
          <w:rStyle w:val="Emphasis"/>
          <w:rFonts w:ascii="Times New Roman;Times;serif" w:hAnsi="Times New Roman;Times;serif"/>
          <w:sz w:val="20"/>
        </w:rPr>
        <w:t xml:space="preserve"> March 31, 2026</w:t>
      </w:r>
      <w:r>
        <w:rPr>
          <w:rFonts w:ascii="Times New Roman;Times;serif" w:hAnsi="Times New Roman;Times;serif"/>
          <w:sz w:val="20"/>
        </w:rPr>
        <w:t xml:space="preserve"> are as follows (in thousands):</w:t>
      </w:r>
    </w:p>
    <w:p>
      <w:pPr>
        <w:pStyle w:val="TextBody"/>
        <w:bidi w:val="0"/>
        <w:spacing w:before="0" w:after="0"/>
        <w:ind w:left="0" w:right="0" w:firstLine="720"/>
        <w:jc w:val="both"/>
        <w:rPr/>
      </w:pPr>
      <w:r>
        <w:rPr/>
        <w:t> </w:t>
      </w:r>
    </w:p>
    <w:tbl>
      <w:tblPr>
        <w:tblW w:w="6248" w:type="dxa"/>
        <w:jc w:val="left"/>
        <w:tblInd w:w="0" w:type="dxa"/>
        <w:tblLayout w:type="fixed"/>
        <w:tblCellMar>
          <w:top w:w="0" w:type="dxa"/>
          <w:left w:w="0" w:type="dxa"/>
          <w:bottom w:w="0" w:type="dxa"/>
          <w:right w:w="0" w:type="dxa"/>
        </w:tblCellMar>
      </w:tblPr>
      <w:tblGrid>
        <w:gridCol w:w="3230"/>
        <w:gridCol w:w="60"/>
        <w:gridCol w:w="243"/>
        <w:gridCol w:w="946"/>
        <w:gridCol w:w="185"/>
        <w:gridCol w:w="60"/>
        <w:gridCol w:w="274"/>
        <w:gridCol w:w="1065"/>
        <w:gridCol w:w="185"/>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2026</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Right-of-use assets – Operating</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3,750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3,897</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right-of-use assets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3,750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3,897</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Lease liabilities – ST Operating</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sz w:val="20"/>
              </w:rPr>
            </w:pPr>
            <w:r>
              <w:rPr>
                <w:sz w:val="20"/>
              </w:rPr>
              <w:t>1,327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sz w:val="20"/>
              </w:rPr>
            </w:pPr>
            <w:r>
              <w:rPr>
                <w:sz w:val="20"/>
              </w:rPr>
              <w:t>1,238</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 LT Operating</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2,570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0"/>
              <w:jc w:val="right"/>
              <w:rPr>
                <w:sz w:val="20"/>
              </w:rPr>
            </w:pPr>
            <w:r>
              <w:rPr>
                <w:sz w:val="20"/>
              </w:rPr>
              <w:t>2,762</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3,897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4,000</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sz w:val="20"/>
              </w:rPr>
            </w:pPr>
            <w:r>
              <w:rPr>
                <w:sz w:val="20"/>
              </w:rPr>
              <w:t>4.10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sz w:val="20"/>
              </w:rPr>
            </w:pPr>
            <w:r>
              <w:rPr>
                <w:sz w:val="20"/>
              </w:rPr>
              <w:t>4.26</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sz w:val="20"/>
              </w:rPr>
            </w:pPr>
            <w:r>
              <w:rPr>
                <w:sz w:val="20"/>
              </w:rPr>
              <w:t>14.06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sz w:val="20"/>
              </w:rPr>
            </w:pPr>
            <w:r>
              <w:rPr>
                <w:sz w:val="20"/>
              </w:rPr>
              <w:t>14.13</w:t>
            </w:r>
          </w:p>
        </w:tc>
        <w:tc>
          <w:tcPr>
            <w:tcW w:w="18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The costs related to the Company's operating leases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June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are as follows (in thousands):</w:t>
      </w:r>
    </w:p>
    <w:p>
      <w:pPr>
        <w:pStyle w:val="TextBody"/>
        <w:bidi w:val="0"/>
        <w:spacing w:before="0" w:after="0"/>
        <w:ind w:left="0" w:right="0" w:firstLine="720"/>
        <w:jc w:val="both"/>
        <w:rPr/>
      </w:pPr>
      <w:r>
        <w:rPr/>
        <w:t> </w:t>
      </w:r>
    </w:p>
    <w:tbl>
      <w:tblPr>
        <w:tblW w:w="5211" w:type="dxa"/>
        <w:jc w:val="left"/>
        <w:tblInd w:w="0" w:type="dxa"/>
        <w:tblLayout w:type="fixed"/>
        <w:tblCellMar>
          <w:top w:w="0" w:type="dxa"/>
          <w:left w:w="0" w:type="dxa"/>
          <w:bottom w:w="0" w:type="dxa"/>
          <w:right w:w="0" w:type="dxa"/>
        </w:tblCellMar>
      </w:tblPr>
      <w:tblGrid>
        <w:gridCol w:w="2585"/>
        <w:gridCol w:w="60"/>
        <w:gridCol w:w="301"/>
        <w:gridCol w:w="808"/>
        <w:gridCol w:w="144"/>
        <w:gridCol w:w="144"/>
        <w:gridCol w:w="301"/>
        <w:gridCol w:w="808"/>
        <w:gridCol w:w="6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both"/>
              <w:rPr/>
            </w:pPr>
            <w:r>
              <w:rPr/>
              <w:t> </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fixed</w:t>
            </w:r>
          </w:p>
        </w:tc>
        <w:tc>
          <w:tcPr>
            <w:tcW w:w="60" w:type="dxa"/>
            <w:tcBorders/>
            <w:shd w:fill="FFFFFF" w:val="clear"/>
            <w:vAlign w:val="center"/>
          </w:tcPr>
          <w:p>
            <w:pPr>
              <w:pStyle w:val="TableContents"/>
              <w:bidi w:val="0"/>
              <w:spacing w:before="0" w:after="283"/>
              <w:ind w:left="0" w:right="0" w:hanging="0"/>
              <w:jc w:val="left"/>
              <w:rPr/>
            </w:pPr>
            <w:r>
              <w:rPr/>
              <w:t> </w:t>
            </w:r>
          </w:p>
        </w:tc>
        <w:tc>
          <w:tcPr>
            <w:tcW w:w="3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3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variable</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costs</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estimated minimum future lease obligations under the Company's leases are as follows (in thousands): </w:t>
      </w:r>
    </w:p>
    <w:p>
      <w:pPr>
        <w:pStyle w:val="TextBody"/>
        <w:bidi w:val="0"/>
        <w:spacing w:before="0" w:after="0"/>
        <w:ind w:left="0" w:right="0" w:firstLine="720"/>
        <w:jc w:val="both"/>
        <w:rPr/>
      </w:pPr>
      <w:r>
        <w:rPr/>
        <w:t> </w:t>
      </w:r>
    </w:p>
    <w:tbl>
      <w:tblPr>
        <w:tblW w:w="3395" w:type="dxa"/>
        <w:jc w:val="left"/>
        <w:tblInd w:w="0" w:type="dxa"/>
        <w:tblLayout w:type="fixed"/>
        <w:tblCellMar>
          <w:top w:w="0" w:type="dxa"/>
          <w:left w:w="0" w:type="dxa"/>
          <w:bottom w:w="0" w:type="dxa"/>
          <w:right w:w="0" w:type="dxa"/>
        </w:tblCellMar>
      </w:tblPr>
      <w:tblGrid>
        <w:gridCol w:w="2585"/>
        <w:gridCol w:w="60"/>
        <w:gridCol w:w="125"/>
        <w:gridCol w:w="545"/>
        <w:gridCol w:w="8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March 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(remaining)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1,336</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1,484</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724</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423</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80" w:type="dxa"/>
            <w:tcBorders/>
            <w:shd w:fill="CCEEFF" w:val="clear"/>
            <w:vAlign w:val="center"/>
          </w:tcPr>
          <w:p>
            <w:pPr>
              <w:pStyle w:val="TableContents"/>
              <w:bidi w:val="0"/>
              <w:spacing w:before="0" w:after="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3,897</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16.</w:t>
      </w:r>
      <w:r>
        <w:rPr>
          <w:rFonts w:ascii="Times New Roman;Times;serif" w:hAnsi="Times New Roman;Times;serif"/>
          <w:b/>
          <w:sz w:val="20"/>
        </w:rPr>
        <w:t xml:space="preserve"> Commitments and Contingencies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Contingencies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From time to time, the Company is involved in legal and administrative proceedings and claims of various types. The Company records a liability in its condensed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condensed consolidated financial statements </w:t>
      </w:r>
      <w:r>
        <w:rPr>
          <w:rStyle w:val="Emphasis"/>
          <w:rFonts w:ascii="Times New Roman;Times;serif" w:hAnsi="Times New Roman;Times;serif"/>
          <w:sz w:val="20"/>
        </w:rPr>
        <w:t>not</w:t>
      </w:r>
      <w:r>
        <w:rPr>
          <w:rFonts w:ascii="Times New Roman;Times;serif" w:hAnsi="Times New Roman;Times;serif"/>
          <w:sz w:val="20"/>
        </w:rPr>
        <w:t xml:space="preserve"> misleading. If the loss is </w:t>
      </w:r>
      <w:r>
        <w:rPr>
          <w:rStyle w:val="Emphasis"/>
          <w:rFonts w:ascii="Times New Roman;Times;serif" w:hAnsi="Times New Roman;Times;serif"/>
          <w:sz w:val="20"/>
        </w:rPr>
        <w:t>not</w:t>
      </w:r>
      <w:r>
        <w:rPr>
          <w:rFonts w:ascii="Times New Roman;Times;serif" w:hAnsi="Times New Roman;Times;serif"/>
          <w:sz w:val="20"/>
        </w:rPr>
        <w:t xml:space="preserve"> probable or cannot be reasonably estimated, a liability is </w:t>
      </w:r>
      <w:r>
        <w:rPr>
          <w:rStyle w:val="Emphasis"/>
          <w:rFonts w:ascii="Times New Roman;Times;serif" w:hAnsi="Times New Roman;Times;serif"/>
          <w:sz w:val="20"/>
        </w:rPr>
        <w:t>not</w:t>
      </w:r>
      <w:r>
        <w:rPr>
          <w:rFonts w:ascii="Times New Roman;Times;serif" w:hAnsi="Times New Roman;Times;serif"/>
          <w:sz w:val="20"/>
        </w:rPr>
        <w:t xml:space="preserve"> recorded in its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AMSC Brazil, through Comtrafo, purchased additional real estate within the </w:t>
      </w:r>
      <w:r>
        <w:rPr>
          <w:rStyle w:val="Emphasis"/>
          <w:rFonts w:ascii="Times New Roman;Times;serif" w:hAnsi="Times New Roman;Times;serif"/>
          <w:sz w:val="20"/>
        </w:rPr>
        <w:t>twelve</w:t>
      </w:r>
      <w:r>
        <w:rPr>
          <w:rFonts w:ascii="Times New Roman;Times;serif" w:hAnsi="Times New Roman;Times;serif"/>
          <w:sz w:val="20"/>
        </w:rPr>
        <w:t xml:space="preserve"> months following the Comtrafo Acquisition Date for 37.2 million Brazilian Real in cash upon successful re-zoning classification of such real estate.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shd w:fill="FFFFFF" w:val="clear"/>
        </w:rPr>
        <w:t>June 30, 2026</w:t>
      </w:r>
      <w:r>
        <w:rPr>
          <w:rFonts w:ascii="Times New Roman;Times;serif" w:hAnsi="Times New Roman;Times;serif"/>
          <w:sz w:val="20"/>
        </w:rPr>
        <w:t xml:space="preserve">, the Company had $5.6 million of restricted cash included in long-term assets and $3.8 million of restricted cash included in current assets. As of </w:t>
      </w:r>
      <w:r>
        <w:rPr>
          <w:rStyle w:val="Emphasis"/>
          <w:rFonts w:ascii="Times New Roman;Times;serif" w:hAnsi="Times New Roman;Times;serif"/>
          <w:sz w:val="20"/>
        </w:rPr>
        <w:t>March 31, 2026</w:t>
      </w:r>
      <w:r>
        <w:rPr>
          <w:rFonts w:ascii="Times New Roman;Times;serif" w:hAnsi="Times New Roman;Times;serif"/>
          <w:sz w:val="20"/>
        </w:rPr>
        <w:t>, the Company had $3.3 million of restricted cash included in long-term assets and $3.5 million of restricted cash included in current assets. These amounts included in restricted cash primarily represent deposits to secure letters of credit for various supply contracts and long-term projects or collateral deposits. These deposits are held in interest bearing accounts.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17.</w:t>
      </w:r>
      <w:r>
        <w:rPr>
          <w:rFonts w:ascii="Times New Roman;Times;serif" w:hAnsi="Times New Roman;Times;serif"/>
          <w:b/>
          <w:sz w:val="20"/>
        </w:rPr>
        <w:t xml:space="preserve"> Business Segments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reports its financial results in two reportable business segments: Grid and Wind. In accordance with ASC </w:t>
      </w:r>
      <w:r>
        <w:rPr>
          <w:rStyle w:val="Emphasis"/>
          <w:rFonts w:ascii="Times New Roman;Times;serif" w:hAnsi="Times New Roman;Times;serif"/>
          <w:sz w:val="20"/>
        </w:rPr>
        <w:t>280</w:t>
      </w:r>
      <w:r>
        <w:rPr>
          <w:rFonts w:ascii="Times New Roman;Times;serif" w:hAnsi="Times New Roman;Times;serif"/>
          <w:i/>
          <w:sz w:val="20"/>
        </w:rPr>
        <w:t>,</w:t>
      </w:r>
      <w:r>
        <w:rPr>
          <w:rFonts w:ascii="Times New Roman;Times;serif" w:hAnsi="Times New Roman;Times;serif"/>
          <w:sz w:val="20"/>
        </w:rPr>
        <w:t> </w:t>
      </w:r>
      <w:r>
        <w:rPr>
          <w:rFonts w:ascii="Times New Roman;Times;serif" w:hAnsi="Times New Roman;Times;serif"/>
          <w:i/>
          <w:sz w:val="20"/>
        </w:rPr>
        <w:t>Segment Reporting</w:t>
      </w:r>
      <w:r>
        <w:rPr>
          <w:rFonts w:ascii="Times New Roman;Times;serif" w:hAnsi="Times New Roman;Times;serif"/>
          <w:sz w:val="20"/>
        </w:rPr>
        <w:t>, the Company has identified two operating segments. The Company's operating segments reflect the way in which internally-reported financial information is used to make decisions and allocate resources.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w:t>
      </w:r>
      <w:r>
        <w:rPr>
          <w:rStyle w:val="Emphasis"/>
          <w:rFonts w:ascii="Times New Roman;Times;serif" w:hAnsi="Times New Roman;Times;serif"/>
          <w:sz w:val="20"/>
        </w:rPr>
        <w:t>2</w:t>
      </w:r>
      <w:r>
        <w:rPr>
          <w:rFonts w:ascii="Times New Roman;Times;serif" w:hAnsi="Times New Roman;Times;serif"/>
          <w:sz w:val="20"/>
        </w:rPr>
        <w:t> megawatts ("MWs") and higher. The Company provides a broad range of power electronics and software-based control systems that are highly integrated and designed for optimized performance, efficiency, and grid compatibility.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AMSC’s Chief Executive Officer Daniel McGahn is the chief operating decision maker. The chief operating decision maker uses segment operating income (loss) to allocate resources (including employees, property, and financial or capital resources) for each segment predominantly in the annual budget and forecasting process. The chief operating decision maker considers budget-to-actual variances on a monthly basis for segment operating income (loss) when making decisions about allocating capital and personnel to the segments. The chief operating decision maker also uses segment operating income or loss to assess the performance for each segment by comparing the results and return on assets of each segment with </w:t>
      </w:r>
      <w:r>
        <w:rPr>
          <w:rStyle w:val="Emphasis"/>
          <w:rFonts w:ascii="Times New Roman;Times;serif" w:hAnsi="Times New Roman;Times;serif"/>
          <w:sz w:val="20"/>
        </w:rPr>
        <w:t>one</w:t>
      </w:r>
      <w:r>
        <w:rPr>
          <w:rFonts w:ascii="Times New Roman;Times;serif" w:hAnsi="Times New Roman;Times;serif"/>
          <w:sz w:val="20"/>
        </w:rPr>
        <w:t xml:space="preserve"> another and in the compensation of certain employees.</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following tables (i) summarize total sales by segment and (ii) reconcile each segment's sales to their respective segment operating income, including segment operating expenses, for each of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(in thousands):</w:t>
      </w:r>
    </w:p>
    <w:p>
      <w:pPr>
        <w:pStyle w:val="TextBody"/>
        <w:bidi w:val="0"/>
        <w:spacing w:before="0" w:after="0"/>
        <w:ind w:left="0" w:right="0" w:firstLine="720"/>
        <w:jc w:val="both"/>
        <w:rPr/>
      </w:pPr>
      <w:r>
        <w:rPr/>
        <w:t> </w:t>
      </w:r>
    </w:p>
    <w:tbl>
      <w:tblPr>
        <w:tblW w:w="6770" w:type="dxa"/>
        <w:jc w:val="left"/>
        <w:tblInd w:w="0" w:type="dxa"/>
        <w:tblLayout w:type="fixed"/>
        <w:tblCellMar>
          <w:top w:w="0" w:type="dxa"/>
          <w:left w:w="0" w:type="dxa"/>
          <w:bottom w:w="0" w:type="dxa"/>
          <w:right w:w="0" w:type="dxa"/>
        </w:tblCellMar>
      </w:tblPr>
      <w:tblGrid>
        <w:gridCol w:w="3065"/>
        <w:gridCol w:w="60"/>
        <w:gridCol w:w="125"/>
        <w:gridCol w:w="590"/>
        <w:gridCol w:w="80"/>
        <w:gridCol w:w="60"/>
        <w:gridCol w:w="125"/>
        <w:gridCol w:w="590"/>
        <w:gridCol w:w="60"/>
        <w:gridCol w:w="60"/>
        <w:gridCol w:w="194"/>
        <w:gridCol w:w="846"/>
        <w:gridCol w:w="80"/>
        <w:gridCol w:w="60"/>
        <w:gridCol w:w="125"/>
        <w:gridCol w:w="590"/>
        <w:gridCol w:w="6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8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2026</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Unallocated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94,073</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other operating expenses (b)</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84,241</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 The significant expense categories and amounts align with the segment-level information that is regularly provided to the chief operating decision maker.</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(b) Segment other operating expense includes cost of sales, research and development expense, selling general, and administrative expense, and amortization of acquisition related intangibles.</w:t>
      </w:r>
    </w:p>
    <w:p>
      <w:pPr>
        <w:pStyle w:val="TextBody"/>
        <w:bidi w:val="0"/>
        <w:spacing w:before="0" w:after="0"/>
        <w:ind w:left="0" w:right="0" w:hanging="0"/>
        <w:jc w:val="left"/>
        <w:rPr>
          <w:caps w:val="false"/>
          <w:smallCaps w:val="false"/>
        </w:rPr>
      </w:pPr>
      <w:r>
        <w:rPr>
          <w:caps w:val="false"/>
          <w:smallCaps w:val="false"/>
        </w:rPr>
        <w:t> </w:t>
      </w:r>
    </w:p>
    <w:tbl>
      <w:tblPr>
        <w:tblW w:w="6796" w:type="dxa"/>
        <w:jc w:val="left"/>
        <w:tblInd w:w="0" w:type="dxa"/>
        <w:tblLayout w:type="fixed"/>
        <w:tblCellMar>
          <w:top w:w="0" w:type="dxa"/>
          <w:left w:w="0" w:type="dxa"/>
          <w:bottom w:w="0" w:type="dxa"/>
          <w:right w:w="0" w:type="dxa"/>
        </w:tblCellMar>
      </w:tblPr>
      <w:tblGrid>
        <w:gridCol w:w="3065"/>
        <w:gridCol w:w="60"/>
        <w:gridCol w:w="128"/>
        <w:gridCol w:w="607"/>
        <w:gridCol w:w="61"/>
        <w:gridCol w:w="61"/>
        <w:gridCol w:w="128"/>
        <w:gridCol w:w="607"/>
        <w:gridCol w:w="61"/>
        <w:gridCol w:w="61"/>
        <w:gridCol w:w="337"/>
        <w:gridCol w:w="703"/>
        <w:gridCol w:w="61"/>
        <w:gridCol w:w="61"/>
        <w:gridCol w:w="128"/>
        <w:gridCol w:w="607"/>
        <w:gridCol w:w="6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1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2025</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Unallocated</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60,087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3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72,358</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other operating expenses (b)</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55,932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66,714</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 The significant expense categories and amounts align with the segment-level information that is regularly provided to the chief operating decision maker.</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(b) Segment other operating expense includes cost of sales, research and development expense, selling general, and administrative expense, amortization of acquisition related intangibles, and gain/loss on contingent consideration.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Unallocated corporate expenses included a net gain on contingent consideration of $8.1 million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The reconciliation of segment operating income to consolidated income before income taxes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is as follows (in thousands):</w:t>
      </w:r>
    </w:p>
    <w:p>
      <w:pPr>
        <w:pStyle w:val="TextBody"/>
        <w:bidi w:val="0"/>
        <w:spacing w:before="0" w:after="0"/>
        <w:ind w:left="0" w:right="0" w:firstLine="720"/>
        <w:jc w:val="both"/>
        <w:rPr/>
      </w:pPr>
      <w:r>
        <w:rPr/>
        <w:t> </w:t>
      </w:r>
    </w:p>
    <w:tbl>
      <w:tblPr>
        <w:tblW w:w="5452" w:type="dxa"/>
        <w:jc w:val="left"/>
        <w:tblInd w:w="0" w:type="dxa"/>
        <w:tblLayout w:type="fixed"/>
        <w:tblCellMar>
          <w:top w:w="0" w:type="dxa"/>
          <w:left w:w="0" w:type="dxa"/>
          <w:bottom w:w="0" w:type="dxa"/>
          <w:right w:w="0" w:type="dxa"/>
        </w:tblCellMar>
      </w:tblPr>
      <w:tblGrid>
        <w:gridCol w:w="2825"/>
        <w:gridCol w:w="60"/>
        <w:gridCol w:w="214"/>
        <w:gridCol w:w="1010"/>
        <w:gridCol w:w="137"/>
        <w:gridCol w:w="102"/>
        <w:gridCol w:w="214"/>
        <w:gridCol w:w="830"/>
        <w:gridCol w:w="60"/>
      </w:tblGrid>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0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9,832</w:t>
            </w:r>
          </w:p>
        </w:tc>
        <w:tc>
          <w:tcPr>
            <w:tcW w:w="13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5,644</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w:t>
            </w:r>
          </w:p>
        </w:tc>
        <w:tc>
          <w:tcPr>
            <w:tcW w:w="6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(expense)/income, net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p>
        </w:tc>
        <w:tc>
          <w:tcPr>
            <w:tcW w:w="6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10,752</w:t>
            </w:r>
          </w:p>
        </w:tc>
        <w:tc>
          <w:tcPr>
            <w:tcW w:w="137"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Depreciation and amortization expense by segment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is as follows (in thousands):</w:t>
      </w:r>
    </w:p>
    <w:p>
      <w:pPr>
        <w:pStyle w:val="TextBody"/>
        <w:bidi w:val="0"/>
        <w:spacing w:before="0" w:after="0"/>
        <w:ind w:left="0" w:right="0" w:firstLine="720"/>
        <w:jc w:val="both"/>
        <w:rPr/>
      </w:pPr>
      <w:r>
        <w:rPr/>
        <w:t> </w:t>
      </w:r>
    </w:p>
    <w:tbl>
      <w:tblPr>
        <w:tblW w:w="3126" w:type="dxa"/>
        <w:jc w:val="left"/>
        <w:tblInd w:w="0" w:type="dxa"/>
        <w:tblLayout w:type="fixed"/>
        <w:tblCellMar>
          <w:top w:w="0" w:type="dxa"/>
          <w:left w:w="0" w:type="dxa"/>
          <w:bottom w:w="0" w:type="dxa"/>
          <w:right w:w="0" w:type="dxa"/>
        </w:tblCellMar>
      </w:tblPr>
      <w:tblGrid>
        <w:gridCol w:w="470"/>
        <w:gridCol w:w="60"/>
        <w:gridCol w:w="236"/>
        <w:gridCol w:w="919"/>
        <w:gridCol w:w="113"/>
        <w:gridCol w:w="113"/>
        <w:gridCol w:w="236"/>
        <w:gridCol w:w="919"/>
        <w:gridCol w:w="60"/>
      </w:tblGrid>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2,604</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w:t>
            </w:r>
          </w:p>
        </w:tc>
        <w:tc>
          <w:tcPr>
            <w:tcW w:w="60" w:type="dxa"/>
            <w:tcBorders/>
            <w:shd w:fill="CCEEFF" w:val="clear"/>
            <w:vAlign w:val="center"/>
          </w:tcPr>
          <w:p>
            <w:pPr>
              <w:pStyle w:val="TableContents"/>
              <w:bidi w:val="0"/>
              <w:spacing w:before="0" w:after="283"/>
              <w:jc w:val="left"/>
              <w:rPr/>
            </w:pPr>
            <w:r>
              <w:rPr/>
              <w:t> </w:t>
            </w:r>
          </w:p>
        </w:tc>
      </w:tr>
      <w:tr>
        <w:trPr/>
        <w:tc>
          <w:tcPr>
            <w:tcW w:w="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FFFFFF" w:val="clear"/>
            <w:vAlign w:val="center"/>
          </w:tcPr>
          <w:p>
            <w:pPr>
              <w:pStyle w:val="TableContents"/>
              <w:bidi w:val="0"/>
              <w:spacing w:before="0" w:after="283"/>
              <w:jc w:val="left"/>
              <w:rPr/>
            </w:pPr>
            <w:r>
              <w:rPr/>
              <w:t> </w:t>
            </w:r>
          </w:p>
        </w:tc>
      </w:tr>
      <w:tr>
        <w:trPr/>
        <w:tc>
          <w:tcPr>
            <w:tcW w:w="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2,647</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income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w:t>
      </w:r>
      <w:r>
        <w:rPr>
          <w:rStyle w:val="Emphasis"/>
          <w:rFonts w:ascii="Times New Roman;Times;serif" w:hAnsi="Times New Roman;Times;serif"/>
          <w:sz w:val="20"/>
        </w:rPr>
        <w:t>not</w:t>
      </w:r>
      <w:r>
        <w:rPr>
          <w:rFonts w:ascii="Times New Roman;Times;serif" w:hAnsi="Times New Roman;Times;serif"/>
          <w:sz w:val="20"/>
        </w:rPr>
        <w:t xml:space="preserve"> believe are specifically attributable or allocable to either of the </w:t>
      </w:r>
      <w:r>
        <w:rPr>
          <w:rStyle w:val="Emphasis"/>
          <w:rFonts w:ascii="Times New Roman;Times;serif" w:hAnsi="Times New Roman;Times;serif"/>
          <w:sz w:val="20"/>
        </w:rPr>
        <w:t>two</w:t>
      </w:r>
      <w:r>
        <w:rPr>
          <w:rFonts w:ascii="Times New Roman;Times;serif" w:hAnsi="Times New Roman;Times;serif"/>
          <w:sz w:val="20"/>
        </w:rPr>
        <w:t xml:space="preserve"> business segments have been excluded from the segment operating income (loss).</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Total assets for the </w:t>
      </w:r>
      <w:r>
        <w:rPr>
          <w:rStyle w:val="Emphasis"/>
          <w:rFonts w:ascii="Times New Roman;Times;serif" w:hAnsi="Times New Roman;Times;serif"/>
          <w:sz w:val="20"/>
        </w:rPr>
        <w:t>two</w:t>
      </w:r>
      <w:r>
        <w:rPr>
          <w:rFonts w:ascii="Times New Roman;Times;serif" w:hAnsi="Times New Roman;Times;serif"/>
          <w:sz w:val="20"/>
        </w:rPr>
        <w:t xml:space="preserve"> business segments as of </w:t>
      </w:r>
      <w:r>
        <w:rPr>
          <w:rStyle w:val="Emphasis"/>
          <w:rFonts w:ascii="Times New Roman;Times;serif" w:hAnsi="Times New Roman;Times;serif"/>
          <w:sz w:val="20"/>
          <w:shd w:fill="FFFFFF" w:val="clear"/>
        </w:rPr>
        <w:t xml:space="preserve"> June 30, 2026</w:t>
      </w:r>
      <w:r>
        <w:rPr>
          <w:rFonts w:ascii="Times New Roman;Times;serif" w:hAnsi="Times New Roman;Times;serif"/>
          <w:sz w:val="20"/>
        </w:rPr>
        <w:t> and </w:t>
      </w:r>
      <w:r>
        <w:rPr>
          <w:rStyle w:val="Emphasis"/>
          <w:rFonts w:ascii="Times New Roman;Times;serif" w:hAnsi="Times New Roman;Times;serif"/>
          <w:sz w:val="20"/>
        </w:rPr>
        <w:t xml:space="preserve"> March 31, 2026</w:t>
      </w:r>
      <w:r>
        <w:rPr>
          <w:rFonts w:ascii="Times New Roman;Times;serif" w:hAnsi="Times New Roman;Times;serif"/>
          <w:sz w:val="20"/>
        </w:rPr>
        <w:t>, are as follows (in thousands):</w:t>
      </w:r>
    </w:p>
    <w:p>
      <w:pPr>
        <w:pStyle w:val="TextBody"/>
        <w:bidi w:val="0"/>
        <w:spacing w:before="0" w:after="0"/>
        <w:ind w:left="0" w:right="0" w:firstLine="720"/>
        <w:jc w:val="both"/>
        <w:rPr/>
      </w:pPr>
      <w:r>
        <w:rPr/>
        <w:t> </w:t>
      </w:r>
    </w:p>
    <w:tbl>
      <w:tblPr>
        <w:tblW w:w="4108" w:type="dxa"/>
        <w:jc w:val="left"/>
        <w:tblInd w:w="0" w:type="dxa"/>
        <w:tblLayout w:type="fixed"/>
        <w:tblCellMar>
          <w:top w:w="0" w:type="dxa"/>
          <w:left w:w="0" w:type="dxa"/>
          <w:bottom w:w="0" w:type="dxa"/>
          <w:right w:w="0" w:type="dxa"/>
        </w:tblCellMar>
      </w:tblPr>
      <w:tblGrid>
        <w:gridCol w:w="1340"/>
        <w:gridCol w:w="60"/>
        <w:gridCol w:w="181"/>
        <w:gridCol w:w="1008"/>
        <w:gridCol w:w="60"/>
        <w:gridCol w:w="60"/>
        <w:gridCol w:w="204"/>
        <w:gridCol w:w="1135"/>
        <w:gridCol w:w="60"/>
      </w:tblGrid>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Grid</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590,555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574,195</w:t>
            </w:r>
          </w:p>
        </w:tc>
        <w:tc>
          <w:tcPr>
            <w:tcW w:w="6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17,572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assets</w:t>
            </w:r>
          </w:p>
        </w:tc>
        <w:tc>
          <w:tcPr>
            <w:tcW w:w="60"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153,246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147,714</w:t>
            </w:r>
          </w:p>
        </w:tc>
        <w:tc>
          <w:tcPr>
            <w:tcW w:w="60" w:type="dxa"/>
            <w:tcBorders/>
            <w:shd w:fill="CCEEFF" w:val="clear"/>
            <w:vAlign w:val="center"/>
          </w:tcPr>
          <w:p>
            <w:pPr>
              <w:pStyle w:val="TableContents"/>
              <w:bidi w:val="0"/>
              <w:spacing w:before="0" w:after="0"/>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739,481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18.</w:t>
      </w:r>
      <w:r>
        <w:rPr>
          <w:rFonts w:ascii="Times New Roman;Times;serif" w:hAnsi="Times New Roman;Times;serif"/>
          <w:b/>
          <w:sz w:val="20"/>
        </w:rPr>
        <w:t xml:space="preserve"> Recent Accounting Pronouncements</w:t>
      </w:r>
    </w:p>
    <w:p>
      <w:pPr>
        <w:pStyle w:val="TextBody"/>
        <w:bidi w:val="0"/>
        <w:spacing w:before="0" w:after="0"/>
        <w:ind w:left="0" w:right="0" w:hanging="0"/>
        <w:jc w:val="left"/>
        <w:rPr/>
      </w:pPr>
      <w:r>
        <w:rPr/>
        <w:t> </w:t>
      </w:r>
    </w:p>
    <w:p>
      <w:pPr>
        <w:pStyle w:val="TextBody"/>
        <w:bidi w:val="0"/>
        <w:spacing w:before="0" w:after="0"/>
        <w:ind w:left="16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2024</w:t>
      </w:r>
      <w:r>
        <w:rPr>
          <w:rFonts w:ascii="Times New Roman" w:hAnsi="Times New Roman"/>
          <w:i/>
          <w:caps w:val="false"/>
          <w:smallCaps w:val="false"/>
          <w:sz w:val="20"/>
        </w:rPr>
        <w:t>,</w:t>
      </w:r>
      <w:r>
        <w:rPr>
          <w:rFonts w:ascii="Times New Roman" w:hAnsi="Times New Roman"/>
          <w:caps w:val="false"/>
          <w:smallCaps w:val="false"/>
          <w:sz w:val="20"/>
        </w:rPr>
        <w:t> the FASB issued ASU </w:t>
      </w:r>
      <w:r>
        <w:rPr>
          <w:rStyle w:val="Emphasis"/>
          <w:rFonts w:ascii="Times New Roman" w:hAnsi="Times New Roman"/>
          <w:i/>
          <w:caps w:val="false"/>
          <w:smallCaps w:val="false"/>
          <w:sz w:val="20"/>
        </w:rPr>
        <w:t>2024</w:t>
      </w:r>
      <w:r>
        <w:rPr>
          <w:rFonts w:ascii="Times New Roman" w:hAnsi="Times New Roman"/>
          <w:caps w:val="false"/>
          <w:smallCaps w:val="false"/>
          <w:sz w:val="20"/>
        </w:rPr>
        <w:t>-</w:t>
      </w:r>
      <w:r>
        <w:rPr>
          <w:rStyle w:val="Emphasis"/>
          <w:rFonts w:ascii="Times New Roman" w:hAnsi="Times New Roman"/>
          <w:i/>
          <w:caps w:val="false"/>
          <w:smallCaps w:val="false"/>
          <w:sz w:val="20"/>
        </w:rPr>
        <w:t>03,</w:t>
      </w:r>
      <w:r>
        <w:rPr>
          <w:rFonts w:ascii="Times New Roman" w:hAnsi="Times New Roman"/>
          <w:caps w:val="false"/>
          <w:smallCaps w:val="false"/>
          <w:sz w:val="20"/>
        </w:rPr>
        <w:t>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Expense Disaggregation Disclosures</w:t>
      </w:r>
      <w:r>
        <w:rPr>
          <w:rFonts w:ascii="Times New Roman" w:hAnsi="Times New Roman"/>
          <w:caps w:val="false"/>
          <w:smallCaps w:val="false"/>
          <w:sz w:val="20"/>
        </w:rPr>
        <w:t>. The amendments in ASU </w:t>
      </w:r>
      <w:r>
        <w:rPr>
          <w:rStyle w:val="Emphasis"/>
          <w:rFonts w:ascii="Times New Roman" w:hAnsi="Times New Roman"/>
          <w:i/>
          <w:caps w:val="false"/>
          <w:smallCaps w:val="false"/>
          <w:sz w:val="20"/>
        </w:rPr>
        <w:t>2024</w:t>
      </w:r>
      <w:r>
        <w:rPr>
          <w:rFonts w:ascii="Times New Roman" w:hAnsi="Times New Roman"/>
          <w:caps w:val="false"/>
          <w:smallCaps w:val="false"/>
          <w:sz w:val="20"/>
        </w:rPr>
        <w:t>-</w:t>
      </w:r>
      <w:r>
        <w:rPr>
          <w:rStyle w:val="Emphasis"/>
          <w:rFonts w:ascii="Times New Roman" w:hAnsi="Times New Roman"/>
          <w:i/>
          <w:caps w:val="false"/>
          <w:smallCaps w:val="false"/>
          <w:sz w:val="20"/>
        </w:rPr>
        <w:t>03</w:t>
      </w:r>
      <w:r>
        <w:rPr>
          <w:rFonts w:ascii="Times New Roman" w:hAnsi="Times New Roman"/>
          <w:caps w:val="false"/>
          <w:smallCaps w:val="false"/>
          <w:sz w:val="20"/>
        </w:rPr>
        <w:t> address investor requests for more disclosure of disaggregated financial reporting information about expenses presented in the income statement. Following the release of ASU </w:t>
      </w:r>
      <w:r>
        <w:rPr>
          <w:rStyle w:val="Emphasis"/>
          <w:rFonts w:ascii="Times New Roman" w:hAnsi="Times New Roman"/>
          <w:i/>
          <w:caps w:val="false"/>
          <w:smallCaps w:val="false"/>
          <w:sz w:val="20"/>
        </w:rPr>
        <w:t>2024</w:t>
      </w:r>
      <w:r>
        <w:rPr>
          <w:rFonts w:ascii="Times New Roman" w:hAnsi="Times New Roman"/>
          <w:caps w:val="false"/>
          <w:smallCaps w:val="false"/>
          <w:sz w:val="20"/>
        </w:rPr>
        <w:t>-</w:t>
      </w:r>
      <w:r>
        <w:rPr>
          <w:rStyle w:val="Emphasis"/>
          <w:rFonts w:ascii="Times New Roman" w:hAnsi="Times New Roman"/>
          <w:i/>
          <w:caps w:val="false"/>
          <w:smallCaps w:val="false"/>
          <w:sz w:val="20"/>
        </w:rPr>
        <w:t>03</w:t>
      </w:r>
      <w:r>
        <w:rPr>
          <w:rFonts w:ascii="Times New Roman" w:hAnsi="Times New Roman"/>
          <w:caps w:val="false"/>
          <w:smallCaps w:val="false"/>
          <w:sz w:val="20"/>
        </w:rPr>
        <w:t> in </w:t>
      </w:r>
      <w:r>
        <w:rPr>
          <w:rStyle w:val="Emphasis"/>
          <w:rFonts w:ascii="Times New Roman" w:hAnsi="Times New Roman"/>
          <w:caps w:val="false"/>
          <w:smallCaps w:val="false"/>
          <w:sz w:val="20"/>
        </w:rPr>
        <w:t xml:space="preserve"> November 2024</w:t>
      </w:r>
      <w:r>
        <w:rPr>
          <w:rFonts w:ascii="Times New Roman" w:hAnsi="Times New Roman"/>
          <w:i/>
          <w:caps w:val="false"/>
          <w:smallCaps w:val="false"/>
          <w:sz w:val="20"/>
        </w:rPr>
        <w:t>,</w:t>
      </w:r>
      <w:r>
        <w:rPr>
          <w:rFonts w:ascii="Times New Roman" w:hAnsi="Times New Roman"/>
          <w:caps w:val="false"/>
          <w:smallCaps w:val="false"/>
          <w:sz w:val="20"/>
        </w:rPr>
        <w:t> the effective date will be annual reporting periods beginning after </w:t>
      </w:r>
      <w:r>
        <w:rPr>
          <w:rStyle w:val="Emphasis"/>
          <w:rFonts w:ascii="Times New Roman" w:hAnsi="Times New Roman"/>
          <w:caps w:val="false"/>
          <w:smallCaps w:val="false"/>
          <w:sz w:val="20"/>
        </w:rPr>
        <w:t xml:space="preserve"> December 15, 2026</w:t>
      </w:r>
      <w:r>
        <w:rPr>
          <w:rFonts w:ascii="Times New Roman" w:hAnsi="Times New Roman"/>
          <w:i/>
          <w:caps w:val="false"/>
          <w:smallCaps w:val="false"/>
          <w:sz w:val="20"/>
        </w:rPr>
        <w:t>.</w:t>
      </w:r>
      <w:r>
        <w:rPr>
          <w:rFonts w:ascii="Times New Roman" w:hAnsi="Times New Roman"/>
          <w:caps w:val="false"/>
          <w:smallCaps w:val="false"/>
          <w:sz w:val="20"/>
        </w:rPr>
        <w:t> The Company is evaluating the impact on its consolidated financial statements.</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16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Goodwill and Other</w:t>
      </w:r>
      <w:r>
        <w:rPr>
          <w:rFonts w:ascii="Times New Roman" w:hAnsi="Times New Roman"/>
          <w:caps w:val="false"/>
          <w:smallCaps w:val="false"/>
          <w:sz w:val="20"/>
        </w:rPr>
        <w:t xml:space="preserve">—Internal-Use Software. The amendments in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remove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Following the release of  ASU </w:t>
      </w:r>
      <w:r>
        <w:rPr>
          <w:rStyle w:val="Emphasis"/>
          <w:rFonts w:ascii="Times New Roman" w:hAnsi="Times New Roman"/>
          <w:i/>
          <w:caps w:val="false"/>
          <w:smallCaps w:val="false"/>
          <w:sz w:val="20"/>
        </w:rPr>
        <w:t>2024</w:t>
      </w:r>
      <w:r>
        <w:rPr>
          <w:rFonts w:ascii="Times New Roman" w:hAnsi="Times New Roman"/>
          <w:i/>
          <w:caps w:val="false"/>
          <w:smallCaps w:val="false"/>
          <w:sz w:val="20"/>
        </w:rPr>
        <w:t>-</w:t>
      </w:r>
      <w:r>
        <w:rPr>
          <w:rStyle w:val="Emphasis"/>
          <w:rFonts w:ascii="Times New Roman" w:hAnsi="Times New Roman"/>
          <w:i/>
          <w:caps w:val="false"/>
          <w:smallCaps w:val="false"/>
          <w:sz w:val="20"/>
        </w:rPr>
        <w:t>05</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effective date will be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The company is evaluating the impact on its consolidated financial statements. </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19.</w:t>
      </w:r>
      <w:r>
        <w:rPr>
          <w:rFonts w:ascii="Times New Roman;Times;serif" w:hAnsi="Times New Roman;Times;serif"/>
          <w:b/>
          <w:sz w:val="20"/>
        </w:rPr>
        <w:t xml:space="preserve"> Subsequent Events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performed an evaluation of subsequent events through the time of filing this Quarterly Report on Form </w:t>
      </w:r>
      <w:r>
        <w:rPr>
          <w:rStyle w:val="Emphasis"/>
          <w:rFonts w:ascii="Times New Roman;Times;serif" w:hAnsi="Times New Roman;Times;serif"/>
          <w:sz w:val="20"/>
        </w:rPr>
        <w:t>10</w:t>
      </w:r>
      <w:r>
        <w:rPr>
          <w:rFonts w:ascii="Times New Roman;Times;serif" w:hAnsi="Times New Roman;Times;serif"/>
          <w:sz w:val="20"/>
        </w:rPr>
        <w:t xml:space="preserve">-Q with the SEC and has determined that there are </w:t>
      </w:r>
      <w:r>
        <w:rPr>
          <w:rStyle w:val="Emphasis"/>
          <w:rFonts w:ascii="Times New Roman;Times;serif" w:hAnsi="Times New Roman;Times;serif"/>
          <w:sz w:val="20"/>
        </w:rPr>
        <w:t>no</w:t>
      </w:r>
      <w:r>
        <w:rPr>
          <w:rFonts w:ascii="Times New Roman;Times;serif" w:hAnsi="Times New Roman;Times;serif"/>
          <w:sz w:val="20"/>
        </w:rPr>
        <w:t xml:space="preserve"> such events to report.</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lineRule="auto" w:line="420" w:before="0" w:after="0"/>
        <w:ind w:left="0" w:right="0" w:hanging="0"/>
        <w:jc w:val="center"/>
        <w:rPr>
          <w:rFonts w:ascii="Times New Roman;Times;serif" w:hAnsi="Times New Roman;Times;serif"/>
          <w:b/>
          <w:sz w:val="20"/>
        </w:rPr>
      </w:pPr>
      <w:bookmarkStart w:id="5" w:name="mdna"/>
      <w:bookmarkEnd w:id="5"/>
      <w:r>
        <w:rPr>
          <w:rFonts w:ascii="Times New Roman;Times;serif" w:hAnsi="Times New Roman;Times;serif"/>
          <w:b/>
          <w:sz w:val="20"/>
        </w:rPr>
        <w:t>AMERICAN SUPERCONDUCTOR CORPORATION</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9"/>
        <w:gridCol w:w="9476"/>
      </w:tblGrid>
      <w:tr>
        <w:trPr/>
        <w:tc>
          <w:tcPr>
            <w:tcW w:w="72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94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0"/>
        <w:ind w:left="0" w:right="0" w:hanging="0"/>
        <w:jc w:val="left"/>
        <w:rPr/>
      </w:pPr>
      <w:r>
        <w:rPr/>
        <w:t> </w:t>
      </w:r>
    </w:p>
    <w:p>
      <w:pPr>
        <w:pStyle w:val="TextBody"/>
        <w:bidi w:val="0"/>
        <w:jc w:val="both"/>
        <w:rPr>
          <w:sz w:val="20"/>
        </w:rPr>
      </w:pPr>
      <w:r>
        <w:rPr>
          <w:i/>
          <w:sz w:val="20"/>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addressable markets, our competitive position, macroeconomic conditions and their anticipated effect on our business, the benefits of our acquisitions, financial results and financial condition, expectations for our products, capabilities and potential uses of our products, steps taken to enhance liquidity,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t>
      </w:r>
      <w:r>
        <w:rPr>
          <w:sz w:val="20"/>
        </w:rPr>
        <w:t xml:space="preserve"> </w:t>
      </w:r>
      <w:r>
        <w:rPr>
          <w:rFonts w:ascii="Times New Roman" w:hAnsi="Times New Roman"/>
          <w:i/>
          <w:sz w:val="20"/>
        </w:rPr>
        <w:t>If we fail to implement our business strategy successfully, our financial performance could be harmed; We may not realize all of the sales expected from our backlog of orders and contracts; We rely upon third-party suppliers for the components and subassemblies of many of our Grid and Wind products, making us vulnerable to supply shortages and price fluctuations, which could harm our business; We may acquire additional complementary businesses or technologies, which may require us to incur substantial costs for which we may never realize the anticipated benefits; Our business and operations may be materially adversely impacted in the event of a failure or security breach of our or any critical third parties' </w:t>
      </w:r>
      <w:r>
        <w:rPr>
          <w:sz w:val="20"/>
        </w:rPr>
        <w:t xml:space="preserve"> </w:t>
      </w:r>
      <w:r>
        <w:rPr>
          <w:rFonts w:ascii="Times New Roman" w:hAnsi="Times New Roman"/>
          <w:i/>
          <w:sz w:val="20"/>
        </w:rPr>
        <w:t>IT Systems or Confidential Information; Our contracts with the U.S. and Canadian governments are subject to audit, modification or termination by such governments and include certain other provisions in favor of the governments. The continued funding of such contracts may remain subject to annual legislative appropriation, which, if not approved, could reduce our revenue and lower or eliminate our profit; Changes in U.S. government defense spending could negatively impact our financial position, results of operations, liquidity and overall business; Our performance on contracts with the U.S. Department of Defense may result in restrictions to our ability to repurchase our common stock or U.S. government denial of Foreign Military Sales or ceasing of assistance for international Direct Commercial Sales; Failure to comply with evolving data privacy and data protection laws, regulations, and other obligations, or to otherwise protect personal data, may adversely impact our business and financial results; Our success is dependent upon attracting and retaining qualified personnel and our inability to do so could significantly damage our business and prospects; A significant portion of our Wind segment revenues are derived from a single customer. If this customer'</w:t>
      </w:r>
      <w:r>
        <w:rPr>
          <w:sz w:val="20"/>
        </w:rPr>
        <w:t xml:space="preserve"> </w:t>
      </w:r>
      <w:r>
        <w:rPr>
          <w:rFonts w:ascii="Times New Roman" w:hAnsi="Times New Roman"/>
          <w:i/>
          <w:sz w:val="20"/>
        </w:rPr>
        <w:t>s business is negatively affected, it could adversely impact our business; Our success in addressing the wind energy market is dependent on the manufacturers that license our designs; Many of our revenue opportunities are dependent upon subcontractors and other business collaborators; Problems with product quality or product performance may cause us to incur warranty expenses or product liability charges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including our REG system, and our failure to more broadly market and sell our products and solutions could lower our revenue and cash flow; We or third parties on whom we depend may be adversely affected by natural disasters, including events resulting from climate change, and our business continuity and disaster recovery plans may not adequately protect us or our value chain from such events; Uncertainty surrounding our prospects and financial condition may have an adverse effect on our customer and supplier relationships; Pandemics, epidemics, or other public health crises may adversely impact our business, financial condition and results of operations; Changes in valuation allowance of deferred tax assets may affect our future operating results; If we fail to maintain proper and effective internal control over financial reporting on business acquisitions, our ability to produce accurate and timely financial statements could be impaired and may lead investors and other users to lose confidence in our financial data; We have not been historically profitable, and there can be no assurance that we will sustain our recent profitability; we have a history of negative operating cash flows, and we may require additional financing in the future, which may not be available to us; Changes in exchange rates could adversely affect our results of operations; We may be required to issue performance bonds, which restricts our ability to access any cash used as collateral for the bonds; Adverse changes in domestic and global economic conditions could adversely affect our operating results; The ongoing conflicts between the United States, Israel, and Iran has disrupted global energy markets and supply chains and could adversely affect our business, financial condition, and results of operations; Our international operations are subject to risks that we do not face in the United States, which could have an adverse effect on our operating results; Our products face competition, which could limit our ability to acquire or retain customers; We have operations in, and depend on sales in, emerging markets, including Latin America and India, and global conditions could negatively affect our operating results or limit our ability to expand our operations outside of these markets. Changes in Brazil'</w:t>
      </w:r>
      <w:r>
        <w:rPr>
          <w:sz w:val="20"/>
        </w:rPr>
        <w:t xml:space="preserve"> </w:t>
      </w:r>
      <w:r>
        <w:rPr>
          <w:rFonts w:ascii="Times New Roman" w:hAnsi="Times New Roman"/>
          <w:i/>
          <w:sz w:val="20"/>
        </w:rPr>
        <w:t>s or India'</w:t>
      </w:r>
      <w:r>
        <w:rPr>
          <w:sz w:val="20"/>
        </w:rPr>
        <w:t xml:space="preserve"> </w:t>
      </w:r>
      <w:r>
        <w:rPr>
          <w:rFonts w:ascii="Times New Roman" w:hAnsi="Times New Roman"/>
          <w:i/>
          <w:sz w:val="20"/>
        </w:rPr>
        <w:t>s political, social, regulatory and economic environment may affect our financial performance; Industry consolidation could result in more powerful competitors and fewer customers; Evolving and varied expectations on environmental sustainability and social initiatives could adversely impact our business and financial results; Growth of the wind energy market depends largely on the availability and size of government subsidies, economic incentives and legislative programs designed to support the growth of wind energy; Lower prices for other energy sources may reduce the demand for wind energy development, which could have a material adverse effect on our ability to grow our Wind business; Our technology and products could infringe intellectual property rights of others, which may require costly litigation and, if we are not successful, could cause us to pay substantial damages and disrupt our business; We may be unable to adequately prevent disclosure of trade secrets and other proprietary information; Our patents may not provide meaningful or long-term protection for our technology, which could result in us losing some or all of our market position; Third parties have or may acquire patents that cover the materials, processes and technologies we use or may use in the future to manufacture our Amperium products, and our success depends on our ability to license such patents or other proprietary rights;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Our common stock has experienced, and may continue to experience, market price and volume fluctuations, which may prevent our stockholders from selling our common stock at a profit and could lead to costly litigation against us that could divert our management'</w:t>
      </w:r>
      <w:r>
        <w:rPr>
          <w:sz w:val="20"/>
        </w:rPr>
        <w:t xml:space="preserve"> </w:t>
      </w:r>
      <w:r>
        <w:rPr>
          <w:rFonts w:ascii="Times New Roman" w:hAnsi="Times New Roman"/>
          <w:i/>
          <w:sz w:val="20"/>
        </w:rPr>
        <w:t>s attention; Unfavorable results of legal proceedings could have a material adverse effect on our business, operating results and financial condition; </w:t>
      </w:r>
      <w:r>
        <w:rPr>
          <w:sz w:val="20"/>
        </w:rPr>
        <w:t xml:space="preserve"> </w:t>
      </w:r>
      <w:r>
        <w:rPr>
          <w:i/>
          <w:sz w:val="20"/>
        </w:rPr>
        <w:t>and the other important factors discussed under the caption "Risk Factors" in Part 1. Item 1A of our Form 10-K for the fiscal year ended March 31, 2026,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r>
        <w:rPr>
          <w:sz w:val="20"/>
        </w:rPr>
        <w:t xml:space="preserve"> </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American Superconductor®, AMSC®, Comtrafo™, Neeltran®, NEPSI™, NWL®, to the next power™, think inside the box™, Smarter, Cleaner...Better Energy™, orchestrate the rhythm and harmony of power on the grid™, Amperium®, D-VAR®, PowerModule™, D-VAR VVO®, PQ-IVR®, SeaTitan®, Gridtec™, Mairnetec™, Windtec™, actiVAR®, armorVAR™, SafetyLOCK™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Executive Overview</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Guided by a belief in the power of next, we are a leading provider of power control solutions that apply innovation and creativity to address today’s challenges and enable a more resilient and sustainable energy future. Driven by our purpose “to power progress,” we integrate future-facing technologies to balance the growing global demand for power with the need for reliable, and efficient power delivery. Our advanced grid systems, engineering services, power electronics, software controls, and superconductor-based solutions help the traditional and renewable energy sectors, electric utilities, the materials and mining sector, industrial facilities, and other critical infrastructure operators optimize network reliability, improve power quality, alleviate grid constraints, and scale operations without added complexity or size.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deliver ship protection and power management solutions that enhance fleet efficiency, survivability, and operational readiness for the U.S. Navy and allied fleets. In the wind power market, we provide advanced electrical control systems, engineering, and support services that help manufacturers lower the cost of wind energy and improve turbine performance. Beyond these markets, we provide industrial process, environmental and emission control capabilities that support operational efficiency across the broader energy infrastructure. Across our businesses, our solutions are helping optimize power networks, strengthen naval capabilities, and support gigawatts of renewable energy generation worldwide as governments and industries continue investing in more resilient, secure, and sustainable power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operate our business under two market-facing business segments: Grid and Wind. We believe this market centric structure enables us to more effectively anticipate and meet the needs of power generators, power utilities, industrial manufacturers, the military and renewable energy companies. </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Grid.</w:t>
            </w:r>
            <w:r>
              <w:rPr>
                <w:rFonts w:ascii="Times New Roman" w:hAnsi="Times New Roman"/>
                <w:sz w:val="20"/>
              </w:rPr>
              <w:t> Our Grid business segment enables electric utilities, industrial facilities, and traditional and renewable energy project developers to connect, transmit, transform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critical shipyard infrastructure power solutions, ship power supplies and ship protection products to U.S. and allied Navies through our Grid business segment.</w:t>
            </w:r>
          </w:p>
        </w:tc>
      </w:tr>
    </w:tbl>
    <w:p>
      <w:pPr>
        <w:pStyle w:val="TextBody"/>
        <w:bidi w:val="0"/>
        <w:spacing w:before="40" w:after="40"/>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Wind.</w:t>
            </w:r>
            <w:r>
              <w:rPr>
                <w:rFonts w:ascii="Times New Roman" w:hAnsi="Times New Roman"/>
                <w:sz w:val="20"/>
              </w:rPr>
              <w:t> Our Wind business segment enables manufacturers to field wind turbines with exceptional power 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megawatts ("MWs") and higher. We provide a broad range of power electronics and software-based control systems that are highly integrated and designed for optimized performance, efficiency, and grid compatibility.</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fiscal year begins on April 1 and ends on March 31. When we refer to a particular fiscal year, we are referring to the fiscal year that began on April 1 of that same year. For example, fiscal 2026 refers to the fiscal year that began on April 1, 2026. Other fiscal years follow similarly.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Changes in macroeconomic conditions arising from various reasons, such as the ongoing wars between Russia and Ukraine, and in the Middle East, tariffs, trade restrictions and resulting trade conflicts, labor force availability, sourcing, material delays and global supply chain disruptions,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5, 2025 (the "Comtrafo Acquisition Date"), we entered into a Stock Exchange Agreement (the "Stock Exchange Agreement") with the selling stockholders named therein (the "Stockholders"). Pursuant to the terms of the Stock Exchange Agreement, Mardin Participações Ltda., an entity incorporated in Brazil (“AMSC Brazil”) and our wholly-owned subsidiary, directly or indirectly, purchased all of the issued and outstanding shares of Comtrafo Indústria de Transformadores Elétricos S.A. ("Comtrafo") (collectively, the "Comtrafo Acquisition") for (a) (i) 300 million Brazilian Real in cash; and (b) 2,417,142 restricted shares of our common stock, $0.01 par value per share (the "AMSC Shares") that were paid and issued, respectively, at closing. In addition, pursuant to certain additional real property agreements, AMSC Brazil through Comtrafo purchased certain real estate assets and transportation assets of Comtrafo for 155.6 million Brazilian Real and 13.4 million Brazilian Real, respectively, in cash. Additionally, AMSC Brazil has agreed to pay the Stockholders up to an additional 382.5 million Brazilian Real in cash (the "Earnout") upon the achievement of specified earnings before interest, taxes, depreciation, and amortization ("EBITDA") objectives during the three years following the closing. Comtrafo is a Brazil-based manufacturer of large power and distribution transformers primarily for utility customers and also for industrial customers.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2025, we completed an offering of 4,743,750 shares of our common stock at a public offering price of $28.00 per share under our Registration Statement on Form S-3. We received aggregate net proceeds of approximately $124.6 million after deducting underwriting discounts and commissions and offering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Three months ended </w:t>
      </w:r>
      <w:r>
        <w:rPr>
          <w:rFonts w:ascii="Times New Roman;Times;serif" w:hAnsi="Times New Roman;Times;serif"/>
          <w:b/>
          <w:i/>
          <w:sz w:val="20"/>
          <w:shd w:fill="FFFFFF" w:val="clear"/>
        </w:rPr>
        <w:t>June 30, 2026</w:t>
      </w:r>
      <w:r>
        <w:rPr>
          <w:rFonts w:ascii="Times New Roman;Times;serif" w:hAnsi="Times New Roman;Times;serif"/>
          <w:b/>
          <w:i/>
          <w:sz w:val="20"/>
        </w:rPr>
        <w:t>, compared to the three months ended June 30, 2025</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revenues increased 30% to $94.1 million for the three months ended June 30, 2026 compared to $72.4 million for the three months ended June 30, 2025. Our revenues are summarized as follows (in thousands):</w:t>
      </w:r>
    </w:p>
    <w:p>
      <w:pPr>
        <w:pStyle w:val="TextBody"/>
        <w:bidi w:val="0"/>
        <w:spacing w:before="0" w:after="0"/>
        <w:ind w:left="0" w:right="0" w:firstLine="720"/>
        <w:jc w:val="both"/>
        <w:rPr/>
      </w:pPr>
      <w:r>
        <w:rPr/>
        <w:t> </w:t>
      </w:r>
    </w:p>
    <w:tbl>
      <w:tblPr>
        <w:tblW w:w="3531" w:type="dxa"/>
        <w:jc w:val="left"/>
        <w:tblInd w:w="0" w:type="dxa"/>
        <w:tblLayout w:type="fixed"/>
        <w:tblCellMar>
          <w:top w:w="0" w:type="dxa"/>
          <w:left w:w="0" w:type="dxa"/>
          <w:bottom w:w="0" w:type="dxa"/>
          <w:right w:w="0" w:type="dxa"/>
        </w:tblCellMar>
      </w:tblPr>
      <w:tblGrid>
        <w:gridCol w:w="875"/>
        <w:gridCol w:w="60"/>
        <w:gridCol w:w="204"/>
        <w:gridCol w:w="966"/>
        <w:gridCol w:w="98"/>
        <w:gridCol w:w="98"/>
        <w:gridCol w:w="204"/>
        <w:gridCol w:w="966"/>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76,323</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60,087</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17,750</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12,271</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94,073</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72,358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Grid business segment accounted for 81% of total revenues for the three months ended June 30, 2026 compared </w:t>
      </w:r>
      <w:r>
        <w:rPr>
          <w:rFonts w:ascii="Times New Roman;Times;serif" w:hAnsi="Times New Roman;Times;serif"/>
          <w:sz w:val="20"/>
          <w:shd w:fill="FFFFFF" w:val="clear"/>
        </w:rPr>
        <w:t xml:space="preserve">to 83% for </w:t>
      </w:r>
      <w:r>
        <w:rPr>
          <w:rFonts w:ascii="Times New Roman;Times;serif" w:hAnsi="Times New Roman;Times;serif"/>
          <w:sz w:val="20"/>
        </w:rPr>
        <w:t>the three months ended June 30, 2025. Our Grid business segment revenues increased 27% to $76.3 million in the three months ended June 30, 2026, from $60.1 million in the three months ended June 30, 2025. The increase in the Grid business segment revenues in the three months ended June 30, 2026, compared to the three months ended June 30, 2025, was driven by the addition of Comtrafo revenues. </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Wind business segment accounted for 19% of total revenues for the three months ended June 30, 2026, compared </w:t>
      </w:r>
      <w:r>
        <w:rPr>
          <w:rFonts w:ascii="Times New Roman;Times;serif" w:hAnsi="Times New Roman;Times;serif"/>
          <w:sz w:val="20"/>
          <w:shd w:fill="FFFFFF" w:val="clear"/>
        </w:rPr>
        <w:t>to 17% for</w:t>
      </w:r>
      <w:r>
        <w:rPr>
          <w:rFonts w:ascii="Times New Roman;Times;serif" w:hAnsi="Times New Roman;Times;serif"/>
          <w:sz w:val="20"/>
        </w:rPr>
        <w:t> the three months ended June 30, 2025. Revenues in the Wind business segment increased 45% to $17.8 million in the three months ended June 30, 2026, from $12.3 million in the three months ended June 30, 2025. The increase during the three months ended June 30, 2026, compared to the three months ended June 30, 2025, was driven by additional shipments of electrical control systems ("ECS"). </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Revenues and Gross Margin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Cost of revenues increased by 45% to $69.3 millio</w:t>
      </w:r>
      <w:r>
        <w:rPr>
          <w:rFonts w:ascii="Times New Roman;Times;serif" w:hAnsi="Times New Roman;Times;serif"/>
          <w:sz w:val="20"/>
          <w:shd w:fill="FFFFFF" w:val="clear"/>
        </w:rPr>
        <w:t xml:space="preserve">n for the three months ended </w:t>
      </w:r>
      <w:r>
        <w:rPr>
          <w:rFonts w:ascii="Times New Roman;Times;serif" w:hAnsi="Times New Roman;Times;serif"/>
          <w:sz w:val="20"/>
        </w:rPr>
        <w:t>June 30, 2026</w:t>
      </w:r>
      <w:r>
        <w:rPr>
          <w:rFonts w:ascii="Times New Roman;Times;serif" w:hAnsi="Times New Roman;Times;serif"/>
          <w:sz w:val="20"/>
          <w:shd w:fill="FFFFFF" w:val="clear"/>
        </w:rPr>
        <w:t xml:space="preserve">, compared to $47.9 million for the three months ended </w:t>
      </w:r>
      <w:r>
        <w:rPr>
          <w:rFonts w:ascii="Times New Roman;Times;serif" w:hAnsi="Times New Roman;Times;serif"/>
          <w:sz w:val="20"/>
        </w:rPr>
        <w:t>June 30, 2025. </w:t>
      </w:r>
      <w:r>
        <w:rPr>
          <w:rFonts w:ascii="Times New Roman;Times;serif" w:hAnsi="Times New Roman;Times;serif"/>
          <w:sz w:val="20"/>
          <w:shd w:fill="FFFFFF" w:val="clear"/>
        </w:rPr>
        <w:t>Gross margin was </w:t>
      </w:r>
      <w:r>
        <w:rPr>
          <w:rFonts w:ascii="Times New Roman;Times;serif" w:hAnsi="Times New Roman;Times;serif"/>
          <w:sz w:val="20"/>
        </w:rPr>
        <w:t>26%</w:t>
      </w:r>
      <w:r>
        <w:rPr>
          <w:rFonts w:ascii="Times New Roman;Times;serif" w:hAnsi="Times New Roman;Times;serif"/>
          <w:sz w:val="20"/>
          <w:shd w:fill="FFFFFF" w:val="clear"/>
        </w:rPr>
        <w:t> </w:t>
      </w:r>
      <w:r>
        <w:rPr>
          <w:rFonts w:ascii="Times New Roman;Times;serif" w:hAnsi="Times New Roman;Times;serif"/>
          <w:sz w:val="20"/>
        </w:rPr>
        <w:t>for the three months ended June 30, 2026, </w:t>
      </w:r>
      <w:r>
        <w:rPr>
          <w:rFonts w:ascii="Times New Roman;Times;serif" w:hAnsi="Times New Roman;Times;serif"/>
          <w:sz w:val="20"/>
          <w:shd w:fill="FFFFFF" w:val="clear"/>
        </w:rPr>
        <w:t>compared to 34% for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2025. Cost of revenues includes total amortization expense of $0.5 million in the three months ended June 30, 2026 as a result of Comtrafo acquired backlog intangible assets. In addition, $0.7 million related to a fair value adjustment for the step-up basis assigned to acquired inventory to properly reflect the fair value in purchase accounting was charged to cost of revenues in the three months ended June 30, 2026. The decrease in gross margin in the three months ended June 30, 2026 was due to a less favorable product mix and the impact of Comtrafo purchase accounting items. </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Research and development ("R&amp;D") expenses decreased 9% in the three months ended</w:t>
      </w:r>
      <w:r>
        <w:rPr>
          <w:rFonts w:ascii="Times New Roman" w:hAnsi="Times New Roman"/>
          <w:caps w:val="false"/>
          <w:smallCaps w:val="false"/>
          <w:sz w:val="20"/>
        </w:rPr>
        <w:t> June 30, 2026</w:t>
      </w:r>
      <w:r>
        <w:rPr>
          <w:rFonts w:ascii="Times New Roman" w:hAnsi="Times New Roman"/>
          <w:caps w:val="false"/>
          <w:smallCaps w:val="false"/>
          <w:sz w:val="20"/>
          <w:shd w:fill="FFFFFF" w:val="clear"/>
        </w:rPr>
        <w:t>, to $3.9 million from $4.3 million in the three months ended</w:t>
      </w:r>
      <w:r>
        <w:rPr>
          <w:rFonts w:ascii="Times New Roman" w:hAnsi="Times New Roman"/>
          <w:caps w:val="false"/>
          <w:smallCaps w:val="false"/>
          <w:sz w:val="20"/>
        </w:rPr>
        <w:t xml:space="preserve"> June 30, 2025. </w:t>
      </w:r>
      <w:r>
        <w:rPr>
          <w:rFonts w:ascii="Times New Roman" w:hAnsi="Times New Roman"/>
          <w:caps w:val="false"/>
          <w:smallCaps w:val="false"/>
          <w:sz w:val="20"/>
          <w:shd w:fill="FFFFFF" w:val="clear"/>
        </w:rPr>
        <w:t xml:space="preserve">The decrease </w:t>
      </w:r>
      <w:r>
        <w:rPr>
          <w:rFonts w:ascii="Times New Roman" w:hAnsi="Times New Roman"/>
          <w:caps w:val="false"/>
          <w:smallCaps w:val="false"/>
          <w:sz w:val="20"/>
        </w:rPr>
        <w:t>in the </w:t>
      </w:r>
      <w:r>
        <w:rPr>
          <w:rFonts w:ascii="Times New Roman" w:hAnsi="Times New Roman"/>
          <w:caps w:val="false"/>
          <w:smallCaps w:val="false"/>
          <w:sz w:val="20"/>
          <w:shd w:fill="FFFFFF" w:val="clear"/>
        </w:rPr>
        <w:t>three</w:t>
      </w:r>
      <w:r>
        <w:rPr>
          <w:rFonts w:ascii="Times New Roman" w:hAnsi="Times New Roman"/>
          <w:caps w:val="false"/>
          <w:smallCaps w:val="false"/>
          <w:sz w:val="20"/>
        </w:rPr>
        <w:t> months ended June 30, 2026</w:t>
      </w:r>
      <w:r>
        <w:rPr>
          <w:rFonts w:ascii="Times New Roman" w:hAnsi="Times New Roman"/>
          <w:caps w:val="false"/>
          <w:smallCaps w:val="false"/>
          <w:sz w:val="20"/>
          <w:shd w:fill="FFFFFF" w:val="clear"/>
        </w:rPr>
        <w:t> was driven </w:t>
      </w:r>
      <w:r>
        <w:rPr>
          <w:rFonts w:ascii="Times New Roman" w:hAnsi="Times New Roman"/>
          <w:caps w:val="false"/>
          <w:smallCaps w:val="false"/>
          <w:sz w:val="20"/>
        </w:rPr>
        <w:t>primarily by lower stock-based compensation expense and lower outside services expense.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Selling, general, and administrative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Selling, general and administrative ("SG&amp;A") expenses increased </w:t>
      </w:r>
      <w:r>
        <w:rPr>
          <w:rFonts w:ascii="Times New Roman;Times;serif" w:hAnsi="Times New Roman;Times;serif"/>
          <w:sz w:val="20"/>
        </w:rPr>
        <w:t>31%</w:t>
      </w:r>
      <w:r>
        <w:rPr>
          <w:rFonts w:ascii="Times New Roman;Times;serif" w:hAnsi="Times New Roman;Times;serif"/>
          <w:sz w:val="20"/>
          <w:shd w:fill="FFFFFF" w:val="clear"/>
        </w:rPr>
        <w:t xml:space="preserve"> in the three months ended </w:t>
      </w:r>
      <w:r>
        <w:rPr>
          <w:rFonts w:ascii="Times New Roman;Times;serif" w:hAnsi="Times New Roman;Times;serif"/>
          <w:sz w:val="20"/>
        </w:rPr>
        <w:t>June 30, 2026, </w:t>
      </w:r>
      <w:r>
        <w:rPr>
          <w:rFonts w:ascii="Times New Roman;Times;serif" w:hAnsi="Times New Roman;Times;serif"/>
          <w:sz w:val="20"/>
          <w:shd w:fill="FFFFFF" w:val="clear"/>
        </w:rPr>
        <w:t>to $</w:t>
      </w:r>
      <w:r>
        <w:rPr>
          <w:rFonts w:ascii="Times New Roman;Times;serif" w:hAnsi="Times New Roman;Times;serif"/>
          <w:sz w:val="20"/>
        </w:rPr>
        <w:t>18.6</w:t>
      </w:r>
      <w:r>
        <w:rPr>
          <w:rFonts w:ascii="Times New Roman;Times;serif" w:hAnsi="Times New Roman;Times;serif"/>
          <w:sz w:val="20"/>
          <w:shd w:fill="FFFFFF" w:val="clear"/>
        </w:rPr>
        <w:t xml:space="preserve"> million from $14.2 million in the three months ended </w:t>
      </w:r>
      <w:r>
        <w:rPr>
          <w:rFonts w:ascii="Times New Roman;Times;serif" w:hAnsi="Times New Roman;Times;serif"/>
          <w:sz w:val="20"/>
        </w:rPr>
        <w:t>June 30, 2025. The increase in SG&amp;A expense in the </w:t>
      </w:r>
      <w:r>
        <w:rPr>
          <w:rFonts w:ascii="Times New Roman;Times;serif" w:hAnsi="Times New Roman;Times;serif"/>
          <w:sz w:val="20"/>
          <w:shd w:fill="FFFFFF" w:val="clear"/>
        </w:rPr>
        <w:t>three</w:t>
      </w:r>
      <w:r>
        <w:rPr>
          <w:rFonts w:ascii="Times New Roman;Times;serif" w:hAnsi="Times New Roman;Times;serif"/>
          <w:sz w:val="20"/>
        </w:rPr>
        <w:t xml:space="preserve"> months ended June 30, 2026 was driven primarily by the addition of Comtrafo expenses, higher overall compensation expense, and additional stock-based compensation expense.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Amortization of acquisition-related intangibles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recorded amortization expense related to our core technology and know-how and customer relationships of $</w:t>
      </w:r>
      <w:r>
        <w:rPr>
          <w:rFonts w:ascii="Times New Roman;Times;serif" w:hAnsi="Times New Roman;Times;serif"/>
          <w:sz w:val="20"/>
        </w:rPr>
        <w:t>0.5</w:t>
      </w:r>
      <w:r>
        <w:rPr>
          <w:rFonts w:ascii="Times New Roman;Times;serif" w:hAnsi="Times New Roman;Times;serif"/>
          <w:sz w:val="20"/>
          <w:shd w:fill="FFFFFF" w:val="clear"/>
        </w:rPr>
        <w:t xml:space="preserve"> million in the three months ended </w:t>
      </w:r>
      <w:r>
        <w:rPr>
          <w:rFonts w:ascii="Times New Roman;Times;serif" w:hAnsi="Times New Roman;Times;serif"/>
          <w:sz w:val="20"/>
        </w:rPr>
        <w:t>June 30, 2026,</w:t>
      </w:r>
      <w:r>
        <w:rPr>
          <w:rFonts w:ascii="Times New Roman;Times;serif" w:hAnsi="Times New Roman;Times;serif"/>
          <w:sz w:val="20"/>
          <w:shd w:fill="FFFFFF" w:val="clear"/>
        </w:rPr>
        <w:t xml:space="preserve"> and $0.3 million in the three months ended </w:t>
      </w:r>
      <w:r>
        <w:rPr>
          <w:rFonts w:ascii="Times New Roman;Times;serif" w:hAnsi="Times New Roman;Times;serif"/>
          <w:sz w:val="20"/>
        </w:rPr>
        <w:t>June 30, 2025.</w:t>
      </w:r>
      <w:r>
        <w:rPr>
          <w:rFonts w:ascii="Times New Roman;Times;serif" w:hAnsi="Times New Roman;Times;serif"/>
          <w:sz w:val="20"/>
          <w:shd w:fill="FFFFFF" w:val="clear"/>
        </w:rPr>
        <w:t> </w:t>
      </w:r>
      <w:r>
        <w:rPr>
          <w:rFonts w:ascii="Times New Roman;Times;serif" w:hAnsi="Times New Roman;Times;serif"/>
          <w:sz w:val="20"/>
        </w:rPr>
        <w:t>The increase in amortization expense in the three months ended June 30, 2026, was a result of additional amortization related to the Comtrafo acquisition, as well as ongoing activity from NEPSI and Neeltran which are using the economic consumption method as the basis to amortize the acquired customer relationships intangible assets.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Change in fair value of contingent consideration</w:t>
      </w:r>
    </w:p>
    <w:p>
      <w:pPr>
        <w:pStyle w:val="TextBody"/>
        <w:bidi w:val="0"/>
        <w:spacing w:before="0" w:after="0"/>
        <w:ind w:left="144" w:right="144" w:firstLine="555"/>
        <w:jc w:val="both"/>
        <w:rPr/>
      </w:pPr>
      <w:r>
        <w:rPr/>
        <w:t> </w:t>
      </w:r>
    </w:p>
    <w:p>
      <w:pPr>
        <w:pStyle w:val="TextBody"/>
        <w:bidi w:val="0"/>
        <w:spacing w:before="0" w:after="0"/>
        <w:ind w:left="144" w:right="144" w:firstLine="555"/>
        <w:jc w:val="both"/>
        <w:rPr>
          <w:rFonts w:ascii="Times New Roman;Times;serif" w:hAnsi="Times New Roman;Times;serif"/>
          <w:sz w:val="20"/>
        </w:rPr>
      </w:pPr>
      <w:r>
        <w:rPr>
          <w:rFonts w:ascii="Times New Roman;Times;serif" w:hAnsi="Times New Roman;Times;serif"/>
          <w:sz w:val="20"/>
        </w:rPr>
        <w:t>The change in fair value of our contingent consideration for the earnout payment on the acquisition of Comtrafo resulted in a gain of $8.1 million from a decrease in fair value of the contingent consideration driven by changes in the forecast in the three months ended June 30, 2026. There was no activity in the three months ended June 30, 2025 related to the change in fair value of contingent consideration.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income (loss)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operating income (loss) is summarized as follows (in thousands):</w:t>
      </w:r>
    </w:p>
    <w:p>
      <w:pPr>
        <w:pStyle w:val="TextBody"/>
        <w:bidi w:val="0"/>
        <w:spacing w:before="0" w:after="0"/>
        <w:ind w:left="0" w:right="0" w:firstLine="720"/>
        <w:jc w:val="both"/>
        <w:rPr/>
      </w:pPr>
      <w:r>
        <w:rPr/>
        <w:t> </w:t>
      </w:r>
    </w:p>
    <w:tbl>
      <w:tblPr>
        <w:tblW w:w="5257" w:type="dxa"/>
        <w:jc w:val="left"/>
        <w:tblInd w:w="0" w:type="dxa"/>
        <w:tblLayout w:type="fixed"/>
        <w:tblCellMar>
          <w:top w:w="0" w:type="dxa"/>
          <w:left w:w="0" w:type="dxa"/>
          <w:bottom w:w="0" w:type="dxa"/>
          <w:right w:w="0" w:type="dxa"/>
        </w:tblCellMar>
      </w:tblPr>
      <w:tblGrid>
        <w:gridCol w:w="2600"/>
        <w:gridCol w:w="60"/>
        <w:gridCol w:w="223"/>
        <w:gridCol w:w="974"/>
        <w:gridCol w:w="143"/>
        <w:gridCol w:w="107"/>
        <w:gridCol w:w="223"/>
        <w:gridCol w:w="867"/>
        <w:gridCol w:w="6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0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2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(2,166</w:t>
            </w:r>
          </w:p>
        </w:tc>
        <w:tc>
          <w:tcPr>
            <w:tcW w:w="1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ind w:left="0" w:right="0" w:hanging="0"/>
              <w:jc w:val="left"/>
              <w:rPr/>
            </w:pPr>
            <w:r>
              <w:rPr/>
              <w:t> </w:t>
            </w:r>
          </w:p>
        </w:tc>
        <w:tc>
          <w:tcPr>
            <w:tcW w:w="22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4,155</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3,883</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corporate expenses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8,115</w:t>
            </w:r>
          </w:p>
        </w:tc>
        <w:tc>
          <w:tcPr>
            <w:tcW w:w="14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9,832</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w:t>
      </w:r>
      <w:r>
        <w:rPr>
          <w:rFonts w:ascii="Times New Roman;Times;serif" w:hAnsi="Times New Roman;Times;serif"/>
          <w:sz w:val="20"/>
          <w:shd w:fill="FFFFFF" w:val="clear"/>
        </w:rPr>
        <w:t>r Grid business segment generated operating loss of $</w:t>
      </w:r>
      <w:r>
        <w:rPr>
          <w:rFonts w:ascii="Times New Roman;Times;serif" w:hAnsi="Times New Roman;Times;serif"/>
          <w:sz w:val="20"/>
        </w:rPr>
        <w:t>2.2</w:t>
      </w:r>
      <w:r>
        <w:rPr>
          <w:rFonts w:ascii="Times New Roman;Times;serif" w:hAnsi="Times New Roman;Times;serif"/>
          <w:sz w:val="20"/>
          <w:shd w:fill="FFFFFF" w:val="clear"/>
        </w:rPr>
        <w:t xml:space="preserve">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2026</w:t>
      </w:r>
      <w:r>
        <w:rPr>
          <w:rFonts w:ascii="Times New Roman;Times;serif" w:hAnsi="Times New Roman;Times;serif"/>
          <w:sz w:val="20"/>
          <w:shd w:fill="FFFFFF" w:val="clear"/>
        </w:rPr>
        <w:t xml:space="preserve">, compared to an operating income of $4.2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2025</w:t>
      </w:r>
      <w:r>
        <w:rPr>
          <w:rFonts w:ascii="Times New Roman;Times;serif" w:hAnsi="Times New Roman;Times;serif"/>
          <w:sz w:val="20"/>
          <w:shd w:fill="FFFFFF" w:val="clear"/>
        </w:rPr>
        <w:t xml:space="preserve">. The decrease in the Grid </w:t>
      </w:r>
      <w:r>
        <w:rPr>
          <w:rFonts w:ascii="Times New Roman;Times;serif" w:hAnsi="Times New Roman;Times;serif"/>
          <w:sz w:val="20"/>
        </w:rPr>
        <w:t>business segment</w:t>
      </w:r>
      <w:r>
        <w:rPr>
          <w:rFonts w:ascii="Times New Roman;Times;serif" w:hAnsi="Times New Roman;Times;serif"/>
          <w:sz w:val="20"/>
          <w:shd w:fill="FFFFFF" w:val="clear"/>
        </w:rPr>
        <w:t xml:space="preserve"> operating income in the three months ended June 30, 2026 was due to lower gross margins and Comtrafo purchase accounting expense.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Our Wind business segment generated operating income of $</w:t>
      </w:r>
      <w:r>
        <w:rPr>
          <w:rFonts w:ascii="Times New Roman;Times;serif" w:hAnsi="Times New Roman;Times;serif"/>
          <w:sz w:val="20"/>
        </w:rPr>
        <w:t>3.9</w:t>
      </w:r>
      <w:r>
        <w:rPr>
          <w:rFonts w:ascii="Times New Roman;Times;serif" w:hAnsi="Times New Roman;Times;serif"/>
          <w:sz w:val="20"/>
          <w:shd w:fill="FFFFFF" w:val="clear"/>
        </w:rPr>
        <w:t xml:space="preserve">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2026</w:t>
      </w:r>
      <w:r>
        <w:rPr>
          <w:rFonts w:ascii="Times New Roman;Times;serif" w:hAnsi="Times New Roman;Times;serif"/>
          <w:sz w:val="20"/>
          <w:shd w:fill="FFFFFF" w:val="clear"/>
        </w:rPr>
        <w:t xml:space="preserve">, compared to operating income of $1.5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2025</w:t>
      </w:r>
      <w:r>
        <w:rPr>
          <w:rFonts w:ascii="Times New Roman;Times;serif" w:hAnsi="Times New Roman;Times;serif"/>
          <w:sz w:val="20"/>
          <w:shd w:fill="FFFFFF" w:val="clear"/>
        </w:rPr>
        <w:t xml:space="preserve">. The increase in the Wind </w:t>
      </w:r>
      <w:r>
        <w:rPr>
          <w:rFonts w:ascii="Times New Roman;Times;serif" w:hAnsi="Times New Roman;Times;serif"/>
          <w:sz w:val="20"/>
        </w:rPr>
        <w:t>business segment</w:t>
      </w:r>
      <w:r>
        <w:rPr>
          <w:rFonts w:ascii="Times New Roman;Times;serif" w:hAnsi="Times New Roman;Times;serif"/>
          <w:sz w:val="20"/>
          <w:shd w:fill="FFFFFF" w:val="clear"/>
        </w:rPr>
        <w:t xml:space="preserve"> operating income in the three months ended June 30, 2026 was due to higher revenues and gross margins from increased sales of ECS units.</w:t>
      </w:r>
    </w:p>
    <w:p>
      <w:pPr>
        <w:pStyle w:val="TextBody"/>
        <w:bidi w:val="0"/>
        <w:spacing w:before="0" w:after="0"/>
        <w:ind w:left="0" w:right="0" w:firstLine="720"/>
        <w:jc w:val="both"/>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i/>
          <w:sz w:val="20"/>
        </w:rPr>
        <w:t>Interest income, net</w:t>
      </w:r>
      <w:r>
        <w:rPr>
          <w:rFonts w:ascii="Times New Roman;Times;serif" w:hAnsi="Times New Roman;Times;serif"/>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Interest income, net, was $1.5 million in the three months ended June 30, 2026, compared to $0.9 million in the three months ended June 30, 2025. The increase in interest income, net, in the three months ended June 30, 2026 was due to higher cash balances in the current year.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Other income (expense), net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Other expense, net, was $0.6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2026</w:t>
      </w:r>
      <w:r>
        <w:rPr>
          <w:rFonts w:ascii="Times New Roman;Times;serif" w:hAnsi="Times New Roman;Times;serif"/>
          <w:sz w:val="20"/>
          <w:shd w:fill="FFFFFF" w:val="clear"/>
        </w:rPr>
        <w:t>, compared to other income, net of $0.3 million in the three months ended June 30, 2025</w:t>
      </w:r>
      <w:r>
        <w:rPr>
          <w:rFonts w:ascii="Times New Roman;Times;serif" w:hAnsi="Times New Roman;Times;serif"/>
          <w:sz w:val="20"/>
        </w:rPr>
        <w:t>. The decrease in other income, net, during the three months ended June 30, 2026</w:t>
      </w:r>
      <w:r>
        <w:rPr>
          <w:rFonts w:ascii="Times New Roman;Times;serif" w:hAnsi="Times New Roman;Times;serif"/>
          <w:sz w:val="20"/>
          <w:shd w:fill="FFFFFF" w:val="clear"/>
        </w:rPr>
        <w:t>, was driven by unfavorable fluctuations in foreign currencies.</w:t>
      </w:r>
    </w:p>
    <w:p>
      <w:pPr>
        <w:pStyle w:val="TextBody"/>
        <w:bidi w:val="0"/>
        <w:spacing w:before="0" w:after="0"/>
        <w:ind w:left="0" w:right="0" w:firstLine="720"/>
        <w:jc w:val="both"/>
        <w:rPr/>
      </w:pPr>
      <w:r>
        <w:rPr/>
        <w:t> </w:t>
      </w:r>
    </w:p>
    <w:p>
      <w:pPr>
        <w:pStyle w:val="TextBody"/>
        <w:bidi w:val="0"/>
        <w:spacing w:before="0" w:after="0"/>
        <w:ind w:left="0" w:right="0" w:hanging="0"/>
        <w:jc w:val="both"/>
        <w:rPr>
          <w:shd w:fill="FFFFFF" w:val="clear"/>
        </w:rPr>
      </w:pPr>
      <w:r>
        <w:rPr>
          <w:shd w:fill="FFFFFF" w:val="clear"/>
        </w:rPr>
        <w:t> </w:t>
      </w:r>
      <w:r>
        <w:rPr>
          <w:rFonts w:ascii="Times New Roman;Times;serif" w:hAnsi="Times New Roman;Times;serif"/>
          <w:b/>
          <w:i/>
          <w:sz w:val="20"/>
          <w:shd w:fill="FFFFFF" w:val="clear"/>
        </w:rPr>
        <w:t>Income Taxes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Income tax expense was $1.3 million in the three months ended June 30, 2026, compared to income tax expense of $0.2 million in the three months ended June 30, 2025</w:t>
      </w:r>
      <w:r>
        <w:rPr>
          <w:rFonts w:ascii="Times New Roman" w:hAnsi="Times New Roman"/>
          <w:caps w:val="false"/>
          <w:smallCaps w:val="false"/>
          <w:sz w:val="20"/>
        </w:rPr>
        <w:t>. The increase in our income tax expense was primarily due to taxes in foreign jurisdictions.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Net income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Net income was $</w:t>
      </w:r>
      <w:r>
        <w:rPr>
          <w:rFonts w:ascii="Times New Roman;Times;serif" w:hAnsi="Times New Roman;Times;serif"/>
          <w:sz w:val="20"/>
        </w:rPr>
        <w:t>9.5</w:t>
      </w:r>
      <w:r>
        <w:rPr>
          <w:rFonts w:ascii="Times New Roman;Times;serif" w:hAnsi="Times New Roman;Times;serif"/>
          <w:sz w:val="20"/>
          <w:shd w:fill="FFFFFF" w:val="clear"/>
        </w:rPr>
        <w:t xml:space="preserve">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2026,</w:t>
      </w:r>
      <w:r>
        <w:rPr>
          <w:rFonts w:ascii="Times New Roman;Times;serif" w:hAnsi="Times New Roman;Times;serif"/>
          <w:sz w:val="20"/>
          <w:shd w:fill="FFFFFF" w:val="clear"/>
        </w:rPr>
        <w:t> compared to $6.7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2025.</w:t>
      </w:r>
      <w:r>
        <w:rPr>
          <w:rFonts w:ascii="Times New Roman;Times;serif" w:hAnsi="Times New Roman;Times;serif"/>
          <w:sz w:val="20"/>
          <w:shd w:fill="FFFFFF" w:val="clear"/>
        </w:rPr>
        <w:t> The increase in net income for the three months ended June 30, 2026 was driven primarily by the change in fair value of contingent consideration.</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Non-GAAP Financial Measure - Non-GAAP Net Income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Quarterly Report on Form 10-Q, however, should be considered in addition to, and not as a substitute for or superior to the comparable measures prepared in accordance with GAAP.</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define non-GAAP net income as net income before stock-based compensation, amortization of acquisition-related intangibles, change in fair value of contingent consideration, and other non-cash or unusual charges. We believe non-GAAP</w:t>
      </w:r>
      <w:r>
        <w:rPr>
          <w:rFonts w:ascii="Times New Roman;Times;serif" w:hAnsi="Times New Roman;Times;serif"/>
          <w:sz w:val="20"/>
        </w:rPr>
        <w:t xml:space="preserve"> net </w:t>
      </w:r>
      <w:r>
        <w:rPr>
          <w:rFonts w:ascii="Times New Roman;Times;serif" w:hAnsi="Times New Roman;Times;serif"/>
          <w:sz w:val="20"/>
          <w:shd w:fill="FFFFFF" w:val="clear"/>
        </w:rPr>
        <w:t>income </w:t>
      </w:r>
      <w:r>
        <w:rPr>
          <w:rFonts w:ascii="Times New Roman;Times;serif" w:hAnsi="Times New Roman;Times;serif"/>
          <w:sz w:val="20"/>
        </w:rPr>
        <w:t xml:space="preserve">assists management and investors in comparing our performance across reporting periods on a consistent basis by excluding these non-cash charges and other items that we do not believe are indicative of our core operating performance. In addition, we use non-GAAP net </w:t>
      </w:r>
      <w:r>
        <w:rPr>
          <w:rFonts w:ascii="Times New Roman;Times;serif" w:hAnsi="Times New Roman;Times;serif"/>
          <w:sz w:val="20"/>
          <w:shd w:fill="FFFFFF" w:val="clear"/>
        </w:rPr>
        <w:t>income</w:t>
      </w:r>
      <w:r>
        <w:rPr>
          <w:rFonts w:ascii="Times New Roman;Times;serif" w:hAnsi="Times New Roman;Times;serif"/>
          <w:sz w:val="20"/>
        </w:rPr>
        <w:t xml:space="preserve"> as a factor to evaluate the effectiveness of our business strategies. A reconciliation of GAAP to non-GAAP net </w:t>
      </w:r>
      <w:r>
        <w:rPr>
          <w:rFonts w:ascii="Times New Roman;Times;serif" w:hAnsi="Times New Roman;Times;serif"/>
          <w:sz w:val="20"/>
          <w:shd w:fill="FFFFFF" w:val="clear"/>
        </w:rPr>
        <w:t>income</w:t>
      </w:r>
      <w:r>
        <w:rPr>
          <w:rFonts w:ascii="Times New Roman;Times;serif" w:hAnsi="Times New Roman;Times;serif"/>
          <w:sz w:val="20"/>
        </w:rPr>
        <w:t> is set forth in the table below (in thousands, except per share data):</w:t>
      </w:r>
    </w:p>
    <w:p>
      <w:pPr>
        <w:pStyle w:val="TextBody"/>
        <w:bidi w:val="0"/>
        <w:spacing w:before="0" w:after="0"/>
        <w:ind w:left="0" w:right="0" w:firstLine="720"/>
        <w:jc w:val="both"/>
        <w:rPr/>
      </w:pPr>
      <w:r>
        <w:rPr/>
        <w:t> </w:t>
      </w:r>
    </w:p>
    <w:tbl>
      <w:tblPr>
        <w:tblW w:w="6623" w:type="dxa"/>
        <w:jc w:val="left"/>
        <w:tblInd w:w="0" w:type="dxa"/>
        <w:tblLayout w:type="fixed"/>
        <w:tblCellMar>
          <w:top w:w="0" w:type="dxa"/>
          <w:left w:w="0" w:type="dxa"/>
          <w:bottom w:w="0" w:type="dxa"/>
          <w:right w:w="0" w:type="dxa"/>
        </w:tblCellMar>
      </w:tblPr>
      <w:tblGrid>
        <w:gridCol w:w="3965"/>
        <w:gridCol w:w="60"/>
        <w:gridCol w:w="202"/>
        <w:gridCol w:w="954"/>
        <w:gridCol w:w="129"/>
        <w:gridCol w:w="97"/>
        <w:gridCol w:w="202"/>
        <w:gridCol w:w="954"/>
        <w:gridCol w:w="60"/>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9,490</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w:t>
            </w:r>
          </w:p>
        </w:tc>
        <w:tc>
          <w:tcPr>
            <w:tcW w:w="6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5,264</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acquisition-related intangibles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6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(8,115</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7,615</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11,587</w:t>
            </w:r>
          </w:p>
        </w:tc>
        <w:tc>
          <w:tcPr>
            <w:tcW w:w="6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per share - basic</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0.17</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w:t>
            </w:r>
          </w:p>
        </w:tc>
        <w:tc>
          <w:tcPr>
            <w:tcW w:w="6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per share - diluted</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0.16</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w:t>
            </w:r>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45,995</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38,875</w:t>
            </w:r>
          </w:p>
        </w:tc>
        <w:tc>
          <w:tcPr>
            <w:tcW w:w="6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47,124</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39,742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generated non-GAAP net income of $7.6 million, or $</w:t>
      </w:r>
      <w:r>
        <w:rPr>
          <w:rFonts w:ascii="Times New Roman;Times;serif" w:hAnsi="Times New Roman;Times;serif"/>
          <w:sz w:val="20"/>
        </w:rPr>
        <w:t>0.17</w:t>
      </w:r>
      <w:r>
        <w:rPr>
          <w:rFonts w:ascii="Times New Roman;Times;serif" w:hAnsi="Times New Roman;Times;serif"/>
          <w:sz w:val="20"/>
          <w:shd w:fill="FFFFFF" w:val="clear"/>
        </w:rPr>
        <w:t> per share, for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2026</w:t>
      </w:r>
      <w:r>
        <w:rPr>
          <w:rFonts w:ascii="Times New Roman;Times;serif" w:hAnsi="Times New Roman;Times;serif"/>
          <w:sz w:val="20"/>
          <w:shd w:fill="FFFFFF" w:val="clear"/>
        </w:rPr>
        <w:t>, compared to a non-GAAP net income of $11.6 million, or $0.30 per share, for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2025</w:t>
      </w:r>
      <w:r>
        <w:rPr>
          <w:rFonts w:ascii="Times New Roman;Times;serif" w:hAnsi="Times New Roman;Times;serif"/>
          <w:sz w:val="20"/>
          <w:shd w:fill="FFFFFF" w:val="clear"/>
        </w:rPr>
        <w:t>. </w:t>
      </w:r>
      <w:r>
        <w:rPr>
          <w:rFonts w:ascii="Times New Roman;Times;serif" w:hAnsi="Times New Roman;Times;serif"/>
          <w:sz w:val="20"/>
        </w:rPr>
        <w:t>For the three months ended June 30, 2026, the decrease in non-GAAP net income was a result of lower gross margins.</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Company’s primary sources of liquidity are internally generated cash provided by operating activities, our cash and cash equivalents on hand, along with access to capital markets, including through our currently effective Registration Statements on Form S-3. We believe that these sources of liquidity are sufficient to meet both our short-term and reasonably foreseeable long-term requirements and obligations. As of June 30, 2026, we had cash, cash equivalents and restricted cash of $153.1 million, compared to $147.6 million as of March 31, 2026, an increase of $5.5 million. As of June 30, 2026, we had $22.8 million in cash, cash equivalents, and restricted cash in foreign bank accounts. Our cash, cash equivalents, and restricted cash are summarized as follows (in thousands):</w:t>
      </w:r>
    </w:p>
    <w:p>
      <w:pPr>
        <w:pStyle w:val="TextBody"/>
        <w:bidi w:val="0"/>
        <w:spacing w:before="0" w:after="0"/>
        <w:ind w:left="0" w:right="0" w:firstLine="555"/>
        <w:jc w:val="both"/>
        <w:rPr/>
      </w:pPr>
      <w:r>
        <w:rPr/>
        <w:t> </w:t>
      </w:r>
    </w:p>
    <w:tbl>
      <w:tblPr>
        <w:tblW w:w="6673" w:type="dxa"/>
        <w:jc w:val="left"/>
        <w:tblInd w:w="0" w:type="dxa"/>
        <w:tblLayout w:type="fixed"/>
        <w:tblCellMar>
          <w:top w:w="0" w:type="dxa"/>
          <w:left w:w="0" w:type="dxa"/>
          <w:bottom w:w="0" w:type="dxa"/>
          <w:right w:w="0" w:type="dxa"/>
        </w:tblCellMar>
      </w:tblPr>
      <w:tblGrid>
        <w:gridCol w:w="3890"/>
        <w:gridCol w:w="60"/>
        <w:gridCol w:w="181"/>
        <w:gridCol w:w="1008"/>
        <w:gridCol w:w="60"/>
        <w:gridCol w:w="60"/>
        <w:gridCol w:w="206"/>
        <w:gridCol w:w="1148"/>
        <w:gridCol w:w="60"/>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2026</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140,693</w:t>
            </w:r>
          </w:p>
        </w:tc>
        <w:tc>
          <w:tcPr>
            <w:tcW w:w="6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6,860</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147,553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June 30, 2026, net cash provided by operating activities was $16.0 million, compared to $4.1 million for the three months ended June 30, 2025. The increase in cash flows provided by operating activities in the three months ended June 30, 2026 was due primarily to changes in deferred revenue, inventory, prepaid expenses and other current assets, and changes in fair value consideration.</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June 30, 2026, net cash used in investing activities was $10.5 million, compared to $0.7 million for the three months ended June 30, 2025. The increase in net cash used in investing activities was primarily due to cash paid for the purchase of property, plant and equipment in the current year.</w:t>
      </w:r>
    </w:p>
    <w:p>
      <w:pPr>
        <w:pStyle w:val="TextBody"/>
        <w:bidi w:val="0"/>
        <w:spacing w:before="0" w:after="0"/>
        <w:ind w:left="144" w:right="144"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June 30, 2026, there was no cash provided by or used in financing activities. For the three months ended June 30, 2025, net cash provided by financing activities was $124.6 million. The decrease in net cash provided by financing activities was due primarily to the equity raise in June 2025.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June 30, 2026, we had $5.6 million of restricted cash included in long-term assets and $3.8 million of restricted cash included in current assets. At March 31, 2026, we had $3.3 million of restricted cash included in long-term assets and $3.5 million of restricted cash in current assets. These amounts included in restricted cash primarily represent collateral deposits to secure surety bonds and letters of credit for various customer contracts. These deposits are held in interest bearing accounts.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party to many contractual obligations involving commitments to make payments to third parties. These obligations impact our short-term and long-term liquidity and capital resource needs. Certain contractual obligations are reflected on the condensed consolidated balance sheet as of June 30, 2026, while others are considered future commitments. We have various contractual arrangements, under which we have committed to purchase certain minimum quantities of goods or services on an annual basis. For information regarding our other contractual obligations, refer to Note 3, "Revenue Recognition," Note 14, "Contingent Consideration," Note 15, "Leases" and Note 16, "Commitments and Contingencies" to our condensed consolidated financial statements included elsewhere in this Quarterly Report on Form 10-Q. Other than the contingent consideration owed to the former Comtrafo stockholders there have been no material changes to our contractual obligations from those disclosed in our Annual Report on Form 10-K for the fiscal year ended March 31, 2026.</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believe we have sufficient available liquidity to fund our operations and capital expenditures for at least the next twelve months and into the future. We raised $124.6 million, net of offering expenses, through an equity raise in June 2025, of which $88.3 million was used for the Comtrafo Acquisition. In addition, we may seek to raise additional capital, which could be in the form of loans, convertible debt or equity, to fund our operating requirements and capital expenditures. There can be no assurance that we will be able to raise additional capital on favorable terms or at all or execute on any other means of improving our liquidity as described above.  Additionally, the impact of global sources of instability, including the ongoing war between Russia and Ukraine, tariffs, trade restrictions and resulting trade conflicts, instability of financial institutions and political instability in the United States, on the global financial markets may reduce our ability to raise additional capital, if necessary, which could negatively impact our liquidity.</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are involved in legal and administrative proceedings and claims of various types. We record a liability in our condensed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condensed consolidated financial statements not misleading. If the loss is not probable or cannot be reasonably estimated, a liability is not recorded in our condensed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 Accounting Pronouncements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November 2024, the FASB issued ASU 2024-03,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Expense Disaggregation Disclosures</w:t>
      </w:r>
      <w:r>
        <w:rPr>
          <w:rFonts w:ascii="Times New Roman" w:hAnsi="Times New Roman"/>
          <w:caps w:val="false"/>
          <w:smallCaps w:val="false"/>
          <w:sz w:val="20"/>
        </w:rPr>
        <w:t>. The amendments in ASU 2024-03 address investor requests for more disclosure of disaggregated financial reporting information about expenses presented in the income statement. Following the release of ASU 2024-03 in November 2024, the effective date will be annual reporting periods beginning after December 15, 2026. We are evaluating the impact on our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September 2025, the FASB issued ASU 2025-06,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Goodwill and Other</w:t>
      </w:r>
      <w:r>
        <w:rPr>
          <w:rFonts w:ascii="Times New Roman" w:hAnsi="Times New Roman"/>
          <w:caps w:val="false"/>
          <w:smallCaps w:val="false"/>
          <w:sz w:val="20"/>
        </w:rPr>
        <w:t>—</w:t>
      </w:r>
      <w:r>
        <w:rPr>
          <w:rFonts w:ascii="Times New Roman" w:hAnsi="Times New Roman"/>
          <w:i/>
          <w:caps w:val="false"/>
          <w:smallCaps w:val="false"/>
          <w:sz w:val="20"/>
        </w:rPr>
        <w:t>Internal-Use Software</w:t>
      </w:r>
      <w:r>
        <w:rPr>
          <w:rFonts w:ascii="Times New Roman" w:hAnsi="Times New Roman"/>
          <w:caps w:val="false"/>
          <w:smallCaps w:val="false"/>
          <w:sz w:val="20"/>
        </w:rPr>
        <w:t>. The amendments in ASU 2025-06 remove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Following the release of ASU </w:t>
      </w:r>
      <w:r>
        <w:rPr>
          <w:rFonts w:ascii="Times New Roman" w:hAnsi="Times New Roman"/>
          <w:i/>
          <w:caps w:val="false"/>
          <w:smallCaps w:val="false"/>
          <w:sz w:val="20"/>
        </w:rPr>
        <w:t>2024-05</w:t>
      </w:r>
      <w:r>
        <w:rPr>
          <w:rFonts w:ascii="Times New Roman" w:hAnsi="Times New Roman"/>
          <w:caps w:val="false"/>
          <w:smallCaps w:val="false"/>
          <w:sz w:val="20"/>
        </w:rPr>
        <w:t> in September 2025, the effective date will be annual reporting periods beginning after December 15, 2027. We are evaluating the impact on our consolidated financial statements.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do not believe that, outside of those disclosed here, there are any other recently issued accounting pronouncements that will have a material impact on our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7705" w:type="dxa"/>
        <w:jc w:val="left"/>
        <w:tblInd w:w="0" w:type="dxa"/>
        <w:tblLayout w:type="fixed"/>
        <w:tblCellMar>
          <w:top w:w="0" w:type="dxa"/>
          <w:left w:w="0" w:type="dxa"/>
          <w:bottom w:w="0" w:type="dxa"/>
          <w:right w:w="0" w:type="dxa"/>
        </w:tblCellMar>
      </w:tblPr>
      <w:tblGrid>
        <w:gridCol w:w="740"/>
        <w:gridCol w:w="6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6" w:name="item3"/>
            <w:bookmarkEnd w:id="6"/>
            <w:r>
              <w:rPr>
                <w:rFonts w:ascii="Times New Roman;Times;serif" w:hAnsi="Times New Roman;Times;serif"/>
                <w:b/>
                <w:sz w:val="20"/>
              </w:rPr>
              <w:t>ITEM 3.</w:t>
            </w:r>
          </w:p>
        </w:tc>
        <w:tc>
          <w:tcPr>
            <w:tcW w:w="6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exposure to market risk through financial instruments, such as short-term cash instruments with maturities of three months or less, is limited to interest rate risk and is not material. Our investments in marketable securities consist primarily of money market accounts and short-term certificates of deposit and are designed, in order of priority, to preserve principal, provide liquidity, and maximize income. Interest rates are variable and fluctuate with current market conditions. We do not believe that a 10% change in interest rates would have a material impact on our financial position or results of operations.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Foreign currency exchange risk</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functional currency of each of our foreign subsidiaries is the U.S. dollar, except for AMSC Austria (Euro), AMSC Brazil and Comtrafo (Real), for which the local currencies are the functional currency. The assets and liabilities of AMSC Austria, AMSC Brazil and Comtrafo are translated into U.S. dollars at the exchange rate in effect at the balance sheet date and income and expense items are translated at average rates for the period. Cumulative translation adjustments are excluded from net income and shown as a separate component of stockholders’ equity.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 If the functional currency for AMSC Austria, AMSC Brazil, or Comtrafo were to fluctuate by 10% the net effect would be immaterial to our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Foreign currency gains (losses) are included in net income and were a loss of $0.7 million for the three months ended June 30, 2026 and a gain of $0.1 million for the three months ended June 30, 2025.</w:t>
      </w:r>
    </w:p>
    <w:p>
      <w:pPr>
        <w:pStyle w:val="TextBody"/>
        <w:bidi w:val="0"/>
        <w:spacing w:before="0" w:after="0"/>
        <w:ind w:left="0" w:right="0" w:firstLine="720"/>
        <w:jc w:val="both"/>
        <w:rPr/>
      </w:pPr>
      <w:r>
        <w:rPr/>
        <w:t> </w:t>
      </w:r>
    </w:p>
    <w:tbl>
      <w:tblPr>
        <w:tblW w:w="3655" w:type="dxa"/>
        <w:jc w:val="left"/>
        <w:tblInd w:w="0" w:type="dxa"/>
        <w:tblLayout w:type="fixed"/>
        <w:tblCellMar>
          <w:top w:w="0" w:type="dxa"/>
          <w:left w:w="0" w:type="dxa"/>
          <w:bottom w:w="0" w:type="dxa"/>
          <w:right w:w="0" w:type="dxa"/>
        </w:tblCellMar>
      </w:tblPr>
      <w:tblGrid>
        <w:gridCol w:w="740"/>
        <w:gridCol w:w="291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7" w:name="item4"/>
            <w:bookmarkEnd w:id="7"/>
            <w:r>
              <w:rPr>
                <w:rFonts w:ascii="Times New Roman;Times;serif" w:hAnsi="Times New Roman;Times;serif"/>
                <w:b/>
                <w:sz w:val="20"/>
              </w:rPr>
              <w:t>ITEM 4.</w:t>
            </w:r>
          </w:p>
        </w:tc>
        <w:tc>
          <w:tcPr>
            <w:tcW w:w="29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the effectiveness of our disclosure controls and procedures as of </w:t>
      </w:r>
      <w:r>
        <w:rPr>
          <w:rFonts w:ascii="Times New Roman;Times;serif" w:hAnsi="Times New Roman;Times;serif"/>
          <w:sz w:val="20"/>
          <w:shd w:fill="FFFFFF" w:val="clear"/>
        </w:rPr>
        <w:t>June 30, 2026</w:t>
      </w:r>
      <w:r>
        <w:rPr>
          <w:rFonts w:ascii="Times New Roman;Times;serif" w:hAnsi="Times New Roman;Times;serif"/>
          <w:sz w:val="20"/>
        </w:rPr>
        <w: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In making this evaluation, our management considered the material weakness in our internal control over financial reporting that was disclosed in our Annual Report on Form 10-K for the year ended March 31, 2026 filed on May 27, 2026, described below. Based on such evaluation, our Chief Executive Officer and Chief Financial Officer have concluded that our disclosure controls and procedures were not effective at the reasonable assurance level as of June 30, 2026, due to the material weakness in our internal control over financial reporting that management is in the process of remediating.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b/>
          <w:sz w:val="20"/>
          <w:u w:val="single"/>
        </w:rPr>
      </w:pPr>
      <w:r>
        <w:rPr>
          <w:rFonts w:ascii="Times New Roman;Times;serif" w:hAnsi="Times New Roman;Times;serif"/>
          <w:b/>
          <w:sz w:val="20"/>
          <w:u w:val="single"/>
        </w:rPr>
        <w:t>Material Weakness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During the fourth quarter of fiscal 2025, in connection with the preparation of our financial statements for our Annual Report on Form 10-K for the year ended March 31, 2026, management identified the following material weakness: We did not maintain effective internal controls over the preparation and review of the initial purchase accounting and the continuing fair value accounting associated with the Comtrafo Acquisition to ensure the accurate and timely reporting of our financial results related to this acquisition. Specifically, errors went undetected in amounts initially recorded to the opening balance sheet due to controls not operating at the appropriate level of precision during management's review process which could have led to a reasonable possibility of material misstatement to account balances or disclosures.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first quarter of fiscal 2026, our management, with the oversight of our audit committee, has initiated steps and plans to take additional measures to remediate the underlying causes of the material weakness, which we currently believe will be primarily through the development and implementation of new levels of precision of management review controls around business acquisitions. In the three months ended June 30, 2026, management has performed additional levels of review around areas of significant judgement and material balances.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Notwithstanding the material weakness, we believe that our financial statements contained in this Quarterly Report on Form 10-Q fairly present our financial position, results of operations and cash flows for the periods covered by this Quarterly Report on Form 10-Q in all material respects. </w:t>
      </w:r>
    </w:p>
    <w:p>
      <w:pPr>
        <w:pStyle w:val="TextBody"/>
        <w:bidi w:val="0"/>
        <w:spacing w:before="0" w:after="0"/>
        <w:ind w:left="144" w:right="144" w:hanging="0"/>
        <w:jc w:val="both"/>
        <w:rPr/>
      </w:pPr>
      <w:r>
        <w:rPr/>
        <w:t> </w:t>
      </w:r>
    </w:p>
    <w:p>
      <w:pPr>
        <w:pStyle w:val="TextBody"/>
        <w:bidi w:val="0"/>
        <w:spacing w:before="0" w:after="0"/>
        <w:ind w:left="144" w:right="144"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than the foregoing, there were no changes to our internal control over financial reporting (as defined in Rules 13a-15(f) and 15d-15(f) under the Exchange Act) during the quarter ended </w:t>
      </w:r>
      <w:r>
        <w:rPr>
          <w:rFonts w:ascii="Times New Roman;Times;serif" w:hAnsi="Times New Roman;Times;serif"/>
          <w:sz w:val="20"/>
          <w:shd w:fill="FFFFFF" w:val="clear"/>
        </w:rPr>
        <w:t>June 30, 2026</w:t>
      </w:r>
      <w:r>
        <w:rPr>
          <w:rFonts w:ascii="Times New Roman;Times;serif" w:hAnsi="Times New Roman;Times;serif"/>
          <w:sz w:val="20"/>
        </w:rPr>
        <w:t> that have materially affected, or are reasonably likely to materially affect, our internal control over financial reporting.</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8" w:name="partii"/>
      <w:bookmarkEnd w:id="8"/>
      <w:r>
        <w:rPr>
          <w:rFonts w:ascii="Times New Roman;Times;serif" w:hAnsi="Times New Roman;Times;serif"/>
          <w:b/>
          <w:sz w:val="20"/>
        </w:rPr>
        <w:t>PART II—OTHER INFORMATION</w:t>
      </w:r>
    </w:p>
    <w:p>
      <w:pPr>
        <w:pStyle w:val="TextBody"/>
        <w:bidi w:val="0"/>
        <w:spacing w:before="0" w:after="0"/>
        <w:ind w:left="0" w:right="0" w:hanging="0"/>
        <w:jc w:val="center"/>
        <w:rPr/>
      </w:pPr>
      <w:r>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9" w:name="itemone"/>
            <w:bookmarkEnd w:id="9"/>
            <w:r>
              <w:rPr>
                <w:rFonts w:ascii="Times New Roman;Times;serif" w:hAnsi="Times New Roman;Times;serif"/>
                <w:b/>
                <w:sz w:val="20"/>
              </w:rPr>
              <w:t>ITEM 1.</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555"/>
        <w:jc w:val="both"/>
        <w:rPr/>
      </w:pPr>
      <w:r>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0" w:name="item1a"/>
            <w:bookmarkEnd w:id="10"/>
            <w:r>
              <w:rPr>
                <w:rFonts w:ascii="Times New Roman;Times;serif" w:hAnsi="Times New Roman;Times;serif"/>
                <w:b/>
                <w:sz w:val="20"/>
              </w:rPr>
              <w:t>ITEM 1A.</w:t>
            </w:r>
          </w:p>
        </w:tc>
        <w:tc>
          <w:tcPr>
            <w:tcW w:w="14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to the risk factors described in Part I, Item 1A of our Annual Report on Form 10-K for the fiscal year ended March 31, 2026, filed with the SEC on May 27, 2026.</w:t>
      </w:r>
    </w:p>
    <w:p>
      <w:pPr>
        <w:pStyle w:val="TextBody"/>
        <w:bidi w:val="0"/>
        <w:spacing w:before="0" w:after="0"/>
        <w:ind w:left="0" w:right="0" w:firstLine="720"/>
        <w:jc w:val="both"/>
        <w:rPr/>
      </w:pPr>
      <w:r>
        <w:rPr/>
        <w:t> </w:t>
      </w:r>
    </w:p>
    <w:tbl>
      <w:tblPr>
        <w:tblW w:w="7585" w:type="dxa"/>
        <w:jc w:val="left"/>
        <w:tblInd w:w="0" w:type="dxa"/>
        <w:tblLayout w:type="fixed"/>
        <w:tblCellMar>
          <w:top w:w="0" w:type="dxa"/>
          <w:left w:w="0" w:type="dxa"/>
          <w:bottom w:w="0" w:type="dxa"/>
          <w:right w:w="0" w:type="dxa"/>
        </w:tblCellMar>
      </w:tblPr>
      <w:tblGrid>
        <w:gridCol w:w="740"/>
        <w:gridCol w:w="684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1" w:name="unregsales"/>
            <w:bookmarkEnd w:id="11"/>
            <w:r>
              <w:rPr>
                <w:rFonts w:ascii="Times New Roman;Times;serif" w:hAnsi="Times New Roman;Times;serif"/>
                <w:b/>
                <w:sz w:val="20"/>
              </w:rPr>
              <w:t>ITEM 2.</w:t>
            </w:r>
          </w:p>
        </w:tc>
        <w:tc>
          <w:tcPr>
            <w:tcW w:w="68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stock repurchase activity during the three months ended </w:t>
      </w:r>
      <w:r>
        <w:rPr>
          <w:rFonts w:ascii="Times New Roman;Times;serif" w:hAnsi="Times New Roman;Times;serif"/>
          <w:sz w:val="20"/>
          <w:shd w:fill="FFFFFF" w:val="clear"/>
        </w:rPr>
        <w:t>June 30, 2026</w:t>
      </w:r>
      <w:r>
        <w:rPr>
          <w:rFonts w:ascii="Times New Roman;Times;serif" w:hAnsi="Times New Roman;Times;serif"/>
          <w:sz w:val="20"/>
        </w:rPr>
        <w:t xml:space="preserve"> was as follows:</w:t>
      </w:r>
    </w:p>
    <w:p>
      <w:pPr>
        <w:pStyle w:val="TextBody"/>
        <w:bidi w:val="0"/>
        <w:spacing w:before="0" w:after="0"/>
        <w:ind w:left="0" w:right="0" w:firstLine="720"/>
        <w:jc w:val="both"/>
        <w:rPr/>
      </w:pPr>
      <w:r>
        <w:rPr/>
        <w:t> </w:t>
      </w:r>
    </w:p>
    <w:tbl>
      <w:tblPr>
        <w:tblW w:w="8556" w:type="dxa"/>
        <w:jc w:val="left"/>
        <w:tblInd w:w="0" w:type="dxa"/>
        <w:tblLayout w:type="fixed"/>
        <w:tblCellMar>
          <w:top w:w="0" w:type="dxa"/>
          <w:left w:w="0" w:type="dxa"/>
          <w:bottom w:w="28" w:type="dxa"/>
          <w:right w:w="0" w:type="dxa"/>
        </w:tblCellMar>
      </w:tblPr>
      <w:tblGrid>
        <w:gridCol w:w="2435"/>
        <w:gridCol w:w="60"/>
        <w:gridCol w:w="227"/>
        <w:gridCol w:w="992"/>
        <w:gridCol w:w="60"/>
        <w:gridCol w:w="60"/>
        <w:gridCol w:w="168"/>
        <w:gridCol w:w="736"/>
        <w:gridCol w:w="60"/>
        <w:gridCol w:w="60"/>
        <w:gridCol w:w="294"/>
        <w:gridCol w:w="1285"/>
        <w:gridCol w:w="60"/>
        <w:gridCol w:w="60"/>
        <w:gridCol w:w="969"/>
        <w:gridCol w:w="970"/>
        <w:gridCol w:w="60"/>
      </w:tblGrid>
      <w:tr>
        <w:trPr/>
        <w:tc>
          <w:tcPr>
            <w:tcW w:w="24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Month</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vAlign w:val="center"/>
          </w:tcPr>
          <w:p>
            <w:pPr>
              <w:pStyle w:val="TableContents"/>
              <w:bidi w:val="0"/>
              <w:spacing w:lineRule="auto" w:line="288" w:before="0" w:after="0"/>
              <w:ind w:left="0" w:right="0" w:hanging="0"/>
              <w:jc w:val="center"/>
              <w:rPr>
                <w:rFonts w:ascii="Times New Roman;Times;serif" w:hAnsi="Times New Roman;Times;serif"/>
                <w:b/>
                <w:sz w:val="20"/>
              </w:rPr>
            </w:pPr>
            <w:r>
              <w:rPr>
                <w:rFonts w:ascii="Times New Roman;Times;serif" w:hAnsi="Times New Roman;Times;serif"/>
                <w:b/>
                <w:sz w:val="20"/>
              </w:rPr>
              <w:t>Total Number</w:t>
              <w:br/>
              <w:t>of Shares</w:t>
              <w:br/>
              <w:t>Purchased(a)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br/>
              <w:t>Price Paid</w:t>
              <w:b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w:t>
              <w:br/>
              <w:t>Shares Purchased</w:t>
              <w:br/>
              <w:t>as Part of Publicly</w:t>
              <w:br/>
              <w:t>Announced</w:t>
              <w:br/>
              <w:t>Plans or</w:t>
              <w:br/>
              <w:t>Programs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3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Approximate</w:t>
              <w:br/>
              <w:t>Dollar Value of Shares</w:t>
              <w:br/>
              <w:t>that May Yet Be</w:t>
              <w:br/>
              <w:t>Purchased under the</w:t>
              <w:br/>
              <w:t>Plans or Programs</w:t>
              <w:br/>
              <w:t>(in millions)</w:t>
            </w:r>
          </w:p>
        </w:tc>
        <w:tc>
          <w:tcPr>
            <w:tcW w:w="60" w:type="dxa"/>
            <w:tcBorders/>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 2026 - April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 w:type="dxa"/>
            <w:tcBorders/>
            <w:shd w:fill="CCEEFF" w:val="clear"/>
            <w:tcMar>
              <w:bottom w:w="0" w:type="dxa"/>
            </w:tcMar>
            <w:vAlign w:val="center"/>
          </w:tcPr>
          <w:p>
            <w:pPr>
              <w:pStyle w:val="TableContents"/>
              <w:bidi w:val="0"/>
              <w:spacing w:before="0" w:after="283"/>
              <w:jc w:val="center"/>
              <w:rPr/>
            </w:pPr>
            <w:r>
              <w:rPr/>
              <w:t> </w:t>
            </w:r>
          </w:p>
        </w:tc>
        <w:tc>
          <w:tcPr>
            <w:tcW w:w="736"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shd w:fill="CCEEFF" w:val="clear"/>
            <w:tcMar>
              <w:bottom w:w="0" w:type="dxa"/>
            </w:tcMar>
            <w:vAlign w:val="center"/>
          </w:tcPr>
          <w:p>
            <w:pPr>
              <w:pStyle w:val="TableContents"/>
              <w:bidi w:val="0"/>
              <w:spacing w:before="0" w:after="283"/>
              <w:jc w:val="center"/>
              <w:rPr/>
            </w:pPr>
            <w:r>
              <w:rPr/>
              <w:t> </w:t>
            </w:r>
          </w:p>
        </w:tc>
        <w:tc>
          <w:tcPr>
            <w:tcW w:w="1285"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 2026 - May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 w:type="dxa"/>
            <w:tcBorders/>
            <w:shd w:fill="FFFFFF" w:val="clear"/>
            <w:tcMar>
              <w:bottom w:w="0" w:type="dxa"/>
            </w:tcMar>
            <w:vAlign w:val="center"/>
          </w:tcPr>
          <w:p>
            <w:pPr>
              <w:pStyle w:val="TableContents"/>
              <w:bidi w:val="0"/>
              <w:spacing w:before="0" w:after="283"/>
              <w:jc w:val="center"/>
              <w:rPr/>
            </w:pPr>
            <w:r>
              <w:rPr/>
              <w:t> </w:t>
            </w:r>
          </w:p>
        </w:tc>
        <w:tc>
          <w:tcPr>
            <w:tcW w:w="736"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shd w:fill="FFFFFF" w:val="clear"/>
            <w:tcMar>
              <w:bottom w:w="0" w:type="dxa"/>
            </w:tcMar>
            <w:vAlign w:val="center"/>
          </w:tcPr>
          <w:p>
            <w:pPr>
              <w:pStyle w:val="TableContents"/>
              <w:bidi w:val="0"/>
              <w:spacing w:before="0" w:after="283"/>
              <w:jc w:val="center"/>
              <w:rPr/>
            </w:pPr>
            <w:r>
              <w:rPr/>
              <w:t> </w:t>
            </w:r>
          </w:p>
        </w:tc>
        <w:tc>
          <w:tcPr>
            <w:tcW w:w="1285"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2026 -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2" w:space="0" w:color="000000"/>
            </w:tcBorders>
            <w:shd w:fill="CCEEFF" w:val="clear"/>
            <w:vAlign w:val="center"/>
          </w:tcPr>
          <w:p>
            <w:pPr>
              <w:pStyle w:val="TableContents"/>
              <w:bidi w:val="0"/>
              <w:spacing w:before="0" w:after="283"/>
              <w:jc w:val="left"/>
              <w:rPr/>
            </w:pPr>
            <w:r>
              <w:rPr/>
              <w:t> </w:t>
            </w:r>
          </w:p>
        </w:tc>
        <w:tc>
          <w:tcPr>
            <w:tcW w:w="992"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 w:type="dxa"/>
            <w:tcBorders>
              <w:bottom w:val="single" w:sz="2" w:space="0" w:color="000000"/>
            </w:tcBorders>
            <w:shd w:fill="CCEEFF" w:val="clear"/>
            <w:vAlign w:val="center"/>
          </w:tcPr>
          <w:p>
            <w:pPr>
              <w:pStyle w:val="TableContents"/>
              <w:bidi w:val="0"/>
              <w:spacing w:before="0" w:after="283"/>
              <w:jc w:val="center"/>
              <w:rPr/>
            </w:pPr>
            <w:r>
              <w:rPr/>
              <w:t> </w:t>
            </w:r>
          </w:p>
        </w:tc>
        <w:tc>
          <w:tcPr>
            <w:tcW w:w="736"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bottom w:val="single" w:sz="2" w:space="0" w:color="000000"/>
            </w:tcBorders>
            <w:shd w:fill="CCEEFF" w:val="clear"/>
            <w:vAlign w:val="center"/>
          </w:tcPr>
          <w:p>
            <w:pPr>
              <w:pStyle w:val="TableContents"/>
              <w:bidi w:val="0"/>
              <w:spacing w:before="0" w:after="283"/>
              <w:jc w:val="center"/>
              <w:rPr/>
            </w:pPr>
            <w:r>
              <w:rPr/>
              <w:t> </w:t>
            </w:r>
          </w:p>
        </w:tc>
        <w:tc>
          <w:tcPr>
            <w:tcW w:w="1285"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bottom w:val="single" w:sz="2" w:space="0" w:color="000000"/>
            </w:tcBorders>
            <w:shd w:fill="CCEEFF" w:val="clear"/>
            <w:vAlign w:val="center"/>
          </w:tcPr>
          <w:p>
            <w:pPr>
              <w:pStyle w:val="TableContents"/>
              <w:bidi w:val="0"/>
              <w:spacing w:before="0" w:after="283"/>
              <w:jc w:val="left"/>
              <w:rPr/>
            </w:pPr>
            <w:r>
              <w:rPr/>
              <w:t> </w:t>
            </w:r>
          </w:p>
        </w:tc>
        <w:tc>
          <w:tcPr>
            <w:tcW w:w="970" w:type="dxa"/>
            <w:tcBorders>
              <w:bottom w:val="single" w:sz="2"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jc w:val="left"/>
              <w:rPr/>
            </w:pPr>
            <w:r>
              <w:rPr/>
              <w:t> </w:t>
            </w:r>
          </w:p>
        </w:tc>
        <w:tc>
          <w:tcPr>
            <w:tcW w:w="992"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 w:type="dxa"/>
            <w:tcBorders>
              <w:bottom w:val="double" w:sz="6" w:space="0" w:color="000000"/>
            </w:tcBorders>
            <w:shd w:fill="FFFFFF" w:val="clear"/>
            <w:vAlign w:val="center"/>
          </w:tcPr>
          <w:p>
            <w:pPr>
              <w:pStyle w:val="TableContents"/>
              <w:bidi w:val="0"/>
              <w:spacing w:before="0" w:after="283"/>
              <w:jc w:val="center"/>
              <w:rPr/>
            </w:pPr>
            <w:r>
              <w:rPr/>
              <w:t> </w:t>
            </w:r>
          </w:p>
        </w:tc>
        <w:tc>
          <w:tcPr>
            <w:tcW w:w="736"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bottom w:val="double" w:sz="6" w:space="0" w:color="000000"/>
            </w:tcBorders>
            <w:shd w:fill="FFFFFF" w:val="clear"/>
            <w:vAlign w:val="center"/>
          </w:tcPr>
          <w:p>
            <w:pPr>
              <w:pStyle w:val="TableContents"/>
              <w:bidi w:val="0"/>
              <w:spacing w:before="0" w:after="283"/>
              <w:jc w:val="center"/>
              <w:rPr/>
            </w:pPr>
            <w:r>
              <w:rPr/>
              <w:t> </w:t>
            </w:r>
          </w:p>
        </w:tc>
        <w:tc>
          <w:tcPr>
            <w:tcW w:w="1285"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vAlign w:val="center"/>
          </w:tcPr>
          <w:p>
            <w:pPr>
              <w:pStyle w:val="TableContents"/>
              <w:bidi w:val="0"/>
              <w:spacing w:before="0" w:after="283"/>
              <w:jc w:val="left"/>
              <w:rPr/>
            </w:pPr>
            <w:r>
              <w:rPr/>
              <w:t> </w:t>
            </w:r>
          </w:p>
        </w:tc>
        <w:tc>
          <w:tcPr>
            <w:tcW w:w="970" w:type="dxa"/>
            <w:tcBorders>
              <w:bottom w:val="double" w:sz="6"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44" w:right="144" w:hanging="0"/>
        <w:jc w:val="left"/>
        <w:rPr/>
      </w:pPr>
      <w:r>
        <w:rPr/>
        <w:t> </w:t>
      </w:r>
    </w:p>
    <w:p>
      <w:pPr>
        <w:pStyle w:val="TextBody"/>
        <w:bidi w:val="0"/>
        <w:spacing w:before="0" w:after="0"/>
        <w:ind w:left="144" w:right="144" w:hanging="0"/>
        <w:jc w:val="both"/>
        <w:rPr>
          <w:rFonts w:ascii="Times New Roman;Times;serif" w:hAnsi="Times New Roman;Times;serif"/>
          <w:sz w:val="20"/>
        </w:rPr>
      </w:pPr>
      <w:r>
        <w:rPr>
          <w:rFonts w:ascii="Times New Roman;Times;serif" w:hAnsi="Times New Roman;Times;serif"/>
          <w:sz w:val="20"/>
          <w:shd w:fill="FFFFFF" w:val="clear"/>
        </w:rPr>
        <w:t xml:space="preserve">(a) During the three months ended </w:t>
      </w:r>
      <w:r>
        <w:rPr>
          <w:rFonts w:ascii="Times New Roman;Times;serif" w:hAnsi="Times New Roman;Times;serif"/>
          <w:sz w:val="20"/>
        </w:rPr>
        <w:t>June 30, 2026</w:t>
      </w:r>
      <w:r>
        <w:rPr>
          <w:rFonts w:ascii="Times New Roman;Times;serif" w:hAnsi="Times New Roman;Times;serif"/>
          <w:sz w:val="20"/>
          <w:shd w:fill="FFFFFF" w:val="clear"/>
        </w:rPr>
        <w:t xml:space="preserve">, </w:t>
      </w:r>
      <w:r>
        <w:rPr>
          <w:rFonts w:ascii="Times New Roman;Times;serif" w:hAnsi="Times New Roman;Times;serif"/>
          <w:sz w:val="20"/>
        </w:rPr>
        <w:t>we did not purchase shares in connection with our stock-based compensation plans.</w:t>
      </w:r>
    </w:p>
    <w:p>
      <w:pPr>
        <w:pStyle w:val="TextBody"/>
        <w:bidi w:val="0"/>
        <w:spacing w:before="0" w:after="0"/>
        <w:ind w:left="0" w:right="0" w:hanging="0"/>
        <w:jc w:val="both"/>
        <w:rPr/>
      </w:pPr>
      <w:r>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2" w:name="itemthree"/>
            <w:bookmarkEnd w:id="12"/>
            <w:r>
              <w:rPr>
                <w:rFonts w:ascii="Times New Roman;Times;serif" w:hAnsi="Times New Roman;Times;serif"/>
                <w:b/>
                <w:sz w:val="20"/>
              </w:rPr>
              <w:t>ITEM 3.</w:t>
            </w:r>
          </w:p>
        </w:tc>
        <w:tc>
          <w:tcPr>
            <w:tcW w:w="36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 </w:t>
      </w:r>
    </w:p>
    <w:tbl>
      <w:tblPr>
        <w:tblW w:w="3490" w:type="dxa"/>
        <w:jc w:val="left"/>
        <w:tblInd w:w="0" w:type="dxa"/>
        <w:tblLayout w:type="fixed"/>
        <w:tblCellMar>
          <w:top w:w="0" w:type="dxa"/>
          <w:left w:w="0" w:type="dxa"/>
          <w:bottom w:w="0" w:type="dxa"/>
          <w:right w:w="0" w:type="dxa"/>
        </w:tblCellMar>
      </w:tblPr>
      <w:tblGrid>
        <w:gridCol w:w="740"/>
        <w:gridCol w:w="275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3" w:name="itemfour"/>
            <w:bookmarkEnd w:id="13"/>
            <w:r>
              <w:rPr>
                <w:rFonts w:ascii="Times New Roman;Times;serif" w:hAnsi="Times New Roman;Times;serif"/>
                <w:b/>
                <w:sz w:val="20"/>
              </w:rPr>
              <w:t>ITEM 4.</w:t>
            </w:r>
          </w:p>
        </w:tc>
        <w:tc>
          <w:tcPr>
            <w:tcW w:w="27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jc w:val="left"/>
        <w:rPr/>
      </w:pPr>
      <w:r>
        <w:rPr/>
        <w:t xml:space="preserve">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left"/>
              <w:rPr/>
            </w:pPr>
            <w:bookmarkStart w:id="14" w:name="item5"/>
            <w:bookmarkEnd w:id="14"/>
            <w:r>
              <w:rPr>
                <w:rFonts w:ascii="Times New Roman;Times;serif" w:hAnsi="Times New Roman;Times;serif"/>
                <w:b/>
                <w:sz w:val="20"/>
              </w:rPr>
              <w:t xml:space="preserve">ITEM </w:t>
            </w:r>
            <w:r>
              <w:rPr>
                <w:rStyle w:val="Emphasis"/>
                <w:rFonts w:ascii="Times New Roman;Times;serif" w:hAnsi="Times New Roman;Times;serif"/>
                <w:b/>
                <w:sz w:val="20"/>
              </w:rPr>
              <w:t>5.</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both"/>
        <w:rPr/>
      </w:pPr>
      <w:r>
        <w:rPr/>
        <w:t> </w:t>
      </w:r>
    </w:p>
    <w:p>
      <w:pPr>
        <w:pStyle w:val="TextBody"/>
        <w:bidi w:val="0"/>
        <w:spacing w:before="0" w:after="0"/>
        <w:ind w:left="160" w:right="0" w:firstLine="360"/>
        <w:jc w:val="both"/>
        <w:rPr/>
      </w:pPr>
      <w:r>
        <w:rPr>
          <w:rFonts w:ascii="Times New Roman" w:hAnsi="Times New Roman"/>
          <w:caps w:val="false"/>
          <w:smallCaps w:val="false"/>
          <w:sz w:val="20"/>
        </w:rPr>
        <w:t xml:space="preserve">(a) </w:t>
      </w:r>
      <w:r>
        <w:rPr>
          <w:rStyle w:val="Emphasis"/>
          <w:rFonts w:ascii="Times New Roman" w:hAnsi="Times New Roman"/>
          <w:caps w:val="false"/>
          <w:smallCaps w:val="false"/>
          <w:sz w:val="20"/>
        </w:rPr>
        <w:t>None</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 xml:space="preserve">(b) </w:t>
      </w:r>
      <w:r>
        <w:rPr>
          <w:rStyle w:val="Emphasis"/>
          <w:rFonts w:ascii="Times New Roman" w:hAnsi="Times New Roman"/>
          <w:caps w:val="false"/>
          <w:smallCaps w:val="false"/>
          <w:sz w:val="20"/>
        </w:rPr>
        <w:t>None</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 xml:space="preserve">(c)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 no</w:t>
      </w:r>
      <w:r>
        <w:rPr>
          <w:rFonts w:ascii="Times New Roman" w:hAnsi="Times New Roman"/>
          <w:caps w:val="false"/>
          <w:smallCaps w:val="false"/>
          <w:sz w:val="20"/>
        </w:rPr>
        <w:t xml:space="preserve"> director or officer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705" w:type="dxa"/>
        <w:jc w:val="left"/>
        <w:tblInd w:w="0" w:type="dxa"/>
        <w:tblLayout w:type="fixed"/>
        <w:tblCellMar>
          <w:top w:w="0" w:type="dxa"/>
          <w:left w:w="0" w:type="dxa"/>
          <w:bottom w:w="0" w:type="dxa"/>
          <w:right w:w="0" w:type="dxa"/>
        </w:tblCellMar>
      </w:tblPr>
      <w:tblGrid>
        <w:gridCol w:w="740"/>
        <w:gridCol w:w="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5" w:name="item6"/>
            <w:bookmarkEnd w:id="15"/>
            <w:r>
              <w:rPr>
                <w:rFonts w:ascii="Times New Roman;Times;serif" w:hAnsi="Times New Roman;Times;serif"/>
                <w:b/>
                <w:sz w:val="20"/>
              </w:rPr>
              <w:t>ITEM 6.</w:t>
            </w:r>
          </w:p>
        </w:tc>
        <w:tc>
          <w:tcPr>
            <w:tcW w:w="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
        <w:gridCol w:w="5679"/>
        <w:gridCol w:w="60"/>
        <w:gridCol w:w="500"/>
        <w:gridCol w:w="60"/>
        <w:gridCol w:w="733"/>
        <w:gridCol w:w="60"/>
        <w:gridCol w:w="650"/>
        <w:gridCol w:w="60"/>
        <w:gridCol w:w="553"/>
        <w:gridCol w:w="60"/>
        <w:gridCol w:w="1005"/>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1" w:type="dxa"/>
            <w:gridSpan w:val="9"/>
            <w:tcBorders>
              <w:bottom w:val="single" w:sz="2" w:space="0" w:color="000000"/>
            </w:tcBorders>
            <w:tcMar>
              <w:bottom w:w="28" w:type="dxa"/>
            </w:tcMar>
            <w:vAlign w:val="center"/>
          </w:tcPr>
          <w:p>
            <w:pPr>
              <w:pStyle w:val="TableContents"/>
              <w:bidi w:val="0"/>
              <w:spacing w:before="0" w:after="283"/>
              <w:jc w:val="center"/>
              <w:rPr>
                <w:b/>
              </w:rPr>
            </w:pPr>
            <w:r>
              <w:rPr>
                <w:b/>
              </w:rPr>
              <w:t>Incorporated by Reference</w:t>
            </w:r>
          </w:p>
        </w:tc>
      </w:tr>
      <w:tr>
        <w:trPr/>
        <w:tc>
          <w:tcPr>
            <w:tcW w:w="7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0"/>
              <w:ind w:left="0" w:right="0" w:hanging="0"/>
              <w:jc w:val="left"/>
              <w:rPr/>
            </w:pPr>
            <w:r>
              <w:rPr/>
              <w:t> </w:t>
            </w:r>
          </w:p>
        </w:tc>
        <w:tc>
          <w:tcPr>
            <w:tcW w:w="56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vAlign w:val="center"/>
          </w:tcPr>
          <w:p>
            <w:pPr>
              <w:pStyle w:val="TableContents"/>
              <w:bidi w:val="0"/>
              <w:spacing w:before="0" w:after="0"/>
              <w:ind w:left="0" w:right="0" w:hanging="0"/>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60" w:type="dxa"/>
            <w:tcBorders/>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0"/>
              <w:ind w:left="0" w:right="0" w:hanging="0"/>
              <w:jc w:val="left"/>
              <w:rPr/>
            </w:pPr>
            <w:r>
              <w:rPr/>
              <w:t> </w:t>
            </w:r>
          </w:p>
        </w:tc>
        <w:tc>
          <w:tcPr>
            <w:tcW w:w="5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60" w:type="dxa"/>
            <w:tcBorders/>
            <w:vAlign w:val="center"/>
          </w:tcPr>
          <w:p>
            <w:pPr>
              <w:pStyle w:val="TableContents"/>
              <w:bidi w:val="0"/>
              <w:spacing w:before="0" w:after="0"/>
              <w:ind w:left="0" w:right="0" w:hanging="0"/>
              <w:jc w:val="left"/>
              <w:rPr/>
            </w:pPr>
            <w:r>
              <w:rPr/>
              <w:t> </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Filed/Furnished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283"/>
              <w:jc w:val="left"/>
              <w:rPr/>
            </w:pPr>
            <w:hyperlink r:id="rId2">
              <w:r>
                <w:rPr>
                  <w:rStyle w:val="InternetLink"/>
                </w:rPr>
                <w:t>Fiscal 2026 Executive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8-K</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000-19672</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6/2/26</w:t>
            </w:r>
          </w:p>
        </w:tc>
        <w:tc>
          <w:tcPr>
            <w:tcW w:w="6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pPr>
            <w:hyperlink w:anchor="ex_978084.htm">
              <w:r>
                <w:rPr>
                  <w:rStyle w:val="InternetLink"/>
                  <w:rFonts w:ascii="Times New Roman;Times;serif" w:hAnsi="Times New Roman;Times;serif"/>
                  <w:sz w:val="20"/>
                </w:rPr>
                <w:t>Chief Executive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pPr>
            <w:hyperlink w:anchor="ex_978085.htm">
              <w:r>
                <w:rPr>
                  <w:rStyle w:val="InternetLink"/>
                  <w:rFonts w:ascii="Times New Roman;Times;serif" w:hAnsi="Times New Roman;Times;serif"/>
                  <w:sz w:val="20"/>
                </w:rPr>
                <w:t>Chief Financial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pPr>
            <w:hyperlink w:anchor="ex_978086.htm">
              <w:r>
                <w:rPr>
                  <w:rStyle w:val="InternetLink"/>
                  <w:rFonts w:ascii="Times New Roman;Times;serif" w:hAnsi="Times New Roman;Times;serif"/>
                  <w:sz w:val="20"/>
                </w:rPr>
                <w:t>Chief Executive Officer—Certification pursuant to Rule13a-14(b)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pPr>
            <w:hyperlink w:anchor="ex_978087.htm">
              <w:r>
                <w:rPr>
                  <w:rStyle w:val="InternetLink"/>
                  <w:rFonts w:ascii="Times New Roman;Times;serif" w:hAnsi="Times New Roman;Times;serif"/>
                  <w:sz w:val="20"/>
                </w:rPr>
                <w:t>Chief Financial Officer—Certification pursuant to Rule 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Definition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Label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rPr/>
            </w:pPr>
            <w:r>
              <w:rPr/>
              <w:t> </w:t>
            </w:r>
          </w:p>
        </w:tc>
        <w:tc>
          <w:tcPr>
            <w:tcW w:w="56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Presentation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3"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r>
              <w:rPr/>
              <w:t>104 </w:t>
            </w:r>
          </w:p>
        </w:tc>
        <w:tc>
          <w:tcPr>
            <w:tcW w:w="60" w:type="dxa"/>
            <w:tcBorders/>
            <w:vAlign w:val="center"/>
          </w:tcPr>
          <w:p>
            <w:pPr>
              <w:pStyle w:val="TableContents"/>
              <w:bidi w:val="0"/>
              <w:spacing w:before="0" w:after="283"/>
              <w:jc w:val="left"/>
              <w:rPr/>
            </w:pPr>
            <w:r>
              <w:rPr/>
              <w:t> </w:t>
            </w:r>
          </w:p>
        </w:tc>
        <w:tc>
          <w:tcPr>
            <w:tcW w:w="5679" w:type="dxa"/>
            <w:tcBorders/>
            <w:vAlign w:val="center"/>
          </w:tcPr>
          <w:p>
            <w:pPr>
              <w:pStyle w:val="TableContents"/>
              <w:bidi w:val="0"/>
              <w:spacing w:before="0" w:after="283"/>
              <w:jc w:val="left"/>
              <w:rPr/>
            </w:pPr>
            <w:r>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_________________________</w:t>
      </w:r>
    </w:p>
    <w:p>
      <w:pPr>
        <w:pStyle w:val="TextBody"/>
        <w:bidi w:val="0"/>
        <w:spacing w:before="0" w:after="0"/>
        <w:ind w:left="0" w:right="0" w:hanging="0"/>
        <w:jc w:val="left"/>
        <w:rPr/>
      </w:pPr>
      <w:r>
        <w:rPr/>
        <w:t> </w:t>
      </w:r>
    </w:p>
    <w:tbl>
      <w:tblPr>
        <w:tblW w:w="1315" w:type="dxa"/>
        <w:jc w:val="left"/>
        <w:tblInd w:w="0" w:type="dxa"/>
        <w:tblLayout w:type="fixed"/>
        <w:tblCellMar>
          <w:top w:w="0" w:type="dxa"/>
          <w:left w:w="0" w:type="dxa"/>
          <w:bottom w:w="0" w:type="dxa"/>
          <w:right w:w="0" w:type="dxa"/>
        </w:tblCellMar>
      </w:tblPr>
      <w:tblGrid>
        <w:gridCol w:w="125"/>
        <w:gridCol w:w="1190"/>
      </w:tblGrid>
      <w:tr>
        <w:trPr/>
        <w:tc>
          <w:tcPr>
            <w:tcW w:w="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Filed herewith</w:t>
            </w:r>
          </w:p>
        </w:tc>
      </w:tr>
    </w:tbl>
    <w:p>
      <w:pPr>
        <w:pStyle w:val="TextBody"/>
        <w:bidi w:val="0"/>
        <w:spacing w:before="0" w:after="0"/>
        <w:ind w:left="0" w:right="0" w:hanging="0"/>
        <w:jc w:val="left"/>
        <w:rPr/>
      </w:pPr>
      <w:r>
        <w:rPr/>
        <w:t> </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Furnished herewith</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Attached as Exhibits 101 to this report are the following formatted in inline XBRL (Extensible Business Reporting Language): (i) Condensed Consolidated Balance Sheets as of </w:t>
      </w:r>
      <w:r>
        <w:rPr>
          <w:rFonts w:ascii="Times New Roman;Times;serif" w:hAnsi="Times New Roman;Times;serif"/>
          <w:sz w:val="20"/>
          <w:shd w:fill="FFFFFF" w:val="clear"/>
        </w:rPr>
        <w:t>June 30, 2026</w:t>
      </w:r>
      <w:r>
        <w:rPr>
          <w:rFonts w:ascii="Times New Roman;Times;serif" w:hAnsi="Times New Roman;Times;serif"/>
          <w:sz w:val="20"/>
        </w:rPr>
        <w:t xml:space="preserve"> and March 31, 2026 (ii) Statements of Operations for the three months ended </w:t>
      </w:r>
      <w:r>
        <w:rPr>
          <w:rFonts w:ascii="Times New Roman;Times;serif" w:hAnsi="Times New Roman;Times;serif"/>
          <w:sz w:val="20"/>
          <w:shd w:fill="FFFFFF" w:val="clear"/>
        </w:rPr>
        <w:t>June 30, 2026</w:t>
      </w:r>
      <w:r>
        <w:rPr>
          <w:rFonts w:ascii="Times New Roman;Times;serif" w:hAnsi="Times New Roman;Times;serif"/>
          <w:sz w:val="20"/>
        </w:rPr>
        <w:t>, and 2025 (iii) Condensed Consolidated Statements of Comprehensive Income for the three months ended </w:t>
      </w:r>
      <w:r>
        <w:rPr>
          <w:rFonts w:ascii="Times New Roman;Times;serif" w:hAnsi="Times New Roman;Times;serif"/>
          <w:sz w:val="20"/>
          <w:shd w:fill="FFFFFF" w:val="clear"/>
        </w:rPr>
        <w:t>June 30, 2026</w:t>
      </w:r>
      <w:r>
        <w:rPr>
          <w:rFonts w:ascii="Times New Roman;Times;serif" w:hAnsi="Times New Roman;Times;serif"/>
          <w:sz w:val="20"/>
        </w:rPr>
        <w:t>, and 2025 (iv) Condensed Consolidated Statements of Cash Flows for the three months ended </w:t>
      </w:r>
      <w:r>
        <w:rPr>
          <w:rFonts w:ascii="Times New Roman;Times;serif" w:hAnsi="Times New Roman;Times;serif"/>
          <w:sz w:val="20"/>
          <w:shd w:fill="FFFFFF" w:val="clear"/>
        </w:rPr>
        <w:t>June 30, 2026</w:t>
      </w:r>
      <w:r>
        <w:rPr>
          <w:rFonts w:ascii="Times New Roman;Times;serif" w:hAnsi="Times New Roman;Times;serif"/>
          <w:sz w:val="20"/>
        </w:rPr>
        <w:t>, and 2025 and (v) Notes to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6" w:name="signature"/>
      <w:bookmarkEnd w:id="16"/>
      <w:r>
        <w:rPr>
          <w:rFonts w:ascii="Times New Roman;Times;serif" w:hAnsi="Times New Roman;Times;serif"/>
          <w:b/>
          <w:sz w:val="20"/>
        </w:rPr>
        <w:t>SIGNATURE</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8"/>
        <w:gridCol w:w="1407"/>
        <w:gridCol w:w="320"/>
        <w:gridCol w:w="8030"/>
      </w:tblGrid>
      <w:tr>
        <w:trPr/>
        <w:tc>
          <w:tcPr>
            <w:tcW w:w="448" w:type="dxa"/>
            <w:tcBorders/>
            <w:vAlign w:val="center"/>
          </w:tcPr>
          <w:p>
            <w:pPr>
              <w:pStyle w:val="TableContents"/>
              <w:bidi w:val="0"/>
              <w:spacing w:before="0" w:after="0"/>
              <w:ind w:left="0" w:right="0" w:hanging="0"/>
              <w:jc w:val="left"/>
              <w:rPr/>
            </w:pPr>
            <w:r>
              <w:rPr/>
              <w:t> </w:t>
            </w:r>
          </w:p>
        </w:tc>
        <w:tc>
          <w:tcPr>
            <w:tcW w:w="1407" w:type="dxa"/>
            <w:tcBorders/>
            <w:vAlign w:val="center"/>
          </w:tcPr>
          <w:p>
            <w:pPr>
              <w:pStyle w:val="TableContents"/>
              <w:bidi w:val="0"/>
              <w:spacing w:before="0" w:after="0"/>
              <w:ind w:left="0" w:right="0" w:hanging="0"/>
              <w:jc w:val="left"/>
              <w:rPr/>
            </w:pPr>
            <w:r>
              <w:rPr/>
              <w:t> </w:t>
            </w:r>
          </w:p>
        </w:tc>
        <w:tc>
          <w:tcPr>
            <w:tcW w:w="83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SUPERCONDUCTOR CORPORATION</w:t>
            </w:r>
          </w:p>
        </w:tc>
      </w:tr>
      <w:tr>
        <w:trPr/>
        <w:tc>
          <w:tcPr>
            <w:tcW w:w="448" w:type="dxa"/>
            <w:tcBorders/>
            <w:vAlign w:val="center"/>
          </w:tcPr>
          <w:p>
            <w:pPr>
              <w:pStyle w:val="TableContents"/>
              <w:bidi w:val="0"/>
              <w:spacing w:before="0" w:after="0"/>
              <w:ind w:left="0" w:right="0" w:hanging="0"/>
              <w:jc w:val="left"/>
              <w:rPr/>
            </w:pPr>
            <w:r>
              <w:rPr/>
              <w:t> </w:t>
            </w:r>
          </w:p>
        </w:tc>
        <w:tc>
          <w:tcPr>
            <w:tcW w:w="1407"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030" w:type="dxa"/>
            <w:tcBorders/>
            <w:vAlign w:val="center"/>
          </w:tcPr>
          <w:p>
            <w:pPr>
              <w:pStyle w:val="TableContents"/>
              <w:bidi w:val="0"/>
              <w:spacing w:before="0" w:after="0"/>
              <w:ind w:left="0" w:right="0" w:hanging="0"/>
              <w:jc w:val="left"/>
              <w:rPr/>
            </w:pPr>
            <w:r>
              <w:rPr/>
              <w:t> </w:t>
            </w:r>
          </w:p>
        </w:tc>
      </w:tr>
      <w:tr>
        <w:trPr/>
        <w:tc>
          <w:tcPr>
            <w:tcW w:w="448" w:type="dxa"/>
            <w:tcBorders/>
            <w:vAlign w:val="center"/>
          </w:tcPr>
          <w:p>
            <w:pPr>
              <w:pStyle w:val="TableContents"/>
              <w:bidi w:val="0"/>
              <w:spacing w:before="0" w:after="0"/>
              <w:ind w:left="0" w:right="0" w:hanging="0"/>
              <w:jc w:val="left"/>
              <w:rPr/>
            </w:pPr>
            <w:r>
              <w:rPr/>
              <w:t> </w:t>
            </w:r>
          </w:p>
        </w:tc>
        <w:tc>
          <w:tcPr>
            <w:tcW w:w="1407"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8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07" w:type="dxa"/>
            <w:tcBorders/>
            <w:vAlign w:val="center"/>
          </w:tcPr>
          <w:p>
            <w:pPr>
              <w:pStyle w:val="TableContents"/>
              <w:bidi w:val="0"/>
              <w:spacing w:before="0" w:after="283"/>
              <w:jc w:val="left"/>
              <w:rPr/>
            </w:pPr>
            <w:r>
              <w:rPr/>
              <w:t>August 5, 2026</w:t>
            </w:r>
          </w:p>
        </w:tc>
        <w:tc>
          <w:tcPr>
            <w:tcW w:w="320" w:type="dxa"/>
            <w:tcBorders/>
            <w:vAlign w:val="center"/>
          </w:tcPr>
          <w:p>
            <w:pPr>
              <w:pStyle w:val="TableContents"/>
              <w:bidi w:val="0"/>
              <w:spacing w:before="0" w:after="0"/>
              <w:ind w:left="0" w:right="0" w:hanging="0"/>
              <w:jc w:val="left"/>
              <w:rPr/>
            </w:pPr>
            <w:r>
              <w:rPr/>
              <w:t> </w:t>
            </w:r>
          </w:p>
        </w:tc>
        <w:tc>
          <w:tcPr>
            <w:tcW w:w="80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48" w:type="dxa"/>
            <w:tcBorders/>
            <w:vAlign w:val="center"/>
          </w:tcPr>
          <w:p>
            <w:pPr>
              <w:pStyle w:val="TableContents"/>
              <w:bidi w:val="0"/>
              <w:spacing w:before="0" w:after="0"/>
              <w:ind w:left="0" w:right="0" w:hanging="0"/>
              <w:jc w:val="left"/>
              <w:rPr/>
            </w:pPr>
            <w:r>
              <w:rPr/>
              <w:t> </w:t>
            </w:r>
          </w:p>
        </w:tc>
        <w:tc>
          <w:tcPr>
            <w:tcW w:w="1407"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0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 Chief Financial Officer and Treasurer (Principal Financial and Accounting Officer)</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39 </w:t>
      </w:r>
    </w:p>
    <w:p>
      <w:pPr>
        <w:pStyle w:val="TextBody"/>
        <w:bidi w:val="0"/>
        <w:spacing w:before="0" w:after="0"/>
        <w:ind w:left="0" w:right="0" w:hanging="0"/>
        <w:jc w:val="right"/>
        <w:rPr>
          <w:rFonts w:ascii="Times New Roman;Times;serif" w:hAnsi="Times New Roman;Times;serif"/>
          <w:b/>
          <w:sz w:val="20"/>
        </w:rPr>
      </w:pPr>
      <w:bookmarkStart w:id="17" w:name="ex_978084.htm"/>
      <w:bookmarkStart w:id="18" w:name="ksex_978084"/>
      <w:bookmarkEnd w:id="17"/>
      <w:bookmarkEnd w:id="18"/>
      <w:r>
        <w:rPr>
          <w:rFonts w:ascii="Times New Roman;Times;serif" w:hAnsi="Times New Roman;Times;serif"/>
          <w:b/>
          <w:sz w:val="20"/>
        </w:rPr>
        <w:t>Exhibit 31.1</w:t>
      </w:r>
      <w:r>
        <w:br w:type="page"/>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P. McGahn, certify that: </w:t>
      </w:r>
    </w:p>
    <w:p>
      <w:pPr>
        <w:pStyle w:val="TextBody"/>
        <w:bidi w:val="0"/>
        <w:spacing w:before="0" w:after="283"/>
        <w:jc w:val="left"/>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44" w:right="144" w:hanging="0"/>
        <w:jc w:val="left"/>
        <w:rPr/>
      </w:pPr>
      <w:r>
        <w:rPr/>
        <w:t> </w:t>
      </w:r>
    </w:p>
    <w:p>
      <w:pPr>
        <w:pStyle w:val="TextBody"/>
        <w:bidi w:val="0"/>
        <w:spacing w:before="0" w:after="0"/>
        <w:ind w:left="144" w:right="144" w:hanging="0"/>
        <w:jc w:val="left"/>
        <w:rPr/>
      </w:pPr>
      <w:r>
        <w:rPr/>
        <w:t> </w:t>
      </w:r>
    </w:p>
    <w:tbl>
      <w:tblPr>
        <w:tblW w:w="4010" w:type="dxa"/>
        <w:jc w:val="left"/>
        <w:tblInd w:w="0" w:type="dxa"/>
        <w:tblLayout w:type="fixed"/>
        <w:tblCellMar>
          <w:top w:w="0" w:type="dxa"/>
          <w:left w:w="0" w:type="dxa"/>
          <w:bottom w:w="28" w:type="dxa"/>
          <w:right w:w="0" w:type="dxa"/>
        </w:tblCellMar>
      </w:tblPr>
      <w:tblGrid>
        <w:gridCol w:w="470"/>
        <w:gridCol w:w="1265"/>
        <w:gridCol w:w="320"/>
        <w:gridCol w:w="1955"/>
      </w:tblGrid>
      <w:tr>
        <w:trPr/>
        <w:tc>
          <w:tcPr>
            <w:tcW w:w="4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65"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bookmarkStart w:id="19" w:name="led11849F20246121720812513565"/>
            <w:bookmarkEnd w:id="19"/>
            <w:r>
              <w:rPr>
                <w:rFonts w:ascii="Times New Roman;Times;serif" w:hAnsi="Times New Roman;Times;serif"/>
                <w:sz w:val="20"/>
              </w:rPr>
              <w:t>August 5, 2026</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b/>
                <w:sz w:val="20"/>
              </w:rPr>
              <w:t>Daniel P. McGahn</w:t>
            </w:r>
          </w:p>
        </w:tc>
      </w:tr>
      <w:tr>
        <w:trPr/>
        <w:tc>
          <w:tcPr>
            <w:tcW w:w="47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Daniel P. McGahn</w:t>
            </w:r>
          </w:p>
        </w:tc>
      </w:tr>
      <w:tr>
        <w:trPr/>
        <w:tc>
          <w:tcPr>
            <w:tcW w:w="47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0" w:name="ex_978085.htm"/>
      <w:bookmarkStart w:id="21" w:name="ksex_978085"/>
      <w:bookmarkEnd w:id="20"/>
      <w:bookmarkEnd w:id="21"/>
      <w:r>
        <w:rPr>
          <w:rFonts w:ascii="Times New Roman;Times;serif" w:hAnsi="Times New Roman;Times;serif"/>
          <w:b/>
          <w:sz w:val="20"/>
        </w:rPr>
        <w:t>Exhibit 31.2</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John W. Kosiba, Jr., certify that:</w:t>
      </w:r>
    </w:p>
    <w:p>
      <w:pPr>
        <w:pStyle w:val="TextBody"/>
        <w:bidi w:val="0"/>
        <w:spacing w:before="0" w:after="0"/>
        <w:ind w:left="0" w:right="0" w:hanging="0"/>
        <w:jc w:val="both"/>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010" w:type="dxa"/>
        <w:jc w:val="left"/>
        <w:tblInd w:w="0" w:type="dxa"/>
        <w:tblLayout w:type="fixed"/>
        <w:tblCellMar>
          <w:top w:w="0" w:type="dxa"/>
          <w:left w:w="0" w:type="dxa"/>
          <w:bottom w:w="28" w:type="dxa"/>
          <w:right w:w="0" w:type="dxa"/>
        </w:tblCellMar>
      </w:tblPr>
      <w:tblGrid>
        <w:gridCol w:w="470"/>
        <w:gridCol w:w="1265"/>
        <w:gridCol w:w="320"/>
        <w:gridCol w:w="1955"/>
      </w:tblGrid>
      <w:tr>
        <w:trPr/>
        <w:tc>
          <w:tcPr>
            <w:tcW w:w="4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65"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bookmarkStart w:id="22" w:name="led11849F20246121720812542421"/>
            <w:bookmarkEnd w:id="22"/>
            <w:r>
              <w:rPr>
                <w:rFonts w:ascii="Times New Roman;Times;serif" w:hAnsi="Times New Roman;Times;serif"/>
                <w:sz w:val="20"/>
              </w:rPr>
              <w:t>August 5, 2026</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7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7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23" w:name="ex_978086.htm"/>
      <w:bookmarkStart w:id="24" w:name="ksex_978086"/>
      <w:bookmarkEnd w:id="23"/>
      <w:bookmarkEnd w:id="24"/>
      <w:r>
        <w:rPr>
          <w:rFonts w:ascii="Times New Roman;Times;serif" w:hAnsi="Times New Roman;Times;serif"/>
          <w:b/>
          <w:sz w:val="20"/>
        </w:rPr>
        <w:t>Exhibit 32.1</w:t>
      </w:r>
      <w:r>
        <w:br w:type="page"/>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connection with the Quarterly Report on Form 10-Q of American Superconductor Corporation (the “Company”) for the period ended </w:t>
      </w:r>
      <w:bookmarkStart w:id="25" w:name="led11848F20218221632321164177"/>
      <w:bookmarkEnd w:id="25"/>
      <w:r>
        <w:rPr>
          <w:rFonts w:ascii="Times New Roman;Times;serif" w:hAnsi="Times New Roman;Times;serif"/>
          <w:sz w:val="20"/>
        </w:rPr>
        <w:t>June 30, 2026,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83"/>
        <w:jc w:val="left"/>
        <w:rPr/>
      </w:pPr>
      <w:r>
        <w:rPr/>
        <w:t> </w:t>
      </w:r>
    </w:p>
    <w:p>
      <w:pPr>
        <w:pStyle w:val="TextBody"/>
        <w:bidi w:val="0"/>
        <w:spacing w:before="0" w:after="283"/>
        <w:jc w:val="left"/>
        <w:rPr/>
      </w:pPr>
      <w:r>
        <w:rPr/>
        <w:t> </w:t>
      </w:r>
    </w:p>
    <w:tbl>
      <w:tblPr>
        <w:tblW w:w="4010" w:type="dxa"/>
        <w:jc w:val="left"/>
        <w:tblInd w:w="0" w:type="dxa"/>
        <w:tblLayout w:type="fixed"/>
        <w:tblCellMar>
          <w:top w:w="0" w:type="dxa"/>
          <w:left w:w="0" w:type="dxa"/>
          <w:bottom w:w="28" w:type="dxa"/>
          <w:right w:w="0" w:type="dxa"/>
        </w:tblCellMar>
      </w:tblPr>
      <w:tblGrid>
        <w:gridCol w:w="470"/>
        <w:gridCol w:w="1265"/>
        <w:gridCol w:w="320"/>
        <w:gridCol w:w="1955"/>
      </w:tblGrid>
      <w:tr>
        <w:trPr/>
        <w:tc>
          <w:tcPr>
            <w:tcW w:w="4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65"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bookmarkStart w:id="26" w:name="led11849F20246121720812578499"/>
            <w:bookmarkEnd w:id="26"/>
            <w:r>
              <w:rPr>
                <w:rFonts w:ascii="Times New Roman;Times;serif" w:hAnsi="Times New Roman;Times;serif"/>
                <w:sz w:val="20"/>
              </w:rPr>
              <w:t>August 5, 2026</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 Daniel</w:t>
            </w:r>
            <w:r>
              <w:rPr>
                <w:rFonts w:ascii="Times New Roman;Times;serif" w:hAnsi="Times New Roman;Times;serif"/>
                <w:sz w:val="20"/>
              </w:rPr>
              <w:t> </w:t>
            </w:r>
            <w:r>
              <w:rPr>
                <w:rFonts w:ascii="Times New Roman;Times;serif" w:hAnsi="Times New Roman;Times;serif"/>
                <w:b/>
                <w:sz w:val="20"/>
              </w:rPr>
              <w:t>P. McGahn</w:t>
            </w:r>
          </w:p>
        </w:tc>
      </w:tr>
      <w:tr>
        <w:trPr/>
        <w:tc>
          <w:tcPr>
            <w:tcW w:w="470" w:type="dxa"/>
            <w:tcBorders/>
            <w:tcMar>
              <w:bottom w:w="0" w:type="dxa"/>
            </w:tcMar>
            <w:vAlign w:val="center"/>
          </w:tcPr>
          <w:p>
            <w:pPr>
              <w:pStyle w:val="TableContents"/>
              <w:bidi w:val="0"/>
              <w:spacing w:before="0" w:after="0"/>
              <w:ind w:left="0" w:right="0" w:hanging="0"/>
              <w:jc w:val="left"/>
              <w:rPr/>
            </w:pPr>
            <w:r>
              <w:rPr/>
              <w:t> </w:t>
            </w:r>
          </w:p>
        </w:tc>
        <w:tc>
          <w:tcPr>
            <w:tcW w:w="126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P. McGahn</w:t>
            </w:r>
          </w:p>
        </w:tc>
      </w:tr>
      <w:tr>
        <w:trPr/>
        <w:tc>
          <w:tcPr>
            <w:tcW w:w="470" w:type="dxa"/>
            <w:tcBorders/>
            <w:tcMar>
              <w:bottom w:w="0" w:type="dxa"/>
            </w:tcMar>
            <w:vAlign w:val="center"/>
          </w:tcPr>
          <w:p>
            <w:pPr>
              <w:pStyle w:val="TableContents"/>
              <w:bidi w:val="0"/>
              <w:spacing w:before="0" w:after="0"/>
              <w:ind w:left="0" w:right="0" w:hanging="0"/>
              <w:jc w:val="left"/>
              <w:rPr/>
            </w:pPr>
            <w:r>
              <w:rPr/>
              <w:t> </w:t>
            </w:r>
          </w:p>
        </w:tc>
        <w:tc>
          <w:tcPr>
            <w:tcW w:w="126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7" w:name="ex_978087.htm"/>
      <w:bookmarkStart w:id="28" w:name="ksex_978087"/>
      <w:bookmarkEnd w:id="27"/>
      <w:bookmarkEnd w:id="28"/>
      <w:r>
        <w:rPr>
          <w:rFonts w:ascii="Times New Roman;Times;serif" w:hAnsi="Times New Roman;Times;serif"/>
          <w:b/>
          <w:sz w:val="20"/>
        </w:rPr>
        <w:t>Exhibit 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 connection with the Quarterly Report on Form 10-Q of American Superconductor Corporation (the “Company”) for the period ended </w:t>
      </w:r>
      <w:bookmarkStart w:id="29" w:name="led11848F20217171629241168204"/>
      <w:bookmarkEnd w:id="29"/>
      <w:r>
        <w:rPr>
          <w:rFonts w:ascii="Times New Roman;Times;serif" w:hAnsi="Times New Roman;Times;serif"/>
          <w:sz w:val="20"/>
        </w:rPr>
        <w:t>June 30, 2026,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010" w:type="dxa"/>
        <w:jc w:val="left"/>
        <w:tblInd w:w="0" w:type="dxa"/>
        <w:tblLayout w:type="fixed"/>
        <w:tblCellMar>
          <w:top w:w="0" w:type="dxa"/>
          <w:left w:w="0" w:type="dxa"/>
          <w:bottom w:w="28" w:type="dxa"/>
          <w:right w:w="0" w:type="dxa"/>
        </w:tblCellMar>
      </w:tblPr>
      <w:tblGrid>
        <w:gridCol w:w="470"/>
        <w:gridCol w:w="1265"/>
        <w:gridCol w:w="320"/>
        <w:gridCol w:w="1955"/>
      </w:tblGrid>
      <w:tr>
        <w:trPr/>
        <w:tc>
          <w:tcPr>
            <w:tcW w:w="4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65"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bookmarkStart w:id="30" w:name="led11849F20246121720812606251"/>
            <w:bookmarkEnd w:id="30"/>
            <w:r>
              <w:rPr>
                <w:rFonts w:ascii="Times New Roman;Times;serif" w:hAnsi="Times New Roman;Times;serif"/>
                <w:sz w:val="20"/>
              </w:rPr>
              <w:t>August 5, 2026</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70" w:type="dxa"/>
            <w:tcBorders/>
            <w:tcMar>
              <w:bottom w:w="0" w:type="dxa"/>
            </w:tcMar>
            <w:vAlign w:val="center"/>
          </w:tcPr>
          <w:p>
            <w:pPr>
              <w:pStyle w:val="TableContents"/>
              <w:bidi w:val="0"/>
              <w:spacing w:before="0" w:after="0"/>
              <w:ind w:left="0" w:right="0" w:hanging="0"/>
              <w:jc w:val="left"/>
              <w:rPr/>
            </w:pPr>
            <w:r>
              <w:rPr/>
              <w:t> </w:t>
            </w:r>
          </w:p>
        </w:tc>
        <w:tc>
          <w:tcPr>
            <w:tcW w:w="126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70" w:type="dxa"/>
            <w:tcBorders/>
            <w:tcMar>
              <w:bottom w:w="0" w:type="dxa"/>
            </w:tcMar>
            <w:vAlign w:val="center"/>
          </w:tcPr>
          <w:p>
            <w:pPr>
              <w:pStyle w:val="TableContents"/>
              <w:bidi w:val="0"/>
              <w:spacing w:before="0" w:after="0"/>
              <w:ind w:left="0" w:right="0" w:hanging="0"/>
              <w:jc w:val="left"/>
              <w:rPr/>
            </w:pPr>
            <w:r>
              <w:rPr/>
              <w:t> </w:t>
            </w:r>
          </w:p>
        </w:tc>
        <w:tc>
          <w:tcPr>
            <w:tcW w:w="1265"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80807/000143774926019163/ex_970510.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18042</Words>
  <Characters>99965</Characters>
  <CharactersWithSpaces>120035</CharactersWithSpaces>
  <Paragraphs>5806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